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dopĺňa zákon č. 747/2004 Z. z. o dohľade nad finančným trhom a o zmene a doplnení niektorých zákonov v znení neskorších predpisov a ktorým sa mení zákon č. 371/2014 Z. z. o riešení krízových situácií na finančnom trhu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LP/2026/113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29/0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27</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zákona – O:</w:t>
              <w:br/>
            </w:r>
            <w:r>
              <w:rPr>
                <w:b w:val="off"/>
                <w:color w:val="000000"/>
                <w:rFonts w:ascii="Times New Roman" w:hAnsi="Times New Roman" w:cs="Times New Roman" w:eastAsia="Times New Roman"/>
                <w:sz w:val="24"/>
              </w:rPr>
              <w:t>V súlade s bodom 18. prílohy č. 1 k Legislatívnym pravidlám vlády Slovenskej republiky odporúčame slová „ktorým sa dopĺňa zákon č. 747/2004 Z. z.“ nahradiť slovami „ktorým sa mení a dopĺňa zákon č. 747/2004 Z. z.“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úvodnej vete navrhujeme nahradiť za slovami „zákona č. 187/2025 Z. z.“ spojku „a“ čiarkou a za slová „zákona č. 312/2025 Z. z.“ vložiť slová „a zákona č. 30/2026 Z. z.“.</w:t>
              <w:br/>
            </w:r>
            <w:r>
              <w:rPr>
                <w:b w:val="off"/>
                <w:color w:val="000000"/>
                <w:rFonts w:ascii="Times New Roman" w:hAnsi="Times New Roman" w:cs="Times New Roman" w:eastAsia="Times New Roman"/>
                <w:sz w:val="24"/>
              </w:rPr>
              <w:t>2.	V čl. I navrhujeme bod 2 upraviť takto: „V § 16 ods. 5 sa bodka na konci nahrádza bodkočiakrou a pripájajú sa tieto slová: ,,alebo...v konaní.“.“.</w:t>
              <w:br/>
            </w:r>
            <w:r>
              <w:rPr>
                <w:b w:val="off"/>
                <w:color w:val="000000"/>
                <w:rFonts w:ascii="Times New Roman" w:hAnsi="Times New Roman" w:cs="Times New Roman" w:eastAsia="Times New Roman"/>
                <w:sz w:val="24"/>
              </w:rPr>
              <w:t>3.	V čl. I bode 4 navrhujeme vypustiť slová „tento zákon v“.</w:t>
              <w:br/>
            </w:r>
            <w:r>
              <w:rPr>
                <w:b w:val="off"/>
                <w:color w:val="000000"/>
                <w:rFonts w:ascii="Times New Roman" w:hAnsi="Times New Roman" w:cs="Times New Roman" w:eastAsia="Times New Roman"/>
                <w:sz w:val="24"/>
              </w:rPr>
              <w:t>4.	V čl. I bode 5 v § 40 ods. 9 novej tretej vete navrhujeme slová „osobitných predpisov“ uvádzať v tvare singuláru („osobitného predpisu“).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akceptovaná</w:t>
              <w:br/>
            </w:r>
            <w:r>
              <w:rPr>
                <w:b w:val="off"/>
                <w:color w:val="000000"/>
                <w:rFonts w:ascii="Times New Roman" w:hAnsi="Times New Roman" w:cs="Times New Roman" w:eastAsia="Times New Roman"/>
                <w:sz w:val="24"/>
              </w:rPr>
              <w:t>2. neakceptovaná - máme za to, že zvolená legislatívna technika je správna.</w:t>
              <w:br/>
            </w:r>
            <w:r>
              <w:rPr>
                <w:b w:val="off"/>
                <w:color w:val="000000"/>
                <w:rFonts w:ascii="Times New Roman" w:hAnsi="Times New Roman" w:cs="Times New Roman" w:eastAsia="Times New Roman"/>
                <w:sz w:val="24"/>
              </w:rPr>
              <w:t>3. akceptovaná</w:t>
              <w:br/>
            </w:r>
            <w:r>
              <w:rPr>
                <w:b w:val="off"/>
                <w:color w:val="000000"/>
                <w:rFonts w:ascii="Times New Roman" w:hAnsi="Times New Roman" w:cs="Times New Roman" w:eastAsia="Times New Roman"/>
                <w:sz w:val="24"/>
              </w:rPr>
              <w:t>4.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	V čl. II bod 1 navrhujeme rozdeliť na dva body, kde bod 1 znie: „1. V § 31c ods. 4 sa slová... „subjektmi z“.“  a nový bod 2 znie: „2. V § 31c ods. 4 písm. a) sa slová....“ resp. „2. V § 31c ods. 4 písmeno a)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6.	Na obale navrhujem upraviť názov zákona takto:</w:t>
              <w:br/>
            </w:r>
            <w:r>
              <w:rPr>
                <w:b w:val="off"/>
                <w:color w:val="000000"/>
                <w:rFonts w:ascii="Times New Roman" w:hAnsi="Times New Roman" w:cs="Times New Roman" w:eastAsia="Times New Roman"/>
                <w:sz w:val="24"/>
              </w:rPr>
              <w:t xml:space="preserve">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ktorým sa dopĺňa zákon č. 747/2004 Z. z. o dohľade nad finančným trhom a o zmene a doplnení niektorých zákonov v znení neskorších  predpisov a ktorým sa mení zákon č. 371/2014 Z. z. o riešení krízových situácií na finančnom trhu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7.	V predkladacej správe navrhujeme vypustiť odsek o vplyvoch.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správe o účasti verejnosti</w:t>
              <w:br/>
            </w:r>
            <w:r>
              <w:rPr>
                <w:b w:val="off"/>
                <w:color w:val="000000"/>
                <w:rFonts w:ascii="Times New Roman" w:hAnsi="Times New Roman" w:cs="Times New Roman" w:eastAsia="Times New Roman"/>
                <w:sz w:val="24"/>
              </w:rPr>
              <w:t>8.	Navrhujeme použiť aktuálnu formu správy o účasti verejnosti.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6.	V názve zákona v celom materiáli odporúčame nahradiť slovo ,,dopĺňa“ slovami ,,mení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doplniť  v časti 8. „Preskúmanie účelnosti“ termín, kedy by malo dôjsť k preskúmaniu účinnosti a účelnosti predkladaného materiálu a kritériá, na základe ktorých bude preskúmanie vykonané.</w:t>
              <w:br/>
            </w:r>
            <w:r>
              <w:rPr>
                <w:b w:val="off"/>
                <w:color w:val="000000"/>
                <w:rFonts w:ascii="Times New Roman" w:hAnsi="Times New Roman" w:cs="Times New Roman" w:eastAsia="Times New Roman"/>
                <w:sz w:val="24"/>
              </w:rPr>
              <w:t>Odôvodnenie: V zmysle Jednotnej metodiky je predkladateľ povinný v Doložke vybraných vplyvov v časti č. 8" nastaviť čas, po ktorom dôjde k preskúmaniu, ako aj kritériá, na základe ktorých sa prieskum zrealizuje. Cieľom prieskumu je overiť, či riešenie problému, ktoré bolo prijaté, plní svoj účel a či bol uvedený problém odstránený.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k vlastnému materiálu</w:t>
              <w:br/>
            </w:r>
            <w:r>
              <w:rPr>
                <w:b w:val="off"/>
                <w:color w:val="000000"/>
                <w:rFonts w:ascii="Times New Roman" w:hAnsi="Times New Roman" w:cs="Times New Roman" w:eastAsia="Times New Roman"/>
                <w:sz w:val="24"/>
              </w:rPr>
              <w:t>Žiadame predkladateľa o doplnenie novelizačného bodu v Čl. I. v nadväznosti na vykonané ex post hodnotenie  § 2 ods. 7 zákona č. 747/2004 Z. z. o dohľade nad finančným trhom.</w:t>
              <w:br/>
            </w:r>
            <w:r>
              <w:rPr>
                <w:b w:val="off"/>
                <w:color w:val="000000"/>
                <w:rFonts w:ascii="Times New Roman" w:hAnsi="Times New Roman" w:cs="Times New Roman" w:eastAsia="Times New Roman"/>
                <w:sz w:val="24"/>
              </w:rPr>
              <w:t>Odôvodnenie: Predmetom ex post hodnotenia v roku 2024 bolo preskúmanie účelnosti povinnosti informovania Národnej banky Slovenska o programe a termíne rokovania orgánov finančných agentov. V rámci konzultácií so zástupcami podnikateľského prostredia bolo identifikované, že povinnosť doručovať oznámenie o termíne a programe každého zasadnutia orgánov dohliadaného subjektu najmenej tri pracovné dni vopred obmedzuje flexibilitu pri operatívnom zvolávaní rokovaní týchto orgánov, pričom prínos tejto povinnosti pre výkon dohľadu nie je jednoznačne preukázaný.</w:t>
              <w:br/>
            </w:r>
            <w:r>
              <w:rPr>
                <w:b w:val="off"/>
                <w:color w:val="000000"/>
                <w:rFonts w:ascii="Times New Roman" w:hAnsi="Times New Roman" w:cs="Times New Roman" w:eastAsia="Times New Roman"/>
                <w:sz w:val="24"/>
              </w:rPr>
              <w:t>V rámci následných konzultácií s gestorom a Národnou bankou Slovenska bolo zároveň uvedené, že predmetné ustanovenie bolo zavedené z dôvodu zvýšenia transparentnosti a zabezpečenia efektívneho dohľadu nad subjektmi finančného trhu, pričom zo strany Národnej banky Slovenska bolo indikované, že predmetnú povinnosť je možné upraviť bez negatívneho vplyvu na výkon dohľadu.</w:t>
              <w:br/>
            </w:r>
            <w:r>
              <w:rPr>
                <w:b w:val="off"/>
                <w:color w:val="000000"/>
                <w:rFonts w:ascii="Times New Roman" w:hAnsi="Times New Roman" w:cs="Times New Roman" w:eastAsia="Times New Roman"/>
                <w:sz w:val="24"/>
              </w:rPr>
              <w:t>Na základe uvedeného navrhujeme upraviť poslednú vetu § 2 ods. 7 tak, aby dohliadaný subjekt bol povinný umožniť účasť osôb poverených výkonom dohľadu na rokovaní svojich orgánov na požiadanie Národnej banky Slovenska, bez povinnosti plošne oznamovať termín a program každého zasadnutia najmenej tri pracovné dni vopred. Navrhovaná úprava zachováva možnosť výkonu dohľadu, zároveň však znižuje administratívnu záťaž dohliadaných subjektov a zohľadňuje potrebu operatívneho zvolávania rokovaní ich orgánov. V prípade akceptovania návrhu z aplikačnej praxe bude potrebné popísať tento vplyv v bode 10. Poznámky v Doložke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v úvodnej vete za slovami „zákona č. 187/2025 Z. z.“ slovo „a“ nahradiť čiarkou a za slová „zákona č. 312/2025 Z. z.“ vložiť slová „a zákona č. 30/2026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Navrhujeme v úvodnej vete za slovami „zákona č. 180/2025 Z. z.“ slovo „a“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bode 4 odporúčame v súlade s bodom 22.7. prílohy č. 1 k Legislatívnym pravidlám vlády Slovenskej republiky slová „v § 40“ nahradiť konkrétnymi odsekmi § 40, ktoré ustanovujú inak.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úvodná veta</w:t>
              <w:br/>
            </w:r>
            <w:r>
              <w:rPr>
                <w:b w:val="off"/>
                <w:color w:val="000000"/>
                <w:rFonts w:ascii="Times New Roman" w:hAnsi="Times New Roman" w:cs="Times New Roman" w:eastAsia="Times New Roman"/>
                <w:sz w:val="24"/>
              </w:rPr>
              <w:t>V úvodnej vete odporúčame slovo „a“ za slovami „zákona č. 180/2025 Z. z.“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w:t>
              <w:br/>
            </w:r>
            <w:r>
              <w:rPr>
                <w:b w:val="off"/>
                <w:color w:val="000000"/>
                <w:rFonts w:ascii="Times New Roman" w:hAnsi="Times New Roman" w:cs="Times New Roman" w:eastAsia="Times New Roman"/>
                <w:sz w:val="24"/>
              </w:rPr>
              <w:t xml:space="preserve">V názve návrhu zákona navrhujeme slovo „dopĺňa“ nahradiť slovami „mení a dopĺňa“.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 odôvodnená znením čl. I úvodnej vety a bodu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upraviť text predkladacej správy podľa čl. 19 Legislatívnych pravidiel vlády Slovenskej republiky (ďalej „LPV SR“), nakoľko obsah predkladacej správy nezodpovedá požiadavkám LPV SR.</w:t>
              <w:br/>
            </w:r>
            <w:r>
              <w:rPr>
                <w:b w:val="off"/>
                <w:color w:val="000000"/>
                <w:rFonts w:ascii="Times New Roman" w:hAnsi="Times New Roman" w:cs="Times New Roman" w:eastAsia="Times New Roman"/>
                <w:sz w:val="24"/>
              </w:rPr>
              <w:t>Odôvodnenie: Legislatívna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K Čl. I úvodnej vete odporúčame do výpočtu novelizácií zákona č 747/2004 Z. z., za slovami „zákona č. 187/2025 Z. z. spojku „a“ nahradiť čiarkou, za slová „zákona č. 312/2025 Z. z.“ doplniť spojku „a“ a doplniť zákon č. 30/2026 Z. z.</w:t>
              <w:br/>
            </w:r>
            <w:r>
              <w:rPr>
                <w:b w:val="off"/>
                <w:color w:val="000000"/>
                <w:rFonts w:ascii="Times New Roman" w:hAnsi="Times New Roman" w:cs="Times New Roman" w:eastAsia="Times New Roman"/>
                <w:sz w:val="24"/>
              </w:rPr>
              <w:t>Odôvodnenie: Legislatívna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za slovami „zákona č. 180/2025 Z. z,“ spojku „a“ nahradiť čiarkou.</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celom materiáli upraviť, že ide o návrh zákona, ktorý nielen „dopĺňa“, ale aj „mení“ zákon č. 747/2004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40 ods. 9</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 40 ods. 9 odporúčame zmeniť gramatický tvar slova „zistený“ na „zistených“.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Prívlastok „zistených“ je vhodné viazať nie na objem, ale na pohľadávky; podobne ako v súčasnom znení § 40 ods. 9 resp. ods. 2 (zistené/vykázané aktíva).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4</w:t>
              <w:br/>
            </w:r>
            <w:r>
              <w:rPr>
                <w:b w:val="off"/>
                <w:color w:val="000000"/>
                <w:rFonts w:ascii="Times New Roman" w:hAnsi="Times New Roman" w:cs="Times New Roman" w:eastAsia="Times New Roman"/>
                <w:sz w:val="24"/>
              </w:rPr>
              <w:t xml:space="preserve">V návrhu zákona uvedeného v Čl. II navrhujeme do § 4 doplniť nový odsek 9, ktorý znie: </w:t>
              <w:br/>
            </w:r>
            <w:r>
              <w:rPr>
                <w:b w:val="off"/>
                <w:color w:val="000000"/>
                <w:rFonts w:ascii="Times New Roman" w:hAnsi="Times New Roman" w:cs="Times New Roman" w:eastAsia="Times New Roman"/>
                <w:sz w:val="24"/>
              </w:rPr>
              <w:t xml:space="preserve">„Členovia rady sa považujú za verejných funkcionárov podľa osobitného predpisu. 22g“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22g) znie:</w:t>
              <w:br/>
            </w:r>
            <w:r>
              <w:rPr>
                <w:b w:val="off"/>
                <w:color w:val="000000"/>
                <w:rFonts w:ascii="Times New Roman" w:hAnsi="Times New Roman" w:cs="Times New Roman" w:eastAsia="Times New Roman"/>
                <w:sz w:val="24"/>
              </w:rPr>
              <w:t xml:space="preserve">„čl. 2 ods. 1 ústavného zákona č. 357/2004 Z. z. o ochrane verejného záujmu pri výkone funkcií verejných funkcionárov.“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Rada pre riešenie krízových situácií plní úlohy smerujúce k zabezpečeniu cieľov riešenia krízových situácií vo verejnom záujme. Členovia rady pre riešenie krízových situácií pri výkone svojej funkcie rozhodujú o opatreniach, ktoré majú zásadný dopad na stabilitu finančného trhu a ochranu verejných zdrojov. Z tohto dôvodu sú povinní uprednostniť verejný záujem pred osobným záujmom.</w:t>
              <w:br/>
            </w:r>
            <w:r>
              <w:rPr>
                <w:b w:val="off"/>
                <w:color w:val="000000"/>
                <w:rFonts w:ascii="Times New Roman" w:hAnsi="Times New Roman" w:cs="Times New Roman" w:eastAsia="Times New Roman"/>
                <w:sz w:val="24"/>
              </w:rPr>
              <w:t>Hoci povaha ich činnosti obsahovo zodpovedá výkonu verejnej funkcie, ústavný zákon č. 357/2004 Z. z. ich medzi verejných funkcionárov výslovne nezaraďuje. Podľa čl. 2 ods. 1 písm. zp) uvedeného ústavného zákona sa však za verejných funkcionárov považujú aj osoby, ktoré sú za verejných funkcionárov ustanovené osobitným zákonom.</w:t>
              <w:br/>
            </w:r>
            <w:r>
              <w:rPr>
                <w:b w:val="off"/>
                <w:color w:val="000000"/>
                <w:rFonts w:ascii="Times New Roman" w:hAnsi="Times New Roman" w:cs="Times New Roman" w:eastAsia="Times New Roman"/>
                <w:sz w:val="24"/>
              </w:rPr>
              <w:t>Navrhuje sa preto doplniť explicitnú úpravu, podľa ktorej členovia rady pre riešenie krízových situácií sú verejnými funkcionármi. Tým sa zabezpečí ich povinnosť dodržiavať pravidlá ochrany verejného záujmu, vrátane povinnosti predchádzať konfliktu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 preformulovaným textom.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predložiť do vnútrokomunitárneho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I v bode 1 návrhu zákona dochádza vložením nariadenia (EÚ) 2024/3005 do poznámky pod čiarou k implementácii čl. 30 tohto nariadenia v podmienkach SR s tým, že za príslušný vnútroštátny orgán sa navrhuje ustanoviť NBS. Vzhľadom na to, že návrh zákona sa týka NBS (čl. 2 ods. 1 tretia odrážka rozhodnutia 98/415/ES), navrhujeme návrh zákona predložiť do vnútrokomunitárneho pripomienkového konania a uviesť túto skutočnosť vo všeobecnej časti dôvodovej správy v zmysle čl. 20 ods. 2 poslednej vety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V bode 4 písm. a) doložky zlučiteľnosti odporúčame uviesť nariadenie (EÚ) 2024/3005, dátum na určenie príslušného vnútroštátneho orgánu podľa čl. 30 a dátum jeho uplatňovania.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Aproximačná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 bodu 4 písm. a) doložky zlučiteľnosti sa uvádzajú väčšinou smernice EÚ, nariadenia EÚ sa uvádzajú v tomto bode jedine v tom prípade, ak by zmenili smernicu EÚ. V takomto prípade je v samotnom právnom akte EÚ uvedená aj transpozičná lehota tj. lehota na prebratie, ktorú je potrebné v tomto bode doložky zlučiteľnosti uvádzať. </w:t>
              <w:br/>
            </w:r>
            <w:r>
              <w:rPr>
                <w:b w:val="off"/>
                <w:color w:val="000000"/>
                <w:rFonts w:ascii="Times New Roman" w:hAnsi="Times New Roman" w:cs="Times New Roman" w:eastAsia="Times New Roman"/>
                <w:sz w:val="24"/>
              </w:rPr>
              <w:t>Nariadením (EÚ) 2024/3005 nedošlo k zmene žiadnej smernice EÚ a v nariadení ani nie je uvedená lehota na prebratie.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názve právneho predpisu sa slová „ktorým sa dopĺňa“ nahrádzajú slovami „ktorým sa mení a dopĺňa“. Pripomienka platí aj k obalu materiálu, uzneseniu vlády, predkladacej správe, dôvodovej správe – všeobecnej časti a doložke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z dôvodu, že predmetom novelizácie zákona č. 747/2004 Z. z. (čl. I) sú nielen doplnenia, ale aj zmeny a uvedené vyplýva aj z článku I úvodnej vety novely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V čl. I úvodnej vete sa slová „zákona č. 187/2025 Z. z. a zákona č. 312/2025 Z. z.“ nahrádzajú slovami „zákona č. 187/2025 Z. z., zákona č. 312/2025 Z. z. a zákona č. 30/2026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28.1 prílohy č. 1 Legislatívnych pravidiel vlády Slovenskej republiky. Precizovanie textu spôsobom doplnenia ďalšej skrátenej citácie novely zákona č. 747/2004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úvodnej vete</w:t>
              <w:br/>
            </w:r>
            <w:r>
              <w:rPr>
                <w:b w:val="off"/>
                <w:color w:val="000000"/>
                <w:rFonts w:ascii="Times New Roman" w:hAnsi="Times New Roman" w:cs="Times New Roman" w:eastAsia="Times New Roman"/>
                <w:sz w:val="24"/>
              </w:rPr>
              <w:t>V čl. II úvodnej vete sa slová „zákona č. 180/2025 Z. z. a zákona č. 187/2025 Z. z.“ nahrádzajú slovami „zákona č. 180/2025 Z. z., zákona č. 187/2025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nariadenie (EÚ) 2024/3005 citovať podľa bodov 62.5. a 62.9. prílohy č. 1 k Legislatívnym pravidlám vlády SR nasledovne: Nariadenie Európskeho parlamentu a Rady (EÚ) 2024/3005 z 27. novembra 2024 o transparentnosti a integrite činností týkajúcich sa environmentálnych ratingov, sociálnych ratingov a ratingov v oblasti správy a riadenia (ratingov ESG) a o zmene nariadení (EÚ) 2019/2088 a (EÚ) 2023/2859 (Ú. v. EÚ L, 2024/3005, 12.12.2024).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Vo všetkých sprievodných dokumentoch žiadame nariadenie (EÚ) 2022/2036 citovať podľa bodu 62.9. prílohy č. 1 k Legislatívnym pravidlám vlády SR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3.	Vo všetkých sprievodných dokumentoch žiadame smernicu 2014/59/EÚ citovať podľa bodov 62.7. a 62.11. prílohy č. 1 k Legislatívnym pravidlám vlády SR spolu s publikačným zdrojom a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4.	Žiadame vo všetkých sprievodných dokumentoch nahradiť slová ,,čl. II Nariadenia“ slovami ,,čl. 2 nariadenia“. V nariadení (EÚ) 2022/2036 sa nenachádza článok 2 označený rímskou číslicou, ale arabskou číslicou.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29 (29o,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