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40C7E4E0" w:rsidR="00E66622" w:rsidRPr="00E66622" w:rsidRDefault="0078532E" w:rsidP="00DB2917">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VZNESENÉ PRIPOMIENKY V RÁMCI PRIPOMIENKOVÉHO KONANIA</w:t>
      </w:r>
      <w:r w:rsidRPr="00E66622">
        <w:rPr>
          <w:rFonts w:ascii="Times New Roman" w:eastAsia="Times New Roman" w:hAnsi="Times New Roman" w:cs="Times New Roman"/>
          <w:b/>
          <w:sz w:val="28"/>
        </w:rPr>
        <w:br/>
      </w:r>
      <w:r w:rsidR="009D32B4" w:rsidRPr="00C13765">
        <w:rPr>
          <w:rFonts w:ascii="Times New Roman" w:eastAsia="Times New Roman" w:hAnsi="Times New Roman" w:cs="Times New Roman"/>
          <w:b/>
          <w:sz w:val="24"/>
          <w:szCs w:val="20"/>
          <w:lang w:val="en-US"/>
        </w:rPr>
        <w:t>Návrh poslancov Národnej rady Slovenskej republiky Miroslava ČELLÁRA, Richarda ELIÁŠA a Štefana GAŠPAROVIČA na vydanie zákona, ktorým sa mení zákon č. 180/2014 Z. z. o podmienkach výkonu volebného práva a o zmene a doplnení niektorých zákonov v znení neskorších predpisov (tlač 1441)</w:t>
      </w:r>
      <w:r w:rsidR="00917A99">
        <w:rPr>
          <w:rFonts w:ascii="Times New Roman" w:eastAsia="Times New Roman" w:hAnsi="Times New Roman" w:cs="Times New Roman"/>
          <w:b/>
          <w:sz w:val="28"/>
        </w:rPr>
        <w:br/>
      </w:r>
      <w:r w:rsidR="003F1216">
        <w:rPr>
          <w:rFonts w:ascii="Times New Roman" w:eastAsia="Times New Roman" w:hAnsi="Times New Roman" w:cs="Times New Roman"/>
          <w:bCs/>
          <w:sz w:val="24"/>
          <w:szCs w:val="24"/>
        </w:rPr>
        <w:t>LP/2026/543</w:t>
      </w:r>
    </w:p>
    <w:p w14:paraId="4153872D" w14:textId="77777777" w:rsidR="00DB2917" w:rsidRDefault="00000000" w:rsidP="00DB2917">
      <w:pPr>
        <w:spacing w:line="276" w:lineRule="auto"/>
        <w:rPr>
          <w:sz w:val="24"/>
          <w:szCs w:val="24"/>
        </w:rPr>
      </w:pPr>
      <w:r w:rsidRPr="00E66622">
        <w:rPr>
          <w:rFonts w:ascii="Times New Roman" w:eastAsia="Times New Roman" w:hAnsi="Times New Roman" w:cs="Times New Roman"/>
          <w:sz w:val="24"/>
          <w:szCs w:val="24"/>
        </w:rPr>
        <w:t>Vysvetlivky k použitým skratkám v tabuľke:</w:t>
      </w:r>
      <w:r w:rsidRPr="00E66622">
        <w:rPr>
          <w:rFonts w:ascii="Times New Roman" w:eastAsia="Times New Roman" w:hAnsi="Times New Roman" w:cs="Times New Roman"/>
          <w:sz w:val="24"/>
          <w:szCs w:val="24"/>
        </w:rPr>
        <w:br/>
        <w:t>O – obyčajná</w:t>
      </w:r>
      <w:r w:rsidRPr="00E66622">
        <w:rPr>
          <w:rFonts w:ascii="Times New Roman" w:eastAsia="Times New Roman" w:hAnsi="Times New Roman" w:cs="Times New Roman"/>
          <w:sz w:val="24"/>
          <w:szCs w:val="24"/>
        </w:rPr>
        <w:br/>
        <w:t>Z – zásadná</w:t>
      </w:r>
    </w:p>
    <w:p w14:paraId="23F5C21C" w14:textId="17DC67E2" w:rsidR="00F0653F"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lang w:val="en-US"/>
        </w:rPr>
        <w:t>č</w:t>
      </w:r>
      <w:r w:rsidRPr="00E66622">
        <w:rPr>
          <w:rFonts w:ascii="Times New Roman" w:eastAsia="Times New Roman" w:hAnsi="Times New Roman" w:cs="Times New Roman"/>
          <w:sz w:val="24"/>
          <w:szCs w:val="24"/>
        </w:rPr>
        <w:t xml:space="preserve">et vznesených pripomienok, z toho zásadných: </w:t>
      </w:r>
      <w:r w:rsidRPr="0053699B">
        <w:rPr>
          <w:rFonts w:ascii="Times New Roman" w:eastAsia="Times New Roman" w:hAnsi="Times New Roman" w:cs="Times New Roman"/>
          <w:sz w:val="18"/>
          <w:szCs w:val="18"/>
        </w:rPr>
        <w:tab/>
      </w:r>
      <w:r w:rsidR="00A36692">
        <w:rPr>
          <w:rFonts w:ascii="Times New Roman" w:eastAsia="Times New Roman" w:hAnsi="Times New Roman" w:cs="Times New Roman"/>
          <w:sz w:val="24"/>
          <w:szCs w:val="24"/>
          <w:lang w:val="en-US"/>
        </w:rPr>
        <w:t>13</w:t>
      </w:r>
      <w:r w:rsidR="002E3CEC">
        <w:rPr>
          <w:rFonts w:ascii="Times New Roman" w:eastAsia="Times New Roman" w:hAnsi="Times New Roman" w:cs="Times New Roman"/>
          <w:sz w:val="24"/>
          <w:szCs w:val="24"/>
          <w:lang w:val="en-US"/>
        </w:rPr>
        <w:t>/0</w:t>
      </w:r>
    </w:p>
    <w:p w14:paraId="258F0E4D" w14:textId="7818F349" w:rsidR="00E66622" w:rsidRPr="00DB2917"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rPr>
        <w:t>č</w:t>
      </w:r>
      <w:r w:rsidRPr="00E66622">
        <w:rPr>
          <w:rFonts w:ascii="Times New Roman" w:eastAsia="Times New Roman" w:hAnsi="Times New Roman" w:cs="Times New Roman"/>
          <w:sz w:val="24"/>
          <w:szCs w:val="24"/>
        </w:rPr>
        <w:t xml:space="preserve">et vznesených hromadných pripomienok: </w:t>
      </w:r>
      <w:r w:rsidRPr="00E66622">
        <w:rPr>
          <w:rFonts w:ascii="Times New Roman" w:eastAsia="Times New Roman" w:hAnsi="Times New Roman" w:cs="Times New Roman"/>
          <w:sz w:val="24"/>
          <w:szCs w:val="24"/>
        </w:rPr>
        <w:tab/>
      </w:r>
      <w:r w:rsidR="00335FFB">
        <w:rPr>
          <w:rFonts w:ascii="Times New Roman" w:eastAsia="Times New Roman" w:hAnsi="Times New Roman" w:cs="Times New Roman"/>
          <w:sz w:val="24"/>
          <w:szCs w:val="24"/>
        </w:rPr>
        <w:t>0</w:t>
      </w:r>
    </w:p>
    <w:p w14:paraId="1F0934E1" w14:textId="7C2466DA" w:rsidR="007C1A93" w:rsidRPr="00E66622" w:rsidRDefault="00E66622">
      <w:pPr>
        <w:rPr>
          <w:rFonts w:ascii="Times New Roman" w:eastAsia="Times New Roman" w:hAnsi="Times New Roman" w:cs="Times New Roman"/>
          <w:sz w:val="20"/>
        </w:rPr>
      </w:pPr>
      <w:r w:rsidRPr="00E66622">
        <w:rPr>
          <w:rFonts w:ascii="Times New Roman" w:eastAsia="Times New Roman" w:hAnsi="Times New Roman" w:cs="Times New Roman"/>
          <w:sz w:val="20"/>
        </w:rPr>
        <w:br/>
      </w:r>
      <w:r w:rsidRPr="00E66622">
        <w:rPr>
          <w:rFonts w:ascii="Times New Roman" w:eastAsia="Times New Roman" w:hAnsi="Times New Roman" w:cs="Times New Roman"/>
          <w:sz w:val="24"/>
          <w:szCs w:val="24"/>
        </w:rPr>
        <w:t>Vznesené pripomienky</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5AAFA8" w14:textId="77777777" w:rsidTr="00CD5259">
        <w:trPr>
          <w:trHeight w:val="648"/>
        </w:trPr>
        <w:tc>
          <w:tcPr>
            <w:tcW w:w="1000" w:type="pct"/>
            <w:vAlign w:val="center"/>
          </w:tcPr>
          <w:p w14:paraId="4B4FA583" w14:textId="62ECD7CF"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498D7DF6" w14:textId="5D009C3B"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Typ</w:t>
            </w:r>
          </w:p>
        </w:tc>
        <w:tc>
          <w:tcPr>
            <w:tcW w:w="3150" w:type="pct"/>
            <w:vAlign w:val="center"/>
          </w:tcPr>
          <w:p w14:paraId="54262B5F" w14:textId="62E0E806"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 O:</w:t>
              <w:br/>
            </w:r>
            <w:r>
              <w:rPr>
                <w:b w:val="off"/>
                <w:color w:val="000000"/>
                <w:rFonts w:ascii="Times New Roman" w:hAnsi="Times New Roman" w:cs="Times New Roman" w:eastAsia="Times New Roman"/>
                <w:sz w:val="24"/>
              </w:rPr>
              <w:t>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Odporúčame  predkladateľovi predložiť aktuálnu verziu doložky vybraných vplyvov v súlade s platnou Jednotnou metodikou na posudzovanie vybraných vplyvov.</w:t>
              <w:br/>
            </w:r>
            <w:r>
              <w:rPr>
                <w:b w:val="off"/>
                <w:color w:val="000000"/>
                <w:rFonts w:ascii="Times New Roman" w:hAnsi="Times New Roman" w:cs="Times New Roman" w:eastAsia="Times New Roman"/>
                <w:sz w:val="24"/>
              </w:rPr>
              <w:t>Odôvodnenie: Predkladateľom predložená doložka vybraných vplyvov nie je v súlade s aktuálne platnou Jednotnou metodikou na posudzovanie vybraných vplyvov účinnou od 1.10.2023. Aktuálne platné formuláre sprievodných dokumentov sú k dispozícii na webovom sídle: https://www.economy.gov.sk/podnikatelske-prostredie/jednotna-metodika/posudzovanie-vplyvov-pre-predkladatelov/dokumenty?csrt=15428989065935973543</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202 ods. 6</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1. V názve zákona a v úvodnej vete čl. I sa slovo „mení“ nahrádza slovom „dopĺňa“.</w:t>
              <w:br/>
            </w:r>
            <w:r>
              <w:rPr>
                <w:b w:val="off"/>
                <w:color w:val="000000"/>
                <w:rFonts w:ascii="Times New Roman" w:hAnsi="Times New Roman" w:cs="Times New Roman" w:eastAsia="Times New Roman"/>
                <w:sz w:val="24"/>
              </w:rPr>
              <w:t>2. Novelizačný bod v čl. I znie:</w:t>
              <w:br/>
            </w:r>
            <w:r>
              <w:rPr>
                <w:b w:val="off"/>
                <w:color w:val="000000"/>
                <w:rFonts w:ascii="Times New Roman" w:hAnsi="Times New Roman" w:cs="Times New Roman" w:eastAsia="Times New Roman"/>
                <w:sz w:val="24"/>
              </w:rPr>
              <w:t>„V § 202 ods. 6 sa na konci pripája táto veta: „Ak petícia žiada vyhlásenie referenda o skrátení volebného obdobia Národnej rady Slovenskej republiky, občan v nej čitateľne uvedie aj dátum svojho podpisu.“.“.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Výsledný § 202 ods. 6 znie: „(6) V petícii je občan povinný uviesť čitateľne svoje meno, priezvisko, adresu trvalého pobytu, dátum narodenia a svoj podpis. Ak petícia žiada vyhlásenie referenda o skrátení volebného obdobia Národnej rady Slovenskej republiky, občan v nej čitateľne uvedie aj dátum svojho podpisu.“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Zmenu vláda uplatní ako pripomienku vo svojom stanovisku k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sa prijme aj pripomienka k elektronickej podpore petície, veta navrhnutá v nej sa pripojí za vetu navrhnutú v tejto pripomienke.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osobitnej časti dôvodovej správy sa dátum podpisu dopĺňa „Z dôvodu možnosti overenia splnenia podmienky šiestich mesiacov od získania prvého podpisu pod petíciu o vyhlásenie referenda o skrátení volebného obdobia“. Šesťmesačnú lehotu zavádza návrh ústavného zákona (tlač 1442) v novom čl. 95 ods. 2 Ústavy Slovenskej republiky, podľa ktorého „Petícia občanov za vyhlásenie referenda podľa čl. 93 ods. 2 musí byť predložená prezidentovi Slovenskej republiky do šiestich mesiacov od získania prvého podpisu.“ Ide len o referendum o skrátení volebného obdobia Národnej rady Slovenskej republiky. Pre petíciu za iné referendum lehota neplatí a dátum podpisu sa pri nej na nič nepoužije.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 návrhu však mení § 202 ods. 6, ktorý platí pre každú petíciu, ktorou občania žiadajú vyhlásenie referenda. Povinnosť teda presahuje cieľ, ktorý uvádza dôvodová správa aj stanovisko Ministerstva vnútra Slovenskej republiky v predkladacej správe.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Nový povinný údaj má praktický dôsledok. Podľa § 4a ods. 7 zákona č. 85/1990 Zb. o petičnom práve v znení neskorších predpisov „Orgán verejnej moci nemusí brať do úvahy podporu petície tých osôb, ktoré o sebe uviedli údaje nečitateľne, neúplne alebo nepravdivo.“ Podpis bez dátumu by teda bolo možné vyradiť aj pri petícii, pri ktorej sa žiadna lehota neposudzuje. Ide o obmedzenie výkonu petičného práva a práva žiadať vyhlásenie referenda (čl. 27 a čl. 95 ods. 1 Ústavy Slovenskej republiky) bez cieľa, hoci podľa čl. 13 ods. 4 Ústavy Slovenskej republiky sa obmedzenia základných práv môžu použiť len na ustanovený cieľ. Zároveň vzniká zbytočná záťaž pre petičné výbory (úprava podpisových hárkov) a pre Kanceláriu prezidenta Slovenskej republiky pri kontrole údaja.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zachováva povinnosť v rozsahu, ktorý je potrebný na overenie lehoty podľa navrhovaného čl. 95 ods. 2 Ústavy Slovenskej republiky. Formulácia neodkazuje na číslo článku Ústavy Slovenskej republiky, preto ju nebude treba meniť, ak sa označenie v ústavnom zákone počas legislatívneho procesu zmení. Keďže sa § 202 ods. 6 len dopĺňa, mení sa aj názov zákona a úvodná veta čl. 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uznesenia vlády, bod A.1; predkladacia správa, časť Záver</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1. V návrhu uznesenia vlády v bode A.1 sa na konci bodkočiarka nahrádza čiarkou a pripájajú sa tieto slová: „ak Národná rada Slovenskej republiky schváli aj návrh ústavného zákona, ktorým sa mení a dopĺňa Ústava Slovenskej republiky č. 460/1992 Zb. v znení neskorších predpisov (tlač 1442);“.</w:t>
              <w:br/>
            </w:r>
            <w:r>
              <w:rPr>
                <w:b w:val="off"/>
                <w:color w:val="000000"/>
                <w:rFonts w:ascii="Times New Roman" w:hAnsi="Times New Roman" w:cs="Times New Roman" w:eastAsia="Times New Roman"/>
                <w:sz w:val="24"/>
              </w:rPr>
              <w:t>2. V predkladacej správe v časti Záver sa na konci bodka nahrádza čiarkou a pripájajú sa tieto slová: „ak Národná rada Slovenskej republiky schváli aj návrh ústavného zákona, ktorým sa mení a dopĺňa Ústava Slovenskej republiky č. 460/1992 Zb. v znení neskorších predpisov (tlač 1442).“.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Ministerstvo vnútra Slovenskej republiky v predkladacej správe uvádza, že navrhovaná úprava je „v nadväznosti na návrh skupiny poslancov Národnej rady Slovenskej republiky na vydanie ústavného zákona […] (tlač 1442), a ktorý má zaviesť možnosť referendom skrátiť volebné obdobie, nevyhnutná“. Potrebu úpravy samo viaže na schválenie ústavného zákona: „V prípade, že navrhovaný ústavný zákon bude schválený, bez doplnenia povinného údaja o dátume podpisu občana do volebného zákona nebude možné overiť, či bola splnená podmienka uplynutia šiestich mesiacov od získania prvého podpisu“. Šesťmesačná lehota vyplýva len z navrhovaného čl. 95 ods. 2 Ústavy Slovenskej republiky. Bez ústavného zákona návrh nemá účel.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Národná rada Slovenskej republiky 17. septembra 2026 rozhodla, že návrh ústavného zákona (tlač 1442) prerokuje v druhom čítaní; gestorský výbor ho má prerokovať do 16. novembra 2026. Oba návrhy majú rovnaký deň účinnosti 1. januára 2027, ale Národná rada Slovenskej republiky o nich hlasuje samostatne. Ak by sa schválil len tento zákon, občanom by vznikla povinnosť uvádzať dátum podpisu bez ústavného dôvodu. Podpis bez dátumu by bolo možné vyradiť podľa § 4a ods. 7 zákona č. 85/1990 Zb. o petičnom práve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Stanovisko vlády preto má súhlas viazať na schválenie ústavného zákona. Ak by sa účinnosť zákona viazala na právnu skutočnosť (schválenie ústavného zákona), vzorom by bol bod 64.3 prílohy č. 1 Legislatívnych pravidiel vlády Slovenskej republiky, podľa ktorého je súčasťou zákona splnomocnenie na uverejnenie oznámenia v Zbierke zákonov; podmienka v stanovisku vlády je jednoduchší spôsob.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sa prijme pripomienka k rozsahu povinnosti uviesť dátum podpisu, povinnosť sa bude týkať len referenda o skrátení volebného obdobia. Táto pripomienka je aj potom potrebná, aby zákon neupravoval náležitosti petície za referendum, ktoré platná Ústava Slovenskej republiky neupravuje.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202 ods. 6</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1. V názve zákona a v úvodnej vete čl. I sa slovo „mení“ nahrádza slovami „mení a dopĺňa“. Ak sa prijme pripomienka k rozsahu povinnosti uviesť dátum podpisu, v názve zákona a v úvodnej vete čl. I bude slovo „dopĺňa“ podľa tejto pripomienky.</w:t>
              <w:br/>
            </w:r>
            <w:r>
              <w:rPr>
                <w:b w:val="off"/>
                <w:color w:val="000000"/>
                <w:rFonts w:ascii="Times New Roman" w:hAnsi="Times New Roman" w:cs="Times New Roman" w:eastAsia="Times New Roman"/>
                <w:sz w:val="24"/>
              </w:rPr>
              <w:t>2. Doterajší novelizačný bod v čl. I sa označuje ako bod 1 a čl. I sa dopĺňa bodom 2, ktorý znie:</w:t>
              <w:br/>
            </w:r>
            <w:r>
              <w:rPr>
                <w:b w:val="off"/>
                <w:color w:val="000000"/>
                <w:rFonts w:ascii="Times New Roman" w:hAnsi="Times New Roman" w:cs="Times New Roman" w:eastAsia="Times New Roman"/>
                <w:sz w:val="24"/>
              </w:rPr>
              <w:t>„2. V § 202 ods. 6 sa na konci pripája táto veta: „Ak občan podporil petíciu v elektronickej podobe podľa § 4 ods. 3 písm. b) až d) zákona č. 85/1990 Zb. o petičnom práve v znení neskorších predpisov a deň potvrdenia podpory je zaznamenaný v elektronickej podobe, za dátum podpisu sa považuje tento deň a občan ho neuvádza.“.“.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Zmenu vláda uplatní ako pripomienku vo svojom stanovisku k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sa prijme pripomienka k rozsahu povinnosti uviesť dátum podpisu, bod 1 čl. I je novelizačný bod navrhnutý v nej a veta z bodu 2 nasleduje za vetou navrhnutou v nej.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202 ods. 5 sa pri výkone petičného práva postupuje „podľa osobitného predpisu“, ktorým je zákon č. 85/1990 Zb. o petičnom práve v znení neskorších predpisov. Petíciu, pri ktorej osobitný zákon ustanovuje najnižší počet osôb (poznámka pod čiarou k odkazu 1a uvádza aj zákon č. 180/2014 Z. z.), možno podľa § 4 ods. 4 tohto zákona v elektronickej podobe podporiť „iba podľa odseku 3 písm. b), c) alebo písm. d)“, teda adresou elektronickej schránky, zaručeným elektronickým podpisom alebo cez petičný systém.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pri takejto podpore elektronický záznam (elektronická správa, elektronický podpis, záznam petičného systému) obsahuje deň potvrdenia podpory, je pre overenie šesťmesačnej lehoty spoľahlivejší ako dátum, ktorý vpíše sám občan. Povinnosť vpisovať dátum aj vtedy by žiadala od občana údaj, ktorý už je zaznamenaný, a pridala by ďalší dôvod na vyradenie podpory podľa § 4a ods. 7 zákona č. 85/1990 Zb. (údaj neúplný alebo nepravdivý), napríklad pri chýbajúcom dátume alebo pri preklepe v dátume, ktorý sa líši od záznamu.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záznam deň potvrdenia podpory neobsahuje, povinnosť uviesť dátum podpisu zostáva. Navrhované znenie preto nezávisí od technického riešenia konkrétneho petičného systému.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203</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1. Čl. I sa dopĺňa novelizačným bodom, ktorý znie:</w:t>
              <w:br/>
            </w:r>
            <w:r>
              <w:rPr>
                <w:b w:val="off"/>
                <w:color w:val="000000"/>
                <w:rFonts w:ascii="Times New Roman" w:hAnsi="Times New Roman" w:cs="Times New Roman" w:eastAsia="Times New Roman"/>
                <w:sz w:val="24"/>
              </w:rPr>
              <w:t>„V § 203 sa za odsek 1 vkladá nový odsek 2, ktorý znie:</w:t>
              <w:br/>
            </w:r>
            <w:r>
              <w:rPr>
                <w:b w:val="off"/>
                <w:color w:val="000000"/>
                <w:rFonts w:ascii="Times New Roman" w:hAnsi="Times New Roman" w:cs="Times New Roman" w:eastAsia="Times New Roman"/>
                <w:sz w:val="24"/>
              </w:rPr>
              <w:t>„(2) Kancelária prezidenta Slovenskej republiky zverejní na svojom webovom sídle výsledok preskúmania petície do piatich dní odo dňa vyhlásenia referenda alebo odmietnutia jeho vyhlásenia a v rovnakej lehote ho doručí zástupcovi petičného výboru za referendum. Výsledok preskúmania petície obsahuje</w:t>
              <w:br/>
            </w:r>
            <w:r>
              <w:rPr>
                <w:b w:val="off"/>
                <w:color w:val="000000"/>
                <w:rFonts w:ascii="Times New Roman" w:hAnsi="Times New Roman" w:cs="Times New Roman" w:eastAsia="Times New Roman"/>
                <w:sz w:val="24"/>
              </w:rPr>
              <w:t>a) počet osôb, ktoré petíciu podporili,</w:t>
              <w:br/>
            </w:r>
            <w:r>
              <w:rPr>
                <w:b w:val="off"/>
                <w:color w:val="000000"/>
                <w:rFonts w:ascii="Times New Roman" w:hAnsi="Times New Roman" w:cs="Times New Roman" w:eastAsia="Times New Roman"/>
                <w:sz w:val="24"/>
              </w:rPr>
              <w:t>b) počet osôb, ktorých podpora sa vzala do úvahy,</w:t>
              <w:br/>
            </w:r>
            <w:r>
              <w:rPr>
                <w:b w:val="off"/>
                <w:color w:val="000000"/>
                <w:rFonts w:ascii="Times New Roman" w:hAnsi="Times New Roman" w:cs="Times New Roman" w:eastAsia="Times New Roman"/>
                <w:sz w:val="24"/>
              </w:rPr>
              <w:t>c) počet osôb, ktorých podpora sa nevzala do úvahy, rozčlenený podľa dôvodu,</w:t>
              <w:br/>
            </w:r>
            <w:r>
              <w:rPr>
                <w:b w:val="off"/>
                <w:color w:val="000000"/>
                <w:rFonts w:ascii="Times New Roman" w:hAnsi="Times New Roman" w:cs="Times New Roman" w:eastAsia="Times New Roman"/>
                <w:sz w:val="24"/>
              </w:rPr>
              <w:t>d) opis spôsobu overenia údajov uvedených v petícii.“.</w:t>
              <w:br/>
            </w:r>
            <w:r>
              <w:rPr>
                <w:b w:val="off"/>
                <w:color w:val="000000"/>
                <w:rFonts w:ascii="Times New Roman" w:hAnsi="Times New Roman" w:cs="Times New Roman" w:eastAsia="Times New Roman"/>
                <w:sz w:val="24"/>
              </w:rPr>
              <w:t>Doterajší odsek 2 sa označuje ako odsek 3.“.</w:t>
              <w:br/>
            </w:r>
            <w:r>
              <w:rPr>
                <w:b w:val="off"/>
                <w:color w:val="000000"/>
                <w:rFonts w:ascii="Times New Roman" w:hAnsi="Times New Roman" w:cs="Times New Roman" w:eastAsia="Times New Roman"/>
                <w:sz w:val="24"/>
              </w:rPr>
              <w:t>2. V názve zákona a v úvodnej vete čl. I sa slovo „mení“ nahrádza slovami „mení a dopĺňa“. Ak sa prijme pripomienka k rozsahu povinnosti uviesť dátum podpisu, v názve zákona a v úvodnej vete čl. I bude slovo „dopĺňa“ podľa tejto pripomienky.</w:t>
              <w:br/>
            </w:r>
            <w:r>
              <w:rPr>
                <w:b w:val="off"/>
                <w:color w:val="000000"/>
                <w:rFonts w:ascii="Times New Roman" w:hAnsi="Times New Roman" w:cs="Times New Roman" w:eastAsia="Times New Roman"/>
                <w:sz w:val="24"/>
              </w:rPr>
              <w:t>3. Novelizačné body v čl. I sa očíslujú v poradí ustanovení zákona, ktoré menia alebo dopĺňajú.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Zmenu vláda uplatní ako pripomienku vo svojom stanovisku k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mení náležitosti petície za referendum v § 202 ods. 6. Navrhovaná zmena upravuje preskúmanie tej istej petície v nasledujúcom § 203, preto s predmetom návrhu obsahovo súvisí.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203 ods. 1 prezident preskúma, či návrh na vyhlásenie referenda „má predpísané náležitosti“, a podľa § 203 ods. 2 pri odmietnutí „O svojom rozhodnutí informuje zástupcu petičného výboru za referendum.“ Zákon neukladá zverejniť, koľko podpisov sa započítalo, koľko sa vyradilo a z akého dôvodu. Podľa § 4a ods. 7 zákona č. 85/1990 Zb. o petičnom práve v znení neskorších predpisov orgán verejnej moci „nemusí brať do úvahy podporu petície tých osôb, ktoré o sebe uviedli údaje nečitateľne, neúplne alebo nepravdivo“. Rozhodnutie, či petíciu podporilo aspoň 350 000 občanov (čl. 95 ods. 1 Ústavy Slovenskej republiky), teda závisí od posúdenia jednotlivých podpisov, ktoré verejnosť ani petičný výbor nevidia.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Bez týchto údajov petičný výbor nemá podklad na prípadnú ústavnú sťažnosť proti odmietnutiu vyhlásenia referenda, na ktorú je lehota dva mesiace (§ 124 zákona č. 314/2018 Z. z. o Ústavnom súde Slovenskej republiky a o zmene a doplnení niektorých zákonov). Pri vyhlásení referenda údaje umožnia verejnosti overiť, že podmienka čl. 95 ods. 1 Ústavy Slovenskej republiky bola splnená. Návrh zákona navyše pridáva nový povinný údaj (dátum podpisu), čím pribudne nový dôvod na vyradenie podpory; o to dôležitejšie je, aby boli dôvody vyradenia známe.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povinnosť nevyžaduje nové údaje: počty a dôvody vyradenia Kancelária prezidenta Slovenskej republiky zistí pri preskúmaní petície podľa § 202 ods. 7 a § 203 ods. 1. Zverejňujú sa len súhrnné počty, nie osobné údaje. Lehota piatich dní nadväzuje na rozhodnutie prezidenta, keď je výsledok preskúmania už známy.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202 ods. 7</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1. Čl. I sa dopĺňa novelizačným bodom, ktorý znie:</w:t>
              <w:br/>
            </w:r>
            <w:r>
              <w:rPr>
                <w:b w:val="off"/>
                <w:color w:val="000000"/>
                <w:rFonts w:ascii="Times New Roman" w:hAnsi="Times New Roman" w:cs="Times New Roman" w:eastAsia="Times New Roman"/>
                <w:sz w:val="24"/>
              </w:rPr>
              <w:t>„V § 202 ods. 7 sa na konci pripájajú tieto vety: „Kancelária prezidenta Slovenskej republiky zlikviduje podpisové hárky a záznamy o podpore petície v elektronickej podobe do troch mesiacov odo dňa zverejnenia výsledku referenda alebo odo dňa, keď informovala zástupcu petičného výboru za referendum o odmietnutí vyhlásenia referenda; ak sa v tejto lehote začne konanie pred Ústavným súdom Slovenskej republiky, ktoré sa týka petície alebo referenda, do troch mesiacov odo dňa jeho skončenia. Text petície a výsledok preskúmania petície sa uchovávajú podľa osobitného predpisu.2a)“.</w:t>
              <w:br/>
            </w:r>
            <w:r>
              <w:rPr>
                <w:b w:val="off"/>
                <w:color w:val="000000"/>
                <w:rFonts w:ascii="Times New Roman" w:hAnsi="Times New Roman" w:cs="Times New Roman" w:eastAsia="Times New Roman"/>
                <w:sz w:val="24"/>
              </w:rPr>
              <w:t>Poznámka pod čiarou k odkazu 2a znie:</w:t>
              <w:br/>
            </w:r>
            <w:r>
              <w:rPr>
                <w:b w:val="off"/>
                <w:color w:val="000000"/>
                <w:rFonts w:ascii="Times New Roman" w:hAnsi="Times New Roman" w:cs="Times New Roman" w:eastAsia="Times New Roman"/>
                <w:sz w:val="24"/>
              </w:rPr>
              <w:t>„2a) Zákon č. 395/2002 Z. z. o archívoch a registratúrach a o doplnení niektorých zákonov v znení neskorších predpisov.“.“.</w:t>
              <w:br/>
            </w:r>
            <w:r>
              <w:rPr>
                <w:b w:val="off"/>
                <w:color w:val="000000"/>
                <w:rFonts w:ascii="Times New Roman" w:hAnsi="Times New Roman" w:cs="Times New Roman" w:eastAsia="Times New Roman"/>
                <w:sz w:val="24"/>
              </w:rPr>
              <w:t>2. V názve zákona a v úvodnej vete čl. I sa slovo „mení“ nahrádza slovami „mení a dopĺňa“. Ak sa prijme pripomienka k rozsahu povinnosti uviesť dátum podpisu, v názve zákona a v úvodnej vete čl. I bude slovo „dopĺňa“ podľa tejto pripomienky.</w:t>
              <w:br/>
            </w:r>
            <w:r>
              <w:rPr>
                <w:b w:val="off"/>
                <w:color w:val="000000"/>
                <w:rFonts w:ascii="Times New Roman" w:hAnsi="Times New Roman" w:cs="Times New Roman" w:eastAsia="Times New Roman"/>
                <w:sz w:val="24"/>
              </w:rPr>
              <w:t>3. Novelizačné body v čl. I sa očíslujú v poradí ustanovení zákona, ktoré menia alebo dopĺňajú.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sa neprijme pripomienka k zverejneniu výsledku preskúmania petície, slová „a výsledok preskúmania petície“ sa vypúšťajú a sloveso „uchovávajú“ sa nahrádza slovom „uchováva“.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Zmenu vláda uplatní ako pripomienku vo svojom stanovisku k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dopĺňa do petície za referendum ďalší osobný údaj (dátum podpisu). Navrhovaná zmena upravuje spracúvanie osobných údajov z tej istej petície v § 202 ods. 7, preto s predmetom návrhu obsahovo súvisí.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202 ods. 7 je Kancelária prezidenta Slovenskej republiky „oprávnená na účely preskúmania petície spracúvať osobné údaje uvedené v petícii a tieto overovať v informačnom systéme podľa osobitného predpisu“. Zákon však neurčuje, ako dlho sa údaje uchovávajú. Podľa čl. 5 ods. 1 písm. e) nariadenia (EÚ) 2016/679 sa osobné údaje uchovávajú vo forme, ktorá umožňuje identifikáciu, najviac dovtedy, kým je to potrebné na účely, na ktoré sa spracúvajú. Petícia za referendum obsahuje údaje najmenej 350 000 osôb (čl. 95 ods. 1 Ústavy Slovenskej republiky) spolu s informáciou, akú politickú požiadavku podporili. Únik alebo zneužitie takého súboru údajov má vážne dôsledky; navrhovaný dátum podpisu riziko ešte zvyšuje.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Účel podľa § 202 ods. 7 (preskúmanie petície) sa skončí rozhodnutím prezidenta. Údaje môžu byť potrebné ešte v konaní pred Ústavným súdom Slovenskej republiky: sťažnosť proti výsledku referenda možno podať „do desiatich dní od zverejnenia výsledku referenda“ (§ 165 zákona č. 314/2018 Z. z.) a ústavnú sťažnosť do dvoch mesiacov (§ 124 toho istého zákona). Lehota troch mesiacov obe lehoty pokrýva; ak konanie prebieha, plynie od jeho skončenia.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petície a súhrnný výsledok jej preskúmania majú dokumentárnu hodnotu a naďalej sa spravujú zákonom o archívoch a registratúrach. Podpisové hárky s osobnými údajmi jednotlivých občanov po skončení účelu na tento cieľ nie sú potrebné.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bl>
    <w:p w14:paraId="12D7AF0B" w14:textId="77777777" w:rsidR="00DB2917" w:rsidRDefault="00DB2917">
      <w:pPr>
        <w:rPr>
          <w:rFonts w:ascii="Times New Roman" w:eastAsia="Times New Roman" w:hAnsi="Times New Roman" w:cs="Times New Roman"/>
          <w:sz w:val="24"/>
          <w:szCs w:val="24"/>
        </w:rPr>
      </w:pPr>
    </w:p>
    <w:p w14:paraId="48602EC8" w14:textId="28745B1A" w:rsidR="00E66622" w:rsidRPr="000B2D78" w:rsidRDefault="00E66622" w:rsidP="00B325C1">
      <w:pPr>
        <w:keepLines/>
        <w:rPr>
          <w:rFonts w:ascii="Times New Roman" w:hAnsi="Times New Roman" w:cs="Times New Roman"/>
        </w:rPr>
      </w:pPr>
      <w:r w:rsidRPr="00E66622">
        <w:rPr>
          <w:rFonts w:ascii="Times New Roman" w:eastAsia="Times New Roman" w:hAnsi="Times New Roman" w:cs="Times New Roman"/>
          <w:sz w:val="24"/>
          <w:szCs w:val="24"/>
        </w:rPr>
        <w:t>Vznesené</w:t>
      </w:r>
      <w:r>
        <w:rPr>
          <w:rFonts w:ascii="Times New Roman" w:eastAsia="Times New Roman" w:hAnsi="Times New Roman" w:cs="Times New Roman"/>
          <w:sz w:val="24"/>
          <w:szCs w:val="24"/>
        </w:rPr>
        <w:t xml:space="preserve"> hromadn</w:t>
      </w:r>
      <w:r>
        <w:rPr>
          <w:rFonts w:ascii="Times New Roman" w:eastAsia="Times New Roman" w:hAnsi="Times New Roman" w:cs="Times New Roman"/>
          <w:sz w:val="24"/>
          <w:szCs w:val="24"/>
          <w:lang w:val="en-US"/>
        </w:rPr>
        <w:t>é</w:t>
      </w:r>
      <w:r w:rsidRPr="00E66622">
        <w:rPr>
          <w:rFonts w:ascii="Times New Roman" w:eastAsia="Times New Roman" w:hAnsi="Times New Roman" w:cs="Times New Roman"/>
          <w:sz w:val="24"/>
          <w:szCs w:val="24"/>
        </w:rPr>
        <w:t xml:space="preserve"> pripomienky</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C7F9BD" w14:textId="77777777" w:rsidTr="00CD5259">
        <w:trPr>
          <w:trHeight w:val="648"/>
          <w:jc w:val="center"/>
        </w:trPr>
        <w:tc>
          <w:tcPr>
            <w:tcW w:w="1000" w:type="pct"/>
            <w:vAlign w:val="center"/>
          </w:tcPr>
          <w:p w14:paraId="12485476"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7BDCDFBF" w14:textId="3EA361CD" w:rsidR="00E11D16" w:rsidRPr="00E11D16" w:rsidRDefault="00E11D16" w:rsidP="00B325C1">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Podporo</w:t>
            </w:r>
            <w:r w:rsidR="000A158B" w:rsidRPr="000A158B">
              <w:rPr>
                <w:rFonts w:ascii="Times New Roman" w:hAnsi="Times New Roman" w:cs="Times New Roman"/>
                <w:sz w:val="24"/>
                <w:szCs w:val="24"/>
              </w:rPr>
              <w:t>-</w:t>
            </w:r>
            <w:r w:rsidR="000A158B">
              <w:rPr>
                <w:rFonts w:ascii="Times New Roman" w:hAnsi="Times New Roman" w:cs="Times New Roman"/>
                <w:b/>
                <w:bCs/>
                <w:sz w:val="24"/>
                <w:szCs w:val="24"/>
              </w:rPr>
              <w:br/>
            </w:r>
            <w:r>
              <w:rPr>
                <w:rFonts w:ascii="Times New Roman" w:hAnsi="Times New Roman" w:cs="Times New Roman"/>
                <w:b/>
                <w:bCs/>
                <w:sz w:val="24"/>
                <w:szCs w:val="24"/>
              </w:rPr>
              <w:t>vatelia</w:t>
            </w:r>
          </w:p>
        </w:tc>
        <w:tc>
          <w:tcPr>
            <w:tcW w:w="3150" w:type="pct"/>
            <w:vAlign w:val="center"/>
          </w:tcPr>
          <w:p w14:paraId="63809B05"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r>
    </w:tbl>
    <w:p w14:paraId="1F01DA97" w14:textId="77777777" w:rsidR="00E66622" w:rsidRPr="00E66622" w:rsidRDefault="00E66622">
      <w:pPr>
        <w:rPr>
          <w:rFonts w:ascii="Times New Roman" w:hAnsi="Times New Roman" w:cs="Times New Roman"/>
        </w:rPr>
      </w:pPr>
    </w:p>
    <w:sectPr w:rsidR="00E66622" w:rsidRPr="00E66622" w:rsidSect="00E327C3">
      <w:headerReference w:type="even" r:id="rId6"/>
      <w:headerReference w:type="default" r:id="rId7"/>
      <w:footerReference w:type="even" r:id="rId8"/>
      <w:footerReference w:type="default" r:id="rId9"/>
      <w:headerReference w:type="first" r:id="rId10"/>
      <w:footerReference w:type="first" r:id="rId11"/>
      <w:pgSz w:w="15840" w:h="12240" w:orient="landscape"/>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1D0B5" w14:textId="77777777" w:rsidR="00735F5E" w:rsidRPr="00E66622" w:rsidRDefault="00735F5E" w:rsidP="00E66622">
      <w:pPr>
        <w:spacing w:after="0" w:line="240" w:lineRule="auto"/>
      </w:pPr>
      <w:r w:rsidRPr="00E66622">
        <w:separator/>
      </w:r>
    </w:p>
  </w:endnote>
  <w:endnote w:type="continuationSeparator" w:id="0">
    <w:p w14:paraId="5ED96C60" w14:textId="77777777" w:rsidR="00735F5E" w:rsidRPr="00E66622" w:rsidRDefault="00735F5E" w:rsidP="00E66622">
      <w:pPr>
        <w:spacing w:after="0" w:line="240" w:lineRule="auto"/>
      </w:pPr>
      <w:r w:rsidRPr="00E6662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C66DA" w14:textId="77777777" w:rsidR="00E327C3" w:rsidRDefault="00E327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0051462"/>
      <w:docPartObj>
        <w:docPartGallery w:val="Page Numbers (Bottom of Page)"/>
        <w:docPartUnique/>
      </w:docPartObj>
    </w:sdtPr>
    <w:sdtEndPr>
      <w:rPr>
        <w:rFonts w:ascii="Times New Roman" w:hAnsi="Times New Roman"/>
        <w:noProof/>
      </w:rPr>
    </w:sdtEndPr>
    <w:sdtContent>
      <w:p w14:paraId="28835FB3" w14:textId="07C75C14" w:rsidR="00E66622" w:rsidRPr="00A02DB7" w:rsidRDefault="00E66622">
        <w:pPr>
          <w:pStyle w:val="Footer"/>
          <w:jc w:val="center"/>
          <w:rPr>
            <w:rFonts w:ascii="Times New Roman" w:hAnsi="Times New Roman"/>
          </w:rPr>
        </w:pPr>
        <w:r w:rsidRPr="00A02DB7">
          <w:rPr>
            <w:rFonts w:ascii="Times New Roman" w:hAnsi="Times New Roman"/>
          </w:rPr>
          <w:fldChar w:fldCharType="begin"/>
        </w:r>
        <w:r w:rsidRPr="00A02DB7">
          <w:rPr>
            <w:rFonts w:ascii="Times New Roman" w:hAnsi="Times New Roman"/>
          </w:rPr>
          <w:instrText xml:space="preserve"> PAGE   \* MERGEFORMAT </w:instrText>
        </w:r>
        <w:r w:rsidRPr="00A02DB7">
          <w:rPr>
            <w:rFonts w:ascii="Times New Roman" w:hAnsi="Times New Roman"/>
          </w:rPr>
          <w:fldChar w:fldCharType="separate"/>
        </w:r>
        <w:r w:rsidRPr="00A02DB7">
          <w:rPr>
            <w:rFonts w:ascii="Times New Roman" w:hAnsi="Times New Roman"/>
            <w:noProof/>
          </w:rPr>
          <w:t>2</w:t>
        </w:r>
        <w:r w:rsidRPr="00A02DB7">
          <w:rPr>
            <w:rFonts w:ascii="Times New Roman" w:hAnsi="Times New Roman"/>
            <w:noProof/>
          </w:rPr>
          <w:fldChar w:fldCharType="end"/>
        </w:r>
      </w:p>
    </w:sdtContent>
  </w:sdt>
  <w:p w14:paraId="0B4FCCA7" w14:textId="77777777" w:rsidR="00E66622" w:rsidRDefault="00E666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AAD61" w14:textId="77777777" w:rsidR="00E327C3" w:rsidRDefault="00E327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27A24" w14:textId="77777777" w:rsidR="00735F5E" w:rsidRPr="00E66622" w:rsidRDefault="00735F5E" w:rsidP="00E66622">
      <w:pPr>
        <w:spacing w:after="0" w:line="240" w:lineRule="auto"/>
      </w:pPr>
      <w:r w:rsidRPr="00E66622">
        <w:separator/>
      </w:r>
    </w:p>
  </w:footnote>
  <w:footnote w:type="continuationSeparator" w:id="0">
    <w:p w14:paraId="1101139D" w14:textId="77777777" w:rsidR="00735F5E" w:rsidRPr="00E66622" w:rsidRDefault="00735F5E" w:rsidP="00E66622">
      <w:pPr>
        <w:spacing w:after="0" w:line="240" w:lineRule="auto"/>
      </w:pPr>
      <w:r w:rsidRPr="00E6662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08A1" w14:textId="77777777" w:rsidR="00E327C3" w:rsidRDefault="00E327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5D83C" w14:textId="77777777" w:rsidR="00E327C3" w:rsidRDefault="00E327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E4C91" w14:textId="77777777" w:rsidR="00E327C3" w:rsidRDefault="00E327C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47E84"/>
    <w:rsid w:val="00050137"/>
    <w:rsid w:val="00050C83"/>
    <w:rsid w:val="00076DCD"/>
    <w:rsid w:val="000A158B"/>
    <w:rsid w:val="000B2D78"/>
    <w:rsid w:val="000C172E"/>
    <w:rsid w:val="000D3CA3"/>
    <w:rsid w:val="001228AD"/>
    <w:rsid w:val="00131490"/>
    <w:rsid w:val="00131742"/>
    <w:rsid w:val="001433FA"/>
    <w:rsid w:val="00146A7D"/>
    <w:rsid w:val="001D4771"/>
    <w:rsid w:val="001E50FA"/>
    <w:rsid w:val="001E5996"/>
    <w:rsid w:val="001F777F"/>
    <w:rsid w:val="00231554"/>
    <w:rsid w:val="00237490"/>
    <w:rsid w:val="00245F36"/>
    <w:rsid w:val="0026614F"/>
    <w:rsid w:val="002715E0"/>
    <w:rsid w:val="0029170C"/>
    <w:rsid w:val="00295E6A"/>
    <w:rsid w:val="002A4482"/>
    <w:rsid w:val="002C0EB1"/>
    <w:rsid w:val="002C684B"/>
    <w:rsid w:val="002D3B5E"/>
    <w:rsid w:val="002D4B4A"/>
    <w:rsid w:val="002E3CEC"/>
    <w:rsid w:val="002F5089"/>
    <w:rsid w:val="00310F92"/>
    <w:rsid w:val="00312884"/>
    <w:rsid w:val="00335FFB"/>
    <w:rsid w:val="00350421"/>
    <w:rsid w:val="003A5C5F"/>
    <w:rsid w:val="003C31D4"/>
    <w:rsid w:val="003E641E"/>
    <w:rsid w:val="003F1216"/>
    <w:rsid w:val="003F37C1"/>
    <w:rsid w:val="003F501E"/>
    <w:rsid w:val="004029A2"/>
    <w:rsid w:val="004050CF"/>
    <w:rsid w:val="00405348"/>
    <w:rsid w:val="00431C3A"/>
    <w:rsid w:val="00434080"/>
    <w:rsid w:val="00461AE1"/>
    <w:rsid w:val="00491D61"/>
    <w:rsid w:val="004A62B8"/>
    <w:rsid w:val="004B4188"/>
    <w:rsid w:val="004C4683"/>
    <w:rsid w:val="004E0BF7"/>
    <w:rsid w:val="004F4092"/>
    <w:rsid w:val="00513767"/>
    <w:rsid w:val="005146CA"/>
    <w:rsid w:val="0053699B"/>
    <w:rsid w:val="00543901"/>
    <w:rsid w:val="00583F11"/>
    <w:rsid w:val="005B618C"/>
    <w:rsid w:val="005E5B0E"/>
    <w:rsid w:val="005F3E6F"/>
    <w:rsid w:val="00602231"/>
    <w:rsid w:val="006371D1"/>
    <w:rsid w:val="00641DD8"/>
    <w:rsid w:val="00664F3B"/>
    <w:rsid w:val="00695857"/>
    <w:rsid w:val="006C2D6E"/>
    <w:rsid w:val="0070694E"/>
    <w:rsid w:val="00707B3A"/>
    <w:rsid w:val="00735F5E"/>
    <w:rsid w:val="00774ED8"/>
    <w:rsid w:val="00784062"/>
    <w:rsid w:val="0078532E"/>
    <w:rsid w:val="007C1A93"/>
    <w:rsid w:val="007F482B"/>
    <w:rsid w:val="00805BCF"/>
    <w:rsid w:val="00847145"/>
    <w:rsid w:val="008741FE"/>
    <w:rsid w:val="00887B34"/>
    <w:rsid w:val="008C2612"/>
    <w:rsid w:val="008D299D"/>
    <w:rsid w:val="00913D14"/>
    <w:rsid w:val="00917A99"/>
    <w:rsid w:val="00932936"/>
    <w:rsid w:val="00947810"/>
    <w:rsid w:val="009647D6"/>
    <w:rsid w:val="00980D7A"/>
    <w:rsid w:val="009912BF"/>
    <w:rsid w:val="009B1491"/>
    <w:rsid w:val="009D152C"/>
    <w:rsid w:val="009D32B4"/>
    <w:rsid w:val="009E0711"/>
    <w:rsid w:val="009F35D2"/>
    <w:rsid w:val="00A02DB7"/>
    <w:rsid w:val="00A070EB"/>
    <w:rsid w:val="00A36692"/>
    <w:rsid w:val="00A81039"/>
    <w:rsid w:val="00A950A9"/>
    <w:rsid w:val="00AD0FB4"/>
    <w:rsid w:val="00B02EF2"/>
    <w:rsid w:val="00B0310C"/>
    <w:rsid w:val="00B11932"/>
    <w:rsid w:val="00B13231"/>
    <w:rsid w:val="00B13C0C"/>
    <w:rsid w:val="00B325C1"/>
    <w:rsid w:val="00B8742A"/>
    <w:rsid w:val="00B946A0"/>
    <w:rsid w:val="00BB3CF4"/>
    <w:rsid w:val="00BC339E"/>
    <w:rsid w:val="00BC7790"/>
    <w:rsid w:val="00BD7F55"/>
    <w:rsid w:val="00BE323C"/>
    <w:rsid w:val="00BF207A"/>
    <w:rsid w:val="00C06F1F"/>
    <w:rsid w:val="00C13765"/>
    <w:rsid w:val="00C34659"/>
    <w:rsid w:val="00C43D79"/>
    <w:rsid w:val="00C529CC"/>
    <w:rsid w:val="00C84A5B"/>
    <w:rsid w:val="00C904D1"/>
    <w:rsid w:val="00CB600D"/>
    <w:rsid w:val="00CC742E"/>
    <w:rsid w:val="00CD5259"/>
    <w:rsid w:val="00CD7313"/>
    <w:rsid w:val="00CF1D5F"/>
    <w:rsid w:val="00D01FAC"/>
    <w:rsid w:val="00D0302E"/>
    <w:rsid w:val="00D2596D"/>
    <w:rsid w:val="00D44E47"/>
    <w:rsid w:val="00D466F6"/>
    <w:rsid w:val="00D610D0"/>
    <w:rsid w:val="00D91683"/>
    <w:rsid w:val="00DA267A"/>
    <w:rsid w:val="00DB2917"/>
    <w:rsid w:val="00DB4797"/>
    <w:rsid w:val="00DD2850"/>
    <w:rsid w:val="00DD302E"/>
    <w:rsid w:val="00DD7CB5"/>
    <w:rsid w:val="00DF139C"/>
    <w:rsid w:val="00E07639"/>
    <w:rsid w:val="00E078E8"/>
    <w:rsid w:val="00E113C2"/>
    <w:rsid w:val="00E11D16"/>
    <w:rsid w:val="00E327C3"/>
    <w:rsid w:val="00E37A37"/>
    <w:rsid w:val="00E41A2D"/>
    <w:rsid w:val="00E66622"/>
    <w:rsid w:val="00E92A50"/>
    <w:rsid w:val="00EA3B3C"/>
    <w:rsid w:val="00EE00C6"/>
    <w:rsid w:val="00EE3DCD"/>
    <w:rsid w:val="00F0653F"/>
    <w:rsid w:val="00F17D8C"/>
    <w:rsid w:val="00F456DC"/>
    <w:rsid w:val="00F66A1B"/>
    <w:rsid w:val="00F8431B"/>
    <w:rsid w:val="00F85AB8"/>
    <w:rsid w:val="00F907A2"/>
    <w:rsid w:val="00FA016F"/>
    <w:rsid w:val="00FA40AE"/>
    <w:rsid w:val="00FD17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D16"/>
    <w:rPr>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 w:type="character" w:styleId="CommentReference">
    <w:name w:val="annotation reference"/>
    <w:basedOn w:val="DefaultParagraphFont"/>
    <w:uiPriority w:val="99"/>
    <w:semiHidden/>
    <w:unhideWhenUsed/>
    <w:rsid w:val="00CD5259"/>
    <w:rPr>
      <w:sz w:val="16"/>
      <w:szCs w:val="16"/>
    </w:rPr>
  </w:style>
  <w:style w:type="paragraph" w:styleId="CommentText">
    <w:name w:val="annotation text"/>
    <w:basedOn w:val="Normal"/>
    <w:link w:val="CommentTextChar"/>
    <w:uiPriority w:val="99"/>
    <w:semiHidden/>
    <w:unhideWhenUsed/>
    <w:rsid w:val="00CD5259"/>
    <w:pPr>
      <w:spacing w:line="240" w:lineRule="auto"/>
    </w:pPr>
    <w:rPr>
      <w:sz w:val="20"/>
      <w:szCs w:val="20"/>
    </w:rPr>
  </w:style>
  <w:style w:type="character" w:customStyle="1" w:styleId="CommentTextChar">
    <w:name w:val="Comment Text Char"/>
    <w:basedOn w:val="DefaultParagraphFont"/>
    <w:link w:val="CommentText"/>
    <w:uiPriority w:val="99"/>
    <w:semiHidden/>
    <w:rsid w:val="00CD5259"/>
    <w:rPr>
      <w:sz w:val="20"/>
      <w:szCs w:val="20"/>
      <w:lang w:val="sk-SK"/>
    </w:rPr>
  </w:style>
  <w:style w:type="paragraph" w:styleId="CommentSubject">
    <w:name w:val="annotation subject"/>
    <w:basedOn w:val="CommentText"/>
    <w:next w:val="CommentText"/>
    <w:link w:val="CommentSubjectChar"/>
    <w:uiPriority w:val="99"/>
    <w:semiHidden/>
    <w:unhideWhenUsed/>
    <w:rsid w:val="00CD5259"/>
    <w:rPr>
      <w:b/>
      <w:bCs/>
    </w:rPr>
  </w:style>
  <w:style w:type="character" w:customStyle="1" w:styleId="CommentSubjectChar">
    <w:name w:val="Comment Subject Char"/>
    <w:basedOn w:val="CommentTextChar"/>
    <w:link w:val="CommentSubject"/>
    <w:uiPriority w:val="99"/>
    <w:semiHidden/>
    <w:rsid w:val="00CD5259"/>
    <w:rPr>
      <w:b/>
      <w:bCs/>
      <w:sz w:val="20"/>
      <w:szCs w:val="20"/>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10" Target="header3.xml" Type="http://schemas.openxmlformats.org/officeDocument/2006/relationships/header"/><Relationship Id="rId11" Target="footer3.xml" Type="http://schemas.openxmlformats.org/officeDocument/2006/relationships/footer"/><Relationship Id="rId12" Target="fontTable.xml" Type="http://schemas.openxmlformats.org/officeDocument/2006/relationships/fontTable"/><Relationship Id="rId13" Target="theme/theme1.xml" Type="http://schemas.openxmlformats.org/officeDocument/2006/relationships/theme"/><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header2.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57</Words>
  <Characters>330</Characters>
  <Application>Microsoft Office Word</Application>
  <DocSecurity>0</DocSecurity>
  <Lines>2</Lines>
  <Paragraphs>1</Paragraphs>
  <ScaleCrop>false</ScaleCrop>
  <Company/>
  <LinksUpToDate>false</LinksUpToDate>
  <CharactersWithSpaces>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2025-01-21T11:18:00Z</dcterms:modified>
  <cp:revision>61</cp:revision>
</cp:coreProperties>
</file>