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371/2014 Z. z. o riešení krízových situácií na finančnom trhu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LP/2024/678</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60/0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60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50</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7</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 4 navrhujeme časť novelizujúcu  písmeno e) odčleniť do samostatného bodu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6 navrhujeme upraviť znenie  novelizačnej inštrukcie nasledovne: „V §8a ods. 3 sa na konci bodka nahrádza bodkočiarkou a pripájajú sa tieto slová:“ a v nadväznosti na uvedené na konci pripájaného textu doplniť bodku. Pripomienka platí primerane aj pre čl. I bod 16.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zaužívanej legislatívnej praxe a aktuálne platným legislatívnym pravidlám, nesúhlasíme s danou úpravou.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 19 navrhujeme upraviť nasledovne „V § 17b ... sa slová „§ 14 a 15“ nahrádzajú slovami „§ 14, § 15 a 17“.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 20 navrhujeme časť novelizujúcu písmeno b) odčleniť do samostatného bodu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 30 navrhujeme časť novelizujúcu písmeno b) odčleniť do samostatného body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34 navrhujeme na začiatok citácie poznámky pod čiarou k odkazu 70kb vložiť „Čl.“.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59 v § 31e ods. 4 písm. a) prvom bode  bodoch 1c a 1d navrhujeme na konci čiarku nahradiť významovo správnou spojkou.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nie je akceptovaná, keďže aktuálne znenie v plnej miere kopíruje znenie smernice. Ak by sa tam dodala spojka, mohlo by prísť k neprávnemu výkladu, čo by mohlo mať dopady na nesúhlasné vyhodnotenie transpozície smernice do slovenského právneho poriadku.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 64 navrhujeme časť novelizujúcu písmeno d) odčleniť do samostatného body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66 v § 31e ods. 12 úvodnej časti vety navrhujeme vypustiť slová „písm. a) a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81 navrhujeme vypustiť slová „prvej vete“.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90 navrhujeme slová „Ak v odsekoch 4 a 5 nie je ustanovené“ nahradiť slovami „Ak odseky 4 a 5 neustanovujú“.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91 navrhujeme poslednú vetu upraviť takto: „Osobitný predpis106c) sa použije primerane.“.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6e ods. 16</w:t>
              <w:br/>
            </w:r>
            <w:r>
              <w:rPr>
                <w:b w:val="off"/>
                <w:color w:val="000000"/>
                <w:rFonts w:ascii="Times New Roman" w:hAnsi="Times New Roman" w:cs="Times New Roman" w:eastAsia="Times New Roman"/>
                <w:sz w:val="24"/>
              </w:rPr>
              <w:t>V navrhovanom § 6e ods. 16 poukazujeme na skutočnosť, že kým v jeho druhej vete sa žaloba proti oceneniu priamo spája so žalobou proti rozhodnutiu rady v pléne, ktorého je súčasťou, upresnenie pre rozklad proti takémuto rozhodnutiu sa v predmetnom ustanovení nespomína. Z prvej vety síce ako pre správnu žalobu proti oceneniu, tak aj pre rozklad proti oceneniu vyplýva, že nesmú byť podané samostatne, avšak v ustanovení chýba upresnenie v intenciách druhej vety aj pre rozklad.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31b ods. 4</w:t>
              <w:br/>
            </w:r>
            <w:r>
              <w:rPr>
                <w:b w:val="off"/>
                <w:color w:val="000000"/>
                <w:rFonts w:ascii="Times New Roman" w:hAnsi="Times New Roman" w:cs="Times New Roman" w:eastAsia="Times New Roman"/>
                <w:sz w:val="24"/>
              </w:rPr>
              <w:t>V navrhovanom § 31b ods. 4 písm. b) odporúčame pri určení príslušných záväzkov dôsledne dodržiavať bod 23.1 Prílohy č. 1 Legislatívnych pravidiel vlády. Z dôvodu všeobecnej zrozumiteľnosti je potrebné presne v texte ustanovenia určiť, o aké záväzky ide.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Neakceptujeme, keďže sme toho názoru, že v predmetnom bode sa v odkazoch 70ak) a 70kb)jasne odkazuje na záväzky, ktoré sú stanovené v smernici, resp. ktoré sa odkazuje na jednotlivé ustanovenia nariadenia 575/2013.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59</w:t>
              <w:br/>
            </w:r>
            <w:r>
              <w:rPr>
                <w:b w:val="off"/>
                <w:color w:val="000000"/>
                <w:rFonts w:ascii="Times New Roman" w:hAnsi="Times New Roman" w:cs="Times New Roman" w:eastAsia="Times New Roman"/>
                <w:sz w:val="24"/>
              </w:rPr>
              <w:t>V čl. I bode 59 odporúčame v súvislosti s ovládaním dcérskej spoločnosti použiť iný pojem než dosiaľ neustálený a nejasný pojem „priama držba“,  a to napríklad použitím pojmov súvisiacich s vlastníctvom obchodného podielu resp. akcií.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w:t>
              <w:br/>
            </w:r>
            <w:r>
              <w:rPr>
                <w:b w:val="off"/>
                <w:color w:val="000000"/>
                <w:rFonts w:ascii="Times New Roman" w:hAnsi="Times New Roman" w:cs="Times New Roman" w:eastAsia="Times New Roman"/>
                <w:sz w:val="24"/>
              </w:rPr>
              <w:t>Vzhľadom na konštatovanie uvádzané v predkladacej správe ako aj v dôvodovej správe k návrhu zákona, že predkladaným materiálom má dochádzať k transpozícii čl. 1 smernice Európskeho parlamentu a Rady (EÚ) 2024/1174 z 11. apríla 2024, ktorou sa mení smernica 2014/59/EÚ a nariadenie (EÚ) č. 806/2014, pokiaľ ide o určité aspekty minimálnej požiadavky na vlastné zdroje a oprávnené záväzky (ďalej len „smernica 2024/1174“), ako aj vzhľadom na navrhované doplnenie transpozičnej prílohy zákona č. 371/2014 Z. z. v novelizačnom čl. I, bode 92., odporúčame predkladateľovi vypracovať a k materiálu pripojiť v súlade s § 7 ods. 1 písm. g) zákona č. 400/2015 Z. z. o tvorbe právnych predpisov a o Zbierke zákonov Slovenskej republiky a o zmene a doplnení niektorých zákonov v znení neskorších predpisov a čl. 18 ods. 1 písm. h) Legislatívnych pravidiel vlády Slovenskej republiky aj príslušnú tabuľku zhody k smernici 2024/1174.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tabuľka zhody je vypracovaná.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 6b ods. 2 písm. d) a e)) návrhu zákona</w:t>
              <w:br/>
            </w:r>
            <w:r>
              <w:rPr>
                <w:b w:val="off"/>
                <w:color w:val="000000"/>
                <w:rFonts w:ascii="Times New Roman" w:hAnsi="Times New Roman" w:cs="Times New Roman" w:eastAsia="Times New Roman"/>
                <w:sz w:val="24"/>
              </w:rPr>
              <w:t>Odporúčame predkladateľovi zmeny, ktoré sa navrhujú v § 6b ods. 2 vykonať rozdeliť do dvoch samostatných novelizačných bodov. Akceptovanie pripomienky by si vyžiadalo prečíslovanie nasledujúcich novelizačných bodov.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 (§ 6e ods. 16) návrhu zákona</w:t>
              <w:br/>
            </w:r>
            <w:r>
              <w:rPr>
                <w:b w:val="off"/>
                <w:color w:val="000000"/>
                <w:rFonts w:ascii="Times New Roman" w:hAnsi="Times New Roman" w:cs="Times New Roman" w:eastAsia="Times New Roman"/>
                <w:sz w:val="24"/>
              </w:rPr>
              <w:t>V súvislosti s odôvodnením navrhovaného doplnenia ustanovenia § 6e o nový odsek 16 uvádzaným v osobitnej časti dôvodovej správy môžeme uviesť, že všeobecne rozumieme potrebe predmetnej úpravy avšak dávame predkladateľovi na zváženie jej iné jazykovo-štylistické vyjadrenie. Najmä s ohľadom na znenie § 51 ods.  1 v spojení s § 51 ods. 5 a 17 zákona č. 371/2014 Z. z., ktoré uvádza, že ocenenie je „podkladom rozhodnutia rady“, pričom toto sa vykonáva za účelom preskúmania naplnenia zákonných podmienok (resp. zabezpečenia vecného podloženia rozhodnutia) ešte pred vynesením rozhodnutia alebo iným výkonom právomoci zvereným zákonom č. 371/2014 Z. z. rade, resp. výkonnému členovi rady, teda samo o sebe má povahu dôkazného prostriedku (ktorým sa náležite objasňujú skutočnosti dôležité pre konečné rozhodnutie vo veci samej) sa ako vhodnejšie javí, aby predmetná úprava bola formulovaná všeobecnejšie (po vzore iných procesných poriadkov). Dávame predkladateľovi na zváženie ustanovenie formulovať nasledovne:</w:t>
              <w:br/>
            </w:r>
            <w:r>
              <w:rPr>
                <w:b w:val="off"/>
                <w:color w:val="000000"/>
                <w:rFonts w:ascii="Times New Roman" w:hAnsi="Times New Roman" w:cs="Times New Roman" w:eastAsia="Times New Roman"/>
                <w:sz w:val="24"/>
              </w:rPr>
              <w:t>„(16) Rozklad alebo správna žaloba podľa osobitného predpisu28f) len proti odôvodneniu rozhodnutia nie je prípustná.“. alebo v alternatíve „ (16) Rozklad alebo správna žaloba podľa osobitného predpisu28f) len proti dôvodom rozhodnutia, ktorých podkladom je výlučne len ocenenie podľa § 51 nie je prípustná. “.</w:t>
              <w:br/>
            </w:r>
            <w:r>
              <w:rPr>
                <w:b w:val="off"/>
                <w:color w:val="000000"/>
                <w:rFonts w:ascii="Times New Roman" w:hAnsi="Times New Roman" w:cs="Times New Roman" w:eastAsia="Times New Roman"/>
                <w:sz w:val="24"/>
              </w:rPr>
              <w:t>Dovetok v zmysle druhej vety navrhovaného ustanovenia v znení „Ocenenie podľa § 51 sa posudzuje v rámci konania pred správnym súdom na základe správnej žaloby podľa osobitného predpisu28f) proti rozhodnutiu rady v pléne, ktorého je súčasťou.“. sa nám javí ako nadbytočný. Rozumieme, že predkladateľ aj v tomto prípade vychádza zo znenia čl. 36 ods. 13 Smernice Európskeho parlamentu a Rady 2014/59/EÚ z 15. mája 2014, ktorou sa stanovuje rámec pre ozdravenie a riešenie krízových situácií úverových inštitúcií a investičných spoločností a ktorou sa mení smernica Rady 82/891/EHS a smernice Európskeho parlamentu a Rady 2001/24/ES, 2002/47/ES, 2004/25/ES, 2005/56/ES, 2007/36/ES, 2011/35/EÚ, 2012/30/EÚ a 2013/36/EÚ a nariadenia Európskeho parlamentu a Rady (EÚ) č. 1093/2010 a (EÚ) č. 648/2012 v znení smernice 2024/1174 a odporúčaní vyplývajúcich z kontroly Európskej Komisie (Ares(2023)3533375) ako sa uvádza v osobitnej časti dôvodovej správy, uvedená skutočnosť (t. j. možnosť preskúmania ocenenia podľa § 51 len v rámci súdneho prieskumu správneho rozhodnutia, ktorého bolo ocenenie podľa § 51 podkladom) je však daná už len tým, že ide o správne rozhodnutie podliehajúce súdnemu prieskumu. Takáto výslovná pozitívno-právna formulácia teda deklaratórne konštatuje to, čo je aktuálne platné a preto sa javí ako účelová a nadbytočná.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 podľa alternatívy č.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 (§ 8a ods. 4 písm. b)) návrhu zákona</w:t>
              <w:br/>
            </w:r>
            <w:r>
              <w:rPr>
                <w:b w:val="off"/>
                <w:color w:val="000000"/>
                <w:rFonts w:ascii="Times New Roman" w:hAnsi="Times New Roman" w:cs="Times New Roman" w:eastAsia="Times New Roman"/>
                <w:sz w:val="24"/>
              </w:rPr>
              <w:t>Dovoľujeme si predkladateľa upozorniť, že ustanovenia § 17 ods. 3 až 7, na ktoré sa v § 8a ods. 4 písm. b) vnútorne odkazuje sa predloženým návrhom zákona neprečíslovávajú.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Doplnené správne odôvodnenie k predmetnej úprave.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53. (§ 31b ods. 36) návrhu zákona</w:t>
              <w:br/>
            </w:r>
            <w:r>
              <w:rPr>
                <w:b w:val="off"/>
                <w:color w:val="000000"/>
                <w:rFonts w:ascii="Times New Roman" w:hAnsi="Times New Roman" w:cs="Times New Roman" w:eastAsia="Times New Roman"/>
                <w:sz w:val="24"/>
              </w:rPr>
              <w:t>Odporúčame predkladateľovi prehodnotiť znenie navrhovaného ustanovenia najmä s poukazom na použitie slov „podľa toho čo je vhodné“, nakoľko tieto pôsobia, že ustanovenie ako také nie je pre adresátov normy podľa nášho názoru dostatočne určité a zrozumiteľné.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Neakceptujeme pripomienku, keďže ide o presné znenie smernice. V prípade rozdielnej úpravy by mohli byť zmeny vyhodnotené ako nesúladné so znením smernice.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59. (§ 31e ods. 4) návrhu zákona</w:t>
              <w:br/>
            </w:r>
            <w:r>
              <w:rPr>
                <w:b w:val="off"/>
                <w:color w:val="000000"/>
                <w:rFonts w:ascii="Times New Roman" w:hAnsi="Times New Roman" w:cs="Times New Roman" w:eastAsia="Times New Roman"/>
                <w:sz w:val="24"/>
              </w:rPr>
              <w:t>Rozumieme, že uvedené ustanovenie je výsledkom transpozície čl. 45f ods. 1 tretí pododsek Smernice 2014/59/EU v znení smernice 2024/1174, v tejto súvislosti však považujeme za potrebné upozorniť, že slovenský právny poriadok nepozná, resp. nedefinuje obsah pojmu „priama držba“ obchodnej spoločnosti. V tejto súvislosti je možné hovoriť o držbe akcií, resp. o vlastníctve obchodného podielu v obchodnej spoločnosti, ktorý vzhľadom na podiel hlasovacích práv s nimi spojených alebo podiel na základnom imaní umožňujú výkon priameho vplyvu na ich správu a riadenie, ale nie o „držbe“ obchodnej spoločnosti. Napriek tomu, že v danom prípade identické znenie obsahuje priamo smernica 2014/59/EU v znení smernice 2024/1174, ani to však nebráni tomu, aby príslušný gestor transpozície túto zasadil do kontextu vnútroštátnej právnej úpravy. Transpozícia smernice 2014/59/EU v znení smernice 2024/1174 by sa podľa nášho názoru nemala obmedziť len formálne (jazykovo) doslovné prebratie textu právneho aktu EU, ale mala by zohľadniť systém národného právneho poriadku, a tým minimalizovať nezrovnalosti, ktoré tak môžu vzniknúť nielen v rovine terminologickej, no najmä v rovine vecnej.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 materiálu</w:t>
              <w:br/>
            </w:r>
            <w:r>
              <w:rPr>
                <w:b w:val="off"/>
                <w:color w:val="000000"/>
                <w:rFonts w:ascii="Times New Roman" w:hAnsi="Times New Roman" w:cs="Times New Roman" w:eastAsia="Times New Roman"/>
                <w:sz w:val="24"/>
              </w:rPr>
              <w:t>Na obale materiálu odporúčame ako podnet uviesť iniciatívny návrh a to podľa čl. 5 ods. 1 písm. e) Smernice na prípravu a predkladanie materiálov na rokovanie vlády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Ako podnet bolo na obale materiálu uvedené uznesenie vlády SR č. 589 zo dňa 02.10.2024 - úloha: B.17.</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Tabuľka zhody</w:t>
              <w:br/>
            </w:r>
            <w:r>
              <w:rPr>
                <w:b w:val="off"/>
                <w:color w:val="000000"/>
                <w:rFonts w:ascii="Times New Roman" w:hAnsi="Times New Roman" w:cs="Times New Roman" w:eastAsia="Times New Roman"/>
                <w:sz w:val="24"/>
              </w:rPr>
              <w:t>V Tabuľke zhody odporúčame uviesť aj</w:t>
              <w:br/>
            </w:r>
            <w:r>
              <w:rPr>
                <w:b w:val="off"/>
                <w:color w:val="000000"/>
                <w:rFonts w:ascii="Times New Roman" w:hAnsi="Times New Roman" w:cs="Times New Roman" w:eastAsia="Times New Roman"/>
                <w:sz w:val="24"/>
              </w:rPr>
              <w:t>-  smernicu Európskeho parlamentu a Rady (EÚ) 2024/1174 z 11. apríla 2024, ktorou sa mení smernica 2014/59/EÚ a nariadenia (EÚ) č. 806/2014, pokiaľ ide o určité aspekty minimálnej požiadavky na vlastné zdroje a oprávnené záväzky,</w:t>
              <w:br/>
            </w:r>
            <w:r>
              <w:rPr>
                <w:b w:val="off"/>
                <w:color w:val="000000"/>
                <w:rFonts w:ascii="Times New Roman" w:hAnsi="Times New Roman" w:cs="Times New Roman" w:eastAsia="Times New Roman"/>
                <w:sz w:val="24"/>
              </w:rPr>
              <w:t>- nariadenie Európskeho Parlamentu a Rady (EÚ) 2022/2036 z 19. októbra 2022, ktorým sa mení nariadenie (EÚ) č. 575/2013 a smernica 2014/59/EÚ, pokiaľ ide o prudenciálne zaobchádzanie s globálnymi systémovo významnými inštitúciami so stratégiou riešenia krízových situácií vo viacerých okamihoch a metódy nepriameho upisovania nástrojov oprávnených na splnenie minimálnej požiadavky na vlastné zdroje a oprávnené záväzky.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K predmetným smerniciam boli predložené samostatné tabuľky zhody. V rámci MPK tieto neboli systémovou chybou nahraté na Slov-lex.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V prvej vete predkladacej správy odporúčame slová „smernice 2014/59/EÚ  smernice" nahradiť slovami "a smernica 2014/59/EÚ“.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 všeobecná časť</w:t>
              <w:br/>
            </w:r>
            <w:r>
              <w:rPr>
                <w:b w:val="off"/>
                <w:color w:val="000000"/>
                <w:rFonts w:ascii="Times New Roman" w:hAnsi="Times New Roman" w:cs="Times New Roman" w:eastAsia="Times New Roman"/>
                <w:sz w:val="24"/>
              </w:rPr>
              <w:t>Vo všeobecnej časti dôvodovej správy odporúčame preformulovať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sa teda predkladá z dôvodu povinnosti implementovať smernicu BRRD a jej následné novely do slovenského právneho poriadku (do zákona č. 371/2014 Z. z. o riešení krízových situácií na finančnom trhu a o zmene a doplnení niektorých zákonov v znení neskorších predpisov) s cieľom znižovania rizík v bankovom sektore, posilňovania odolnosti regulovaných subjektov voči prípadným ekonomickým otrasom a tým prispievať k upevneniu finančného systému.“,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„Návrhom zákona sa do slovenského právneho poriadku implementuje smernica Európskeho parlamentu a Rady (EÚ) 2024/1174 z 11. apríla 2024, ktorou sa mení smernica 2014/59/EÚ a nariadenia (EÚ) č. 806/2014, pokiaľ ide o určité aspekty minimálnej požiadavky na vlastné zdroje a oprávnené záväzky a nariadenie Európskeho Parlamentu a Rady (EÚ) 2022/2036 z 19. októbra 2022, ktorým sa mení nariadenie (EÚ) č. 575/2013 a smernica 2014/59/EÚ, pokiaľ ide o prudenciálne zaobchádzanie s globálnymi systémovo významnými inštitúciami so stratégiou riešenia krízových situácií vo viacerých okamihoch a metódy nepriameho upisovania nástrojov oprávnených na splnenie minimálnej požiadavky na vlastné zdroje a oprávnené záväzky.“.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Formulačné spresnenie; návrhom zákona sa neimplementuje bezprostredne smernica BRRD.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 osobitná časť</w:t>
              <w:br/>
            </w:r>
            <w:r>
              <w:rPr>
                <w:b w:val="off"/>
                <w:color w:val="000000"/>
                <w:rFonts w:ascii="Times New Roman" w:hAnsi="Times New Roman" w:cs="Times New Roman" w:eastAsia="Times New Roman"/>
                <w:sz w:val="24"/>
              </w:rPr>
              <w:t>Poslednú vetu osobitnej časti dôvodovej správy  k bodu 81 odporúčame upraviť nasledovne: „Takéto náklady môžu mať nanajvýš dočasný negatívny vplyv na štátny rozpočet, pretože sa zároveň zavádza povinnosť Rady vzniknuté náklady vymáhať od finančných inštitúcií a následne ich po vymožení previesť na účet štátnych finančných aktív.“.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Formulačné spresnenie.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Sme toho názoru, že vzhľadom ku skutočnosti, že poskytnuté finančné prostriedky budú preplatené zo strany finančných inštitúcií jedná sa o neutrálny vplyv na štátny rozpočet.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	Upozorňujeme, že predkladaný návrh zákona predstavuje transpozíciu viacerých sekundárnych právnych aktov EÚ, avšak  preukázanie úplnosti a správnosti transpozícii prostredníctvom tabuliek zhody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 tabuľky zhody sú doložené k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	Predkladaným návrhom zákona dochádza k transpozícii viacerých ustanovení smernice (EÚ) 2024/1174. Ide napríklad o čl. 1 ods. 1 smernice (EÚ) 2024/1174, ktorý sa transponuje do navrhovaného § 2 písm. at),  čl. 1 ods. 2 smernice (EÚ) 2024/1174, ktorý sa transponuje do navrhovaného § 31b ods. 5 až 7, ďalej je to ustanovenie čl. 1 ods. 3 písm. a) smernice (EÚ) 2024/1174, ktorý sa transponuje do navrhovaného § 31e ods. 4,  čl. 1 ods. 3 písm. b) smernice (EÚ) 2024/1174, ktorý sa transponuje do navrhovaného § 31e ods. 11 a 12,  čl. 1 ods. 4 smernice (EÚ) 2024/1174, ktorý sa transponuje do navrhovaného § 31g ods. 6,  a ustanovenie čl. 1 ods. 5 smernice (EÚ) 2024/1174, ktoré sa transponuje do navrhovaného § 31h. V tejto súvislosti žiadame predložiť v ďalšom štádiu tohto legislatívneho procesu tabuľku zhody so smernicou (EÚ) 2024/1174, ktorou dôjde k preukázaniu úplnosti a správnosti transpozície uvedených článkov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3.	Podľa doložky zlučiteľnosti dochádza predkladaným návrhom zákona k transpozícii čl. 1 bodu 17 smernice (EÚ) 2019/879 v platnom znení a to v dôsledku zmeny ustanovenia čl. 45i ods. 3 smernice 2014/59/EÚ v platnom znení. V nadväznosti na uvedené žiadame predložiť v ďalšom štádiu tohto legislatívneho procesu tabuľku zhody so smernicou (EÚ) 2019/879 v platnom znení, ktorou dôjde k preukázaniu úplnosti a správnosti všetkých relevantných transpozícií v súvislosti s predkladaným návrhom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4.	K Čl. I bod 34: Žiadame doplniť osobitnú časť dôvodovej správy k tomuto ustanoveniu.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odôvodnenie, že ide o transpozícia čl. 1 ods. 2 smernice (EÚ) 2024/1174, ktorou sa mení smernica 2014/59/EÚ a nariadenie (EÚ) č. 806/2014, pokiaľ ide o určité aspekty minimálnej požiadavky na vlastné zdroje a oprávnené záväzky, ktorá vkladá nový odsek 2a v článku 45c smernice 2014/59/EÚ.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5.	K Čl. I bod 34: Žiadame vysvetliť navrhované znenie ustanovenia § 31b ods. 4 písm. b) pokiaľ ide o vylúčenie určitej kategórie záväzkov, ktoré spĺňajú kritéria oprávnenosti podľa čl. 72b ods. 2 písm. b) a d) nariadenia (EÚ) č. 575/2013 v platnom znení. Nie je zrejmé, z čoho navrhované obmedzenie vyplýva.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odôvodnenie, že ide o transpozícia čl. 1 ods. 2 smernice (EÚ) 2024/1174, ktorou sa mení smernica 2014/59/EÚ a nariadenie (EÚ) č. 806/2014, pokiaľ ide o určité aspekty minimálnej požiadavky na vlastné zdroje a oprávnené záväzky, ktorá vkladá nový odsek 2a v článku 45c smernice 2014/59/EÚ.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6.	K Čl. I bod 83: Žiadame prepracovať osobitnú časť dôvodovej správy k tomuto bodu a uviesť, že ide o transpozíciu čl. 48 ods. 1 písm. e) smernice 2014/59/EÚ v platnom znení. Zároveň žiadame doplniť tabuľku zhody k smernici 2014/59/EÚ v platnom znení, ktorou dôjde k preukázaniu úplnej a správnej transpozície daného ustanovenia do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Dopracované v zmysle, že ide o zmeny, ktorých cieľom je spresnenie transpozície ustanovenia čl. 48 ods. 1 písm. e) BRRD.</w:t>
              <w:br/>
            </w:r>
            <w:r>
              <w:rPr>
                <w:b w:val="off"/>
                <w:color w:val="000000"/>
                <w:rFonts w:ascii="Times New Roman" w:hAnsi="Times New Roman" w:cs="Times New Roman" w:eastAsia="Times New Roman"/>
                <w:sz w:val="24"/>
              </w:rPr>
              <w:t>Zároveň boli zmeny upravené v tabuľke zhody k smernici 2019/879, ktorou sa mení smernica 2014/59/EÚ.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7.	K Čl. I bod 92: V navrhovanom znení bodu 92 dochádza k doplneniu transpozičnej prílohy o nariadenie (EÚ) 2022/2036, ktorým dochádza k zmene niektorých ustanovení smernice 2014/59/EÚ v platnom znení. Upozorňujeme, že pokiaľ nariadenie EÚ mení smernicu, správa sa ako smernica a je potrebné ho transponovať. V tejto súvislosti požadujeme predložiť tabuľku zhody k nariadeniu (EÚ) 2022/2036, ktorou dôjde k preukázaniu úplnosti a správnosti transpozície jednotlivých ustanovení do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1.	V ľavom záhlaví tabuľky zhody žiadame upraviť citáciu smernice nasledovne: „Smernica Európskeho parlamentu a Rady 2014/59/EÚ z 15. mája 2014, ktorou sa stanovuje rámec pre ozdravenie a riešenie krízových situácií úverových inštitúcií a investičných spoločností a ktorou sa mení smernica Rady 82/891/EHS a smernice Európskeho parlamentu a Rady 2001/24/ES, 2002/47/ES, 2004/25/ES, 2005/56/ES, 2007/36/ES, 2011/35/EÚ, 2012/30/EÚ a 2013/36/EÚ a nariadenia Európskeho parlamentu a Rady (EÚ) č. 1093/2010 a (EÚ) č. 648/2012 (Ú. v. EÚ L 173, 12.6.2014)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2.	Žiadame do tabuľky zhody doplniť a preukázať transpozíciu článku 9 ods. 2 smernice 2014/59/EÚ v platnom znení, nakoľko podľa osobitnej časti dôvodovej správy dochádza k transpozícii tohto článku smernice do navrhovaného Čl. I bod 91, ktorým dochádza k doplneniu § 97 ods. 6.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Transpozícia bola vykázaná v tabuľke zhody k smernici č. 2014/49, keďže navrhovanou zmenou dochádza k precizovaniu transpozície čl. 9 ods. 2 smernice 2014/49/EÚ zo 16. apríla 2014 o systémoch ochrany vkladov, ktorý upravuje nárok systému ochrany vkladov voči banke v prípade uskutočnenia výplat v súvislosti s postupom riešenia krízových situácií.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3.	Žiadame do tabuľky zhody doplniť a preukázať transpozíciu článku 18 ods. 1 smernice 2014/59/EÚ v platnom znení, nakoľko podľa osobitnej časti dôvodovej správy dochádza k zmene transpozičného opatrenia v navrhovanom Čl. I bod 21, ktorým dochádza k zmene § 29 ods. 1.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4.	Žiadame do tabuľky zhody doplniť a preukázať transpozíciu článku 18 ods. 3 smernice 2014/59/EÚ v platnom znení, nakoľko podľa osobitnej časti dôvodovej správy dochádza k zmene transpozičného opatrenia v navrhovanom Čl. I bod 22 a 23, ktorými dochádza k zmene § 29 ods. 6 a 7.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5.	Žiadame do tabuľky zhody doplniť a preukázať transpozíciu článku 18 ods. 6a smernice 2014/59/EÚ v platnom znení, nakoľko podľa osobitnej časti dôvodovej správy dochádza k zmene transpozičného opatrenia v navrhovanom Čl. I bod 24, ktorým dochádza k zmene odkazu pod čiarou 68a.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6.	Žiadame do tabuľky zhody doplniť a preukázať transpozíciu článku 18 ods. 7 smernice 2014/59/EÚ v platnom znení, nakoľko podľa osobitnej časti dôvodovej správy dochádza k zmene transpozičného opatrenia v navrhovanom Čl. I bod 25, ktorým dochádza k zmene § 29 ods. 15.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7.	Žiadame do tabuľky zhody doplniť a preukázať transpozíciu článku 32 ods. 1 smernice 2014/59/EÚ v platnom znení, nakoľko podľa osobitnej časti dôvodovej správy dochádza k zmene transpozičného opatrenia v navrhovanom Čl. I bod 76, ktorým dochádza k zmene § 34 ods. 1.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8.	Žiadame do tabuľky zhody doplniť a preukázať transpozíciu článku 32b smernice 2014/59/EÚ v platnom znení, nakoľko podľa osobitnej časti dôvodovej správy dochádza k zmene transpozičného opatrenia v navrhovanom Čl. I bod 77, ktorým dochádza k zmene § 38 ods. 5.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9.	Žiadame do tabuľky zhody doplniť a preukázať transpozíciu článku 33a ods. 10 písm. a) a b) smernice 2014/59/EÚ v platnom znení, nakoľko podľa osobitnej časti dôvodovej správy dochádza k zmene transpozičného opatrenia v navrhovanom Čl. I bod 6 a 7, ktorým dochádza k zmene § 8a.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10.	Žiadame do tabuľky zhody doplniť a preukázať transpozíciu článku 36 ods. 4  smernice 2014/59/EÚ v platnom znení, nakoľko podľa osobitnej časti dôvodovej správy dochádza k zmene transpozičného opatrenia v navrhovanom Čl. I bod 79, ktorým dochádza k zmene § 51 ods. 5.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11.	Žiadame do tabuľky zhody doplniť a preukázať transpozíciu článku 36 ods. 13 smernice 2014/59/EÚ v platnom znení, nakoľko podľa osobitnej časti dôvodovej správy dochádza k transpozícii tohto článku smernice do navrhovaného Čl. I bod 5, ktorým dochádza k doplneniu §6e o odsek 16.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36 ods. 13 už bol uvedený v tabuľke zhody k smernici 2014/59 a bola preukázaná transpozícia § 6a ods. 16.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12.	Žiadame do tabuľky zhody doplniť a preukázať transpozíciu článku 44a ods. 2 smernice 2014/59/EÚ v platnom znení, nakoľko podľa osobitnej časti dôvodovej správy dochádza k zmene transpozičného opatrenia v navrhovanom Čl. I bod 74 ktorým dochádza k zmene § 31j.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13.	Žiadame do tabuľky zhody doplniť a preukázať transpozíciu článku 45b ods. 3 a 4 smernice 2014/59/EÚ v platnom znení, nakoľko podľa osobitnej časti dôvodovej správy dochádza k zmene transpozičného opatrenia v navrhovanom Čl. I bod 27 a 28, ktorými dochádza k zmene ustanovenia § 31a.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14.	Žiadame do tabuľky zhody doplniť a preukázať transpozíciu článku 45c ods. 3 a 7 smernice 2014/59/EÚ v platnom znení, nakoľko podľa osobitnej časti dôvodovej správy dochádza k zmene transpozičného opatrenia v navrhovanom Čl. I bod 37 a 45, ktorými dochádza k zmene § 31b.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15.	Žiadame do tabuľky zhody doplniť a preukázať transpozíciu článku 45d ods. 1 smernice 2014/59/EÚ v platnom znení, nakoľko podľa osobitnej časti dôvodovej správy dochádza k zmene transpozičného opatrenia v navrhovanom Čl. I bod 54, ktorým dochádza k zmene § 31c.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16.	Žiadame do tabuľky zhody doplniť a preukázať transpozíciu článku 45f ods. 2 a 5 smernice 2014/59/EÚ v platnom znení, nakoľko podľa osobitnej časti dôvodovej správy dochádza k zmene transpozičného opatrenia v navrhovanom Čl. I bod 61 a 64, ktorými dochádza k zmene § 31e.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17.	Žiadame do tabuľky zhody doplniť a preukázať transpozíciu článku 45h ods. 1 a 5 smernice 2014/59/EÚ v platnom znení, nakoľko podľa osobitnej časti dôvodovej správy dochádza k zmene transpozičného opatrenia v navrhovanom Čl. I bod 67 a 71, ktorými dochádza k zmene § 31f.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18.	Žiadame do tabuľky zhody doplniť a preukázať transpozíciu článku 45m ods. 4 smernice 2014/59/EÚ v platnom znení, nakoľko podľa osobitnej časti dôvodovej správy dochádza k zmene transpozičného opatrenia v navrhovanom Čl. I bod 53, ktorým dochádza k zmene § 31b ods. 36.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19.	Žiadame do tabuľky zhody doplniť a preukázať transpozíciu článku 46 ods. 2 smernice 2014/59/EÚ v platnom znení, nakoľko podľa osobitnej časti dôvodovej správy dochádza k zmene transpozičného opatrenia v navrhovanom Čl. I bod 82, ktorým dochádza k zmene § 60 ods. 2.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20.	Žiadame do tabuľky zhody doplniť a preukázať transpozíciu článku 55 ods. 2 smernice 2014/59/EÚ v platnom znení, nakoľko podľa osobitnej časti dôvodovej správy dochádza k zmene transpozičného opatrenia v navrhovanom Čl. I bod 85 a 86, ktorými dochádza k zmene § 69.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21.	Žiadame do tabuľky zhody doplniť a preukázať transpozíciu článku 59 ods. 1, 3 a 4 smernice 2014/59/EÚ v platnom znení, nakoľko podľa osobitnej časti dôvodovej správy dochádza k zmene transpozičného opatrenia v navrhovanom Čl. I bod 87 a 88, ktorými dochádza k zmene § 70 ods. 1 a 4.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22.	Žiadame do tabuľky zhody doplniť a preukázať transpozíciu článku 63 ods. 2 smernice 2014/59/EÚ v platnom znení, nakoľko podľa osobitnej časti dôvodovej správy dochádza k zmene transpozičného opatrenia v navrhovanom Čl. I bod 11, ktorým dochádza k zmene § 9 ods. 3.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63 ods. 2 už bol uvedený v tabuľke zhody k smernici 2014/59 a bola preukázaná transpozícia § 9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23.	Žiadame do tabuľky zhody doplniť a preukázať transpozíciu článku 69 ods. 5 smernice 2014/59/EÚ v platnom znení, nakoľko podľa osobitnej časti dôvodovej správy dochádza k zmene transpozičného opatrenia v navrhovanom Čl. I bod 16 a 17, ktorými dochádza k zmene § 14 ods. 5 a § 15.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do tabuľky zhody k smernici 2014/59 (čl. 69 ods. 5 prvá veta  § 15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24.	Žiadame do tabuľky zhody doplniť a preukázať transpozíciu článku 71a ods. 2 smernice 2014/59/EÚ v platnom znení, nakoľko podľa osobitnej časti dôvodovej správy dochádza k zmene transpozičného opatrenia v navrhovanom Čl. I bod 19 a 20, ktorými dochádza k zmene § 17b.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2014/59/EÚ v platnom znení:</w:t>
              <w:br/>
            </w:r>
            <w:r>
              <w:rPr>
                <w:b w:val="off"/>
                <w:color w:val="000000"/>
                <w:rFonts w:ascii="Times New Roman" w:hAnsi="Times New Roman" w:cs="Times New Roman" w:eastAsia="Times New Roman"/>
                <w:sz w:val="24"/>
              </w:rPr>
              <w:t>25.	Žiadame do tabuľky zhody doplniť a preukázať transpozíciu článku 89 ods. 3 a 5 smernice 2014/59/EÚ v platnom znení, nakoľko podľa osobitnej časti dôvodovej správy dochádza k zmene transpozičného opatrenia v navrhovanom Čl. I bod 89 a 90, ktorými dochádza k zmene § 85 ods. 4 a doplneniu nového transpozičného opatrenia prostredníctvom § 85 ods. 6. Tabuľku zhody žiadame predložiť tak, aby bolo možné posúdiť správnosť a úplnosť transpozície daného článku smernice 2014/59/EÚ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3 písm. b) doložky zlučiteľnosti žiadame vypustiť smernicu (EÚ) 2017/2399,  nariadenie (EÚ)  č. 648/2012 v platnom znení, nariadenie (EÚ) č. 806/2014 v platnom znení a nariadenie  (EÚ) 2021/23 nakoľko uvádzané sekundárne právne akty EÚ sa na predkladaný návrh zákona nevzťahujú.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Pripomienku akceptujeme, pokiaľ sa týka nariadení, avšak neakceptujeme ju v prípade smernice (EÚ) 2017/2399, pretože návrhom zákona (čl. I § 2 písm. am)) sa transponuje čl. 1 ods. 1 smernice (EÚ) 2017/2399, takže je potrebné túto smernicu v bode 3b) doložky zlučiteľnosti.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Vo všetkých sprievodných dokumentoch žiadame upraviť citáciu uvádzaných smerníc a nariadení v zmysle platných legislatívnych pravidiel vlády SR a to pokiaľ ide o ich úplnú aj skrátenú citáciu.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AOCP</w:t>
            </w:r>
            <w:r>
              <w:rPr>
                <w:b w:val="off"/>
                <w:color w:val="000000"/>
                <w:rFonts w:ascii="Times New Roman" w:hAnsi="Times New Roman" w:cs="Times New Roman" w:eastAsia="Times New Roman"/>
                <w:sz w:val="24"/>
              </w:rPr>
              <w:t xml:space="preserve"> – Asociácia obchodníkov s cennými papiermi</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ARDAL</w:t>
            </w:r>
            <w:r>
              <w:rPr>
                <w:b w:val="off"/>
                <w:color w:val="000000"/>
                <w:rFonts w:ascii="Times New Roman" w:hAnsi="Times New Roman" w:cs="Times New Roman" w:eastAsia="Times New Roman"/>
                <w:sz w:val="24"/>
              </w:rPr>
              <w:t xml:space="preserve"> – Agentúra pre riadenie dlhu a likvidity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CDCP</w:t>
            </w:r>
            <w:r>
              <w:rPr>
                <w:b w:val="off"/>
                <w:color w:val="000000"/>
                <w:rFonts w:ascii="Times New Roman" w:hAnsi="Times New Roman" w:cs="Times New Roman" w:eastAsia="Times New Roman"/>
                <w:sz w:val="24"/>
              </w:rPr>
              <w:t xml:space="preserve"> – Centrálny depozitár cenných papierov SR, a.s.</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EXIMBANKA SR</w:t>
            </w:r>
            <w:r>
              <w:rPr>
                <w:b w:val="off"/>
                <w:color w:val="000000"/>
                <w:rFonts w:ascii="Times New Roman" w:hAnsi="Times New Roman" w:cs="Times New Roman" w:eastAsia="Times New Roman"/>
                <w:sz w:val="24"/>
              </w:rPr>
              <w:t xml:space="preserve"> – Exportno-importná banka Slovenskej repuliky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FOV</w:t>
            </w:r>
            <w:r>
              <w:rPr>
                <w:b w:val="off"/>
                <w:color w:val="000000"/>
                <w:rFonts w:ascii="Times New Roman" w:hAnsi="Times New Roman" w:cs="Times New Roman" w:eastAsia="Times New Roman"/>
                <w:sz w:val="24"/>
              </w:rPr>
              <w:t xml:space="preserve"> – Fond ochrany vkladov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NCDCP, a. s.</w:t>
            </w:r>
            <w:r>
              <w:rPr>
                <w:b w:val="off"/>
                <w:color w:val="000000"/>
                <w:rFonts w:ascii="Times New Roman" w:hAnsi="Times New Roman" w:cs="Times New Roman" w:eastAsia="Times New Roman"/>
                <w:sz w:val="24"/>
              </w:rPr>
              <w:t xml:space="preserve"> – Národný centrálny depozitár cenných papierov, a. s.</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34 (34o,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ZPSR</w:t>
            </w:r>
            <w:r>
              <w:rPr>
                <w:b w:val="off"/>
                <w:color w:val="000000"/>
                <w:rFonts w:ascii="Times New Roman" w:hAnsi="Times New Roman" w:cs="Times New Roman" w:eastAsia="Times New Roman"/>
                <w:sz w:val="24"/>
              </w:rPr>
              <w:t xml:space="preserve"> – Združenie podnikateľov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ŠP</w:t>
            </w:r>
            <w:r>
              <w:rPr>
                <w:b w:val="off"/>
                <w:color w:val="000000"/>
                <w:rFonts w:ascii="Times New Roman" w:hAnsi="Times New Roman" w:cs="Times New Roman" w:eastAsia="Times New Roman"/>
                <w:sz w:val="24"/>
              </w:rPr>
              <w:t xml:space="preserve"> – Štátna pokladnica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60 (60o,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18</w:t>
            </w:r>
          </w:p>
        </w:tc>
        <w:tc>
          <w:tcPr>
            <w:vAlign w:val="center"/>
          </w:tcPr>
          <w:p>
            <w:pPr>
              <w:spacing w:after="0"/>
              <w:jc w:val="center"/>
            </w:pPr>
            <w:r>
              <w:rPr>
                <w:b w:val="on"/>
                <w:color w:val="000000"/>
                <w:rFonts w:ascii="Times New Roman" w:hAnsi="Times New Roman" w:cs="Times New Roman" w:eastAsia="Times New Roman"/>
                <w:sz w:val="24"/>
              </w:rPr>
              <w:t>41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