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2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57" w:type="dxa"/>
        </w:tblCellMar>
        <w:tblLook w:val="04A0" w:firstRow="1" w:lastRow="0" w:firstColumn="1" w:lastColumn="0" w:noHBand="0" w:noVBand="1"/>
      </w:tblPr>
      <w:tblGrid>
        <w:gridCol w:w="244"/>
        <w:gridCol w:w="3118"/>
        <w:gridCol w:w="6131"/>
      </w:tblGrid>
      <w:tr w:rsidR="002644DE" w:rsidRPr="002644DE" w14:paraId="3997E7EE" w14:textId="77777777" w:rsidTr="000800FC">
        <w:trPr>
          <w:trHeight w:val="534"/>
          <w:jc w:val="center"/>
        </w:trPr>
        <w:tc>
          <w:tcPr>
            <w:tcW w:w="5000" w:type="pct"/>
            <w:gridSpan w:val="3"/>
            <w:tcBorders>
              <w:bottom w:val="single" w:sz="4" w:space="0" w:color="auto"/>
            </w:tcBorders>
            <w:shd w:val="clear" w:color="auto" w:fill="808080" w:themeFill="background1" w:themeFillShade="80"/>
          </w:tcPr>
          <w:p w14:paraId="5B3BF263" w14:textId="77777777" w:rsidR="002644DE" w:rsidRPr="002644DE" w:rsidRDefault="002644DE" w:rsidP="002644DE">
            <w:pPr>
              <w:spacing w:after="0" w:line="240" w:lineRule="auto"/>
              <w:ind w:left="-284" w:firstLine="284"/>
              <w:jc w:val="center"/>
              <w:rPr>
                <w:rFonts w:ascii="Times New Roman" w:eastAsia="Calibri" w:hAnsi="Times New Roman" w:cs="Times New Roman"/>
                <w:b/>
                <w:lang w:eastAsia="sk-SK"/>
              </w:rPr>
            </w:pPr>
            <w:r w:rsidRPr="002644DE">
              <w:rPr>
                <w:rFonts w:ascii="Times New Roman" w:eastAsia="Calibri" w:hAnsi="Times New Roman" w:cs="Times New Roman"/>
                <w:b/>
                <w:sz w:val="28"/>
                <w:lang w:eastAsia="sk-SK"/>
              </w:rPr>
              <w:t>Analýza sociálnych vplyvov</w:t>
            </w:r>
          </w:p>
          <w:p w14:paraId="25CE9DB4" w14:textId="77777777" w:rsidR="002644DE" w:rsidRPr="002644DE" w:rsidRDefault="002644DE" w:rsidP="002644DE">
            <w:pPr>
              <w:spacing w:after="0" w:line="240" w:lineRule="auto"/>
              <w:jc w:val="center"/>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t>Vplyvy na hospodárenie domácností, prístup k zdrojom, právam, tovarom a službám, sociálnu inklúziu, rovnosť príležitostí a rovnosť žien a mužov a vplyvy na zamestnanosť</w:t>
            </w:r>
          </w:p>
          <w:p w14:paraId="0284BEC9" w14:textId="77777777" w:rsidR="002644DE" w:rsidRPr="002644DE" w:rsidRDefault="002644DE" w:rsidP="002644DE">
            <w:pPr>
              <w:spacing w:after="0" w:line="240" w:lineRule="auto"/>
              <w:jc w:val="both"/>
              <w:rPr>
                <w:rFonts w:ascii="Times New Roman" w:eastAsia="Calibri" w:hAnsi="Times New Roman" w:cs="Times New Roman"/>
                <w:b/>
                <w:lang w:eastAsia="sk-SK"/>
              </w:rPr>
            </w:pPr>
            <w:r w:rsidRPr="002644DE">
              <w:rPr>
                <w:rFonts w:ascii="Times New Roman" w:eastAsia="Calibri" w:hAnsi="Times New Roman" w:cs="Times New Roman"/>
                <w:b/>
                <w:sz w:val="18"/>
                <w:lang w:eastAsia="sk-SK"/>
              </w:rPr>
              <w:t>(</w:t>
            </w:r>
            <w:r w:rsidRPr="002644DE">
              <w:rPr>
                <w:rFonts w:ascii="Times New Roman" w:eastAsia="Calibri" w:hAnsi="Times New Roman" w:cs="Times New Roman"/>
                <w:sz w:val="18"/>
                <w:lang w:eastAsia="sk-SK"/>
              </w:rPr>
              <w:t>Ak v niektorej z hodnotených oblastí sociálnych vplyvov (bodov 4.1 až 4.4) nebol identifikovaný vplyv, uveďte v príslušnom riadku analýzy poznámku „Bez vplyvu.“.)</w:t>
            </w:r>
          </w:p>
        </w:tc>
      </w:tr>
      <w:tr w:rsidR="002644DE" w:rsidRPr="002644DE" w14:paraId="674D9811" w14:textId="77777777" w:rsidTr="000800FC">
        <w:trPr>
          <w:jc w:val="center"/>
        </w:trPr>
        <w:tc>
          <w:tcPr>
            <w:tcW w:w="5000" w:type="pct"/>
            <w:gridSpan w:val="3"/>
            <w:tcBorders>
              <w:bottom w:val="single" w:sz="4" w:space="0" w:color="auto"/>
            </w:tcBorders>
            <w:shd w:val="clear" w:color="auto" w:fill="A6A6A6" w:themeFill="background1" w:themeFillShade="A6"/>
          </w:tcPr>
          <w:p w14:paraId="13A9772C" w14:textId="77777777"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lang w:eastAsia="sk-SK"/>
              </w:rPr>
              <w:t xml:space="preserve">4.1 </w:t>
            </w:r>
            <w:r w:rsidRPr="002644DE">
              <w:rPr>
                <w:rFonts w:ascii="Times New Roman" w:eastAsia="Calibri" w:hAnsi="Times New Roman" w:cs="Times New Roman"/>
                <w:b/>
                <w:sz w:val="24"/>
                <w:lang w:eastAsia="sk-SK"/>
              </w:rPr>
              <w:t>Identifikujte, popíšte a kvantifikujte vplyv na hospodárenie domácností a špecifikujte ovplyvnené skupiny domácností, ktoré budú pozitívne/negatívne ovplyvnené.</w:t>
            </w:r>
          </w:p>
        </w:tc>
      </w:tr>
      <w:tr w:rsidR="002644DE" w:rsidRPr="002644DE" w14:paraId="3EF38343" w14:textId="77777777" w:rsidTr="000800FC">
        <w:trPr>
          <w:jc w:val="center"/>
        </w:trPr>
        <w:tc>
          <w:tcPr>
            <w:tcW w:w="5000" w:type="pct"/>
            <w:gridSpan w:val="3"/>
            <w:tcBorders>
              <w:bottom w:val="single" w:sz="4" w:space="0" w:color="auto"/>
            </w:tcBorders>
            <w:shd w:val="clear" w:color="auto" w:fill="F2F2F2"/>
          </w:tcPr>
          <w:p w14:paraId="26CFB026"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Vedie návrh k zvýšeniu alebo zníženiu príjmov alebo výdavkov domácností? </w:t>
            </w:r>
          </w:p>
          <w:p w14:paraId="08A571D5"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Ktoré skupiny domácností/obyvateľstva sú takto ovplyvnené a akým spôsobom? </w:t>
            </w:r>
          </w:p>
          <w:p w14:paraId="4E0CAB8E"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Sú medzi potenciálne ovplyvnenými skupinami skupiny v riziku chudoby alebo sociálneho vylúčenia?</w:t>
            </w:r>
          </w:p>
          <w:p w14:paraId="571E42BF" w14:textId="77777777" w:rsidR="002644DE" w:rsidRPr="002644DE" w:rsidRDefault="002644DE" w:rsidP="002644DE">
            <w:pPr>
              <w:spacing w:after="0" w:line="240" w:lineRule="auto"/>
              <w:rPr>
                <w:rFonts w:ascii="Times New Roman" w:eastAsia="Calibri" w:hAnsi="Times New Roman" w:cs="Times New Roman"/>
                <w:b/>
                <w:sz w:val="18"/>
                <w:lang w:eastAsia="sk-SK"/>
              </w:rPr>
            </w:pPr>
            <w:r w:rsidRPr="002644DE">
              <w:rPr>
                <w:rFonts w:ascii="Times New Roman" w:eastAsia="Calibri" w:hAnsi="Times New Roman" w:cs="Times New Roman"/>
                <w:b/>
                <w:sz w:val="18"/>
                <w:lang w:eastAsia="sk-SK"/>
              </w:rPr>
              <w:t>(V prípade vyššieho počtu hodnotených opatrení doplňte podľa potreby do tabuľky pred bod 4.2 ďalšie sekcie - 4.1.1 Pozitívny vplyv/4.1.2 Negatívny vplyv).</w:t>
            </w:r>
          </w:p>
        </w:tc>
      </w:tr>
      <w:tr w:rsidR="002644DE" w:rsidRPr="002644DE" w14:paraId="358CD720" w14:textId="77777777" w:rsidTr="000800FC">
        <w:trPr>
          <w:trHeight w:val="170"/>
          <w:jc w:val="center"/>
        </w:trPr>
        <w:tc>
          <w:tcPr>
            <w:tcW w:w="129" w:type="pct"/>
            <w:tcBorders>
              <w:top w:val="single" w:sz="4" w:space="0" w:color="auto"/>
              <w:bottom w:val="single" w:sz="4" w:space="0" w:color="auto"/>
            </w:tcBorders>
            <w:shd w:val="clear" w:color="auto" w:fill="DDDDDD"/>
            <w:vAlign w:val="center"/>
          </w:tcPr>
          <w:p w14:paraId="1EFF6E12"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482E5C04" w14:textId="77777777" w:rsidR="002644DE" w:rsidRPr="002644DE" w:rsidRDefault="002644DE" w:rsidP="002644DE">
            <w:pPr>
              <w:spacing w:after="0" w:line="240" w:lineRule="auto"/>
              <w:jc w:val="center"/>
              <w:rPr>
                <w:rFonts w:ascii="Times New Roman" w:eastAsia="Calibri" w:hAnsi="Times New Roman" w:cs="Times New Roman"/>
                <w:b/>
                <w:sz w:val="20"/>
                <w:szCs w:val="20"/>
                <w:lang w:eastAsia="sk-SK"/>
              </w:rPr>
            </w:pPr>
            <w:r w:rsidRPr="002644DE">
              <w:rPr>
                <w:rFonts w:ascii="Times New Roman" w:eastAsia="Calibri" w:hAnsi="Times New Roman" w:cs="Times New Roman"/>
                <w:b/>
                <w:i/>
                <w:sz w:val="20"/>
                <w:szCs w:val="20"/>
                <w:lang w:eastAsia="sk-SK"/>
              </w:rPr>
              <w:t>4.1.1 Pozitívny vplyv</w:t>
            </w:r>
          </w:p>
        </w:tc>
      </w:tr>
      <w:tr w:rsidR="002644DE" w:rsidRPr="002644DE" w14:paraId="4A9214C8" w14:textId="77777777" w:rsidTr="000800FC">
        <w:trPr>
          <w:trHeight w:val="759"/>
          <w:jc w:val="center"/>
        </w:trPr>
        <w:tc>
          <w:tcPr>
            <w:tcW w:w="129" w:type="pct"/>
            <w:tcBorders>
              <w:top w:val="single" w:sz="4" w:space="0" w:color="auto"/>
              <w:bottom w:val="single" w:sz="4" w:space="0" w:color="auto"/>
            </w:tcBorders>
            <w:vAlign w:val="center"/>
          </w:tcPr>
          <w:p w14:paraId="7725C003" w14:textId="77777777"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tc>
        <w:tc>
          <w:tcPr>
            <w:tcW w:w="1642" w:type="pct"/>
            <w:tcBorders>
              <w:top w:val="single" w:sz="4" w:space="0" w:color="auto"/>
              <w:bottom w:val="single" w:sz="4" w:space="0" w:color="auto"/>
            </w:tcBorders>
            <w:vAlign w:val="center"/>
          </w:tcPr>
          <w:p w14:paraId="7E4427AD"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tcPr>
          <w:p w14:paraId="17B309F7" w14:textId="77777777" w:rsidR="00663241" w:rsidRDefault="00000000">
            <w:pPr>
              <w:spacing w:after="0" w:line="240" w:lineRule="auto"/>
              <w:jc w:val="both"/>
            </w:pPr>
            <w:r>
              <w:rPr>
                <w:rFonts w:ascii="Times New Roman" w:hAnsi="Times New Roman"/>
                <w:sz w:val="18"/>
              </w:rPr>
              <w:t>Bez vplyvu. Návrh vyhlášky neupravuje príjmy domácností ani nezavádza nové finančné povinnosti, poplatky alebo spoluúčasť poistencov. Neidentifikuje sa preto priamy vplyv na príjmy alebo výdavky domácností.</w:t>
            </w:r>
          </w:p>
        </w:tc>
      </w:tr>
      <w:tr w:rsidR="002644DE" w:rsidRPr="002644DE" w14:paraId="553079FF" w14:textId="77777777" w:rsidTr="000800FC">
        <w:trPr>
          <w:trHeight w:val="397"/>
          <w:jc w:val="center"/>
        </w:trPr>
        <w:tc>
          <w:tcPr>
            <w:tcW w:w="129" w:type="pct"/>
            <w:vMerge w:val="restart"/>
            <w:tcBorders>
              <w:top w:val="single" w:sz="4" w:space="0" w:color="auto"/>
            </w:tcBorders>
            <w:vAlign w:val="center"/>
          </w:tcPr>
          <w:p w14:paraId="61342481"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tcPr>
          <w:p w14:paraId="28695FA0"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tcPr>
          <w:p w14:paraId="6D865324" w14:textId="77777777" w:rsidR="00663241" w:rsidRDefault="00000000">
            <w:pPr>
              <w:spacing w:after="0" w:line="240" w:lineRule="auto"/>
              <w:jc w:val="both"/>
            </w:pPr>
            <w:r>
              <w:rPr>
                <w:rFonts w:ascii="Times New Roman" w:hAnsi="Times New Roman"/>
                <w:sz w:val="18"/>
              </w:rPr>
              <w:t>Neuplatňuje sa – bez vplyvu.</w:t>
            </w:r>
          </w:p>
        </w:tc>
      </w:tr>
      <w:tr w:rsidR="002644DE" w:rsidRPr="002644DE" w14:paraId="5466D7A5" w14:textId="77777777" w:rsidTr="000800FC">
        <w:trPr>
          <w:trHeight w:val="397"/>
          <w:jc w:val="center"/>
        </w:trPr>
        <w:tc>
          <w:tcPr>
            <w:tcW w:w="129" w:type="pct"/>
            <w:vMerge/>
            <w:vAlign w:val="center"/>
          </w:tcPr>
          <w:p w14:paraId="3FC51775"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0721CBF5" w14:textId="77777777" w:rsidR="00663241" w:rsidRDefault="00000000">
            <w:pPr>
              <w:spacing w:after="0" w:line="240" w:lineRule="auto"/>
              <w:jc w:val="both"/>
            </w:pPr>
            <w:r>
              <w:rPr>
                <w:rFonts w:ascii="Times New Roman" w:hAnsi="Times New Roman"/>
                <w:sz w:val="18"/>
              </w:rPr>
              <w:t>Neuplatňuje sa – bez vplyvu.</w:t>
            </w:r>
          </w:p>
        </w:tc>
        <w:tc>
          <w:tcPr>
            <w:tcW w:w="3229" w:type="pct"/>
            <w:tcBorders>
              <w:top w:val="dotted" w:sz="4" w:space="0" w:color="auto"/>
            </w:tcBorders>
          </w:tcPr>
          <w:p w14:paraId="369A316C" w14:textId="77777777" w:rsidR="00663241" w:rsidRDefault="00000000">
            <w:pPr>
              <w:spacing w:after="0" w:line="240" w:lineRule="auto"/>
              <w:jc w:val="both"/>
            </w:pPr>
            <w:r>
              <w:rPr>
                <w:rFonts w:ascii="Times New Roman" w:hAnsi="Times New Roman"/>
                <w:sz w:val="18"/>
              </w:rPr>
              <w:t>Neuplatňuje sa – bez vplyvu.</w:t>
            </w:r>
          </w:p>
        </w:tc>
      </w:tr>
      <w:tr w:rsidR="002644DE" w:rsidRPr="002644DE" w14:paraId="6E59D63A" w14:textId="77777777" w:rsidTr="000800FC">
        <w:trPr>
          <w:trHeight w:val="454"/>
          <w:jc w:val="center"/>
        </w:trPr>
        <w:tc>
          <w:tcPr>
            <w:tcW w:w="129" w:type="pct"/>
            <w:tcBorders>
              <w:top w:val="dotted" w:sz="4" w:space="0" w:color="auto"/>
            </w:tcBorders>
            <w:shd w:val="clear" w:color="auto" w:fill="F2F2F2"/>
            <w:vAlign w:val="center"/>
          </w:tcPr>
          <w:p w14:paraId="086BC5DD"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dotted" w:sz="4" w:space="0" w:color="auto"/>
            </w:tcBorders>
            <w:shd w:val="clear" w:color="auto" w:fill="F2F2F2"/>
            <w:vAlign w:val="center"/>
          </w:tcPr>
          <w:p w14:paraId="2992587F"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rast príjmov alebo pokles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00914835" w14:textId="77777777" w:rsidTr="000800FC">
        <w:trPr>
          <w:trHeight w:val="680"/>
          <w:jc w:val="center"/>
        </w:trPr>
        <w:tc>
          <w:tcPr>
            <w:tcW w:w="129" w:type="pct"/>
            <w:vMerge w:val="restart"/>
            <w:tcBorders>
              <w:top w:val="dotted" w:sz="4" w:space="0" w:color="auto"/>
            </w:tcBorders>
            <w:vAlign w:val="center"/>
          </w:tcPr>
          <w:p w14:paraId="077C63F6"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tcPr>
          <w:p w14:paraId="4A1395A1"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14:paraId="6C602358"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tcPr>
          <w:p w14:paraId="3F38C95A" w14:textId="77777777" w:rsidR="00663241" w:rsidRDefault="00000000">
            <w:pPr>
              <w:spacing w:after="0" w:line="240" w:lineRule="auto"/>
              <w:jc w:val="both"/>
            </w:pPr>
            <w:r>
              <w:rPr>
                <w:rFonts w:ascii="Times New Roman" w:hAnsi="Times New Roman"/>
                <w:sz w:val="18"/>
              </w:rPr>
              <w:t>Neuplatňuje sa – bez vplyvu.</w:t>
            </w:r>
          </w:p>
        </w:tc>
      </w:tr>
      <w:tr w:rsidR="002644DE" w:rsidRPr="002644DE" w14:paraId="7412E7A1" w14:textId="77777777" w:rsidTr="000800FC">
        <w:trPr>
          <w:trHeight w:val="680"/>
          <w:jc w:val="center"/>
        </w:trPr>
        <w:tc>
          <w:tcPr>
            <w:tcW w:w="129" w:type="pct"/>
            <w:vMerge/>
            <w:vAlign w:val="center"/>
          </w:tcPr>
          <w:p w14:paraId="608BC9CE"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6DC9D8A6" w14:textId="77777777" w:rsidR="00663241" w:rsidRDefault="00000000">
            <w:pPr>
              <w:spacing w:after="0" w:line="240" w:lineRule="auto"/>
              <w:jc w:val="both"/>
            </w:pPr>
            <w:r>
              <w:rPr>
                <w:rFonts w:ascii="Times New Roman" w:hAnsi="Times New Roman"/>
                <w:sz w:val="18"/>
              </w:rPr>
              <w:t>Neuplatňuje sa – bez vplyvu.</w:t>
            </w:r>
          </w:p>
        </w:tc>
        <w:tc>
          <w:tcPr>
            <w:tcW w:w="3229" w:type="pct"/>
            <w:tcBorders>
              <w:top w:val="dotted" w:sz="4" w:space="0" w:color="auto"/>
            </w:tcBorders>
          </w:tcPr>
          <w:p w14:paraId="7389446C" w14:textId="77777777" w:rsidR="00663241" w:rsidRDefault="00000000">
            <w:pPr>
              <w:spacing w:after="0" w:line="240" w:lineRule="auto"/>
              <w:jc w:val="both"/>
            </w:pPr>
            <w:r>
              <w:rPr>
                <w:rFonts w:ascii="Times New Roman" w:hAnsi="Times New Roman"/>
                <w:sz w:val="18"/>
              </w:rPr>
              <w:t>Neuplatňuje sa – bez vplyvu.</w:t>
            </w:r>
          </w:p>
        </w:tc>
      </w:tr>
      <w:tr w:rsidR="002644DE" w:rsidRPr="002644DE" w14:paraId="0803E3E5" w14:textId="77777777" w:rsidTr="000800FC">
        <w:trPr>
          <w:trHeight w:val="397"/>
          <w:jc w:val="center"/>
        </w:trPr>
        <w:tc>
          <w:tcPr>
            <w:tcW w:w="129" w:type="pct"/>
            <w:tcBorders>
              <w:top w:val="dotted" w:sz="4" w:space="0" w:color="auto"/>
            </w:tcBorders>
            <w:vAlign w:val="center"/>
          </w:tcPr>
          <w:p w14:paraId="144D0A32"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tcPr>
          <w:p w14:paraId="6A8CD9A2"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tcPr>
          <w:p w14:paraId="388601E8" w14:textId="77777777" w:rsidR="00663241" w:rsidRDefault="00000000">
            <w:pPr>
              <w:spacing w:after="0" w:line="240" w:lineRule="auto"/>
              <w:jc w:val="both"/>
            </w:pPr>
            <w:r>
              <w:rPr>
                <w:rFonts w:ascii="Times New Roman" w:hAnsi="Times New Roman"/>
                <w:sz w:val="18"/>
              </w:rPr>
              <w:t>Kvantifikácia sa nevykonáva, keďže nebol identifikovaný priamy vplyv na hospodárenie domácností.</w:t>
            </w:r>
          </w:p>
        </w:tc>
      </w:tr>
      <w:tr w:rsidR="002644DE" w:rsidRPr="002644DE" w14:paraId="1A38FFC5" w14:textId="77777777" w:rsidTr="000800FC">
        <w:trPr>
          <w:trHeight w:val="170"/>
          <w:jc w:val="center"/>
        </w:trPr>
        <w:tc>
          <w:tcPr>
            <w:tcW w:w="129" w:type="pct"/>
            <w:tcBorders>
              <w:top w:val="nil"/>
              <w:bottom w:val="single" w:sz="4" w:space="0" w:color="auto"/>
            </w:tcBorders>
            <w:shd w:val="clear" w:color="auto" w:fill="F2F2F2"/>
            <w:vAlign w:val="center"/>
          </w:tcPr>
          <w:p w14:paraId="184A8E07"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vAlign w:val="center"/>
          </w:tcPr>
          <w:p w14:paraId="7F37611B" w14:textId="77777777" w:rsidR="002644DE" w:rsidRPr="002644DE" w:rsidRDefault="002644DE" w:rsidP="002644DE">
            <w:pPr>
              <w:spacing w:after="0" w:line="240" w:lineRule="auto"/>
              <w:rPr>
                <w:rFonts w:ascii="Times New Roman" w:eastAsia="Calibri" w:hAnsi="Times New Roman" w:cs="Times New Roman"/>
                <w:b/>
                <w:i/>
                <w:sz w:val="20"/>
                <w:szCs w:val="20"/>
                <w:lang w:eastAsia="sk-SK"/>
              </w:rPr>
            </w:pPr>
            <w:r w:rsidRPr="002644DE">
              <w:rPr>
                <w:rFonts w:ascii="Times New Roman" w:eastAsia="Calibri" w:hAnsi="Times New Roman" w:cs="Times New Roman"/>
                <w:b/>
                <w:i/>
                <w:sz w:val="20"/>
                <w:szCs w:val="20"/>
                <w:lang w:eastAsia="sk-SK"/>
              </w:rPr>
              <w:t>4.1.1.1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pozitívny vplyv na skupiny v riziku chudoby alebo sociálneho vylúčenia</w:t>
            </w:r>
          </w:p>
          <w:p w14:paraId="0A953C5A" w14:textId="77777777"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pozitívny vplyv na chudobu obyvateľstva (napr. znižovanie miery rizika chudoby, priemerný rast príjmov/ pokles výdavkov v skupine)</w:t>
            </w:r>
          </w:p>
        </w:tc>
      </w:tr>
      <w:tr w:rsidR="002644DE" w:rsidRPr="002644DE" w14:paraId="6FF84454" w14:textId="77777777" w:rsidTr="000800FC">
        <w:trPr>
          <w:trHeight w:val="759"/>
          <w:jc w:val="center"/>
        </w:trPr>
        <w:tc>
          <w:tcPr>
            <w:tcW w:w="129" w:type="pct"/>
            <w:tcBorders>
              <w:top w:val="single" w:sz="4" w:space="0" w:color="auto"/>
              <w:bottom w:val="single" w:sz="4" w:space="0" w:color="auto"/>
            </w:tcBorders>
            <w:vAlign w:val="center"/>
          </w:tcPr>
          <w:p w14:paraId="17B8EF74"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tcPr>
          <w:p w14:paraId="2CC6E22D"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tcPr>
          <w:p w14:paraId="64DF9231" w14:textId="77777777" w:rsidR="00663241" w:rsidRDefault="00000000">
            <w:pPr>
              <w:spacing w:after="0" w:line="240" w:lineRule="auto"/>
              <w:jc w:val="both"/>
            </w:pPr>
            <w:r>
              <w:rPr>
                <w:rFonts w:ascii="Times New Roman" w:hAnsi="Times New Roman"/>
                <w:sz w:val="18"/>
              </w:rPr>
              <w:t>Bez vplyvu.</w:t>
            </w:r>
          </w:p>
        </w:tc>
      </w:tr>
      <w:tr w:rsidR="002644DE" w:rsidRPr="002644DE" w14:paraId="6DEA662C" w14:textId="77777777" w:rsidTr="000800FC">
        <w:trPr>
          <w:trHeight w:val="397"/>
          <w:jc w:val="center"/>
        </w:trPr>
        <w:tc>
          <w:tcPr>
            <w:tcW w:w="129" w:type="pct"/>
            <w:vMerge w:val="restart"/>
            <w:tcBorders>
              <w:top w:val="single" w:sz="4" w:space="0" w:color="auto"/>
            </w:tcBorders>
            <w:vAlign w:val="center"/>
          </w:tcPr>
          <w:p w14:paraId="22624540"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tcPr>
          <w:p w14:paraId="2F07701C"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tcPr>
          <w:p w14:paraId="4B649D11" w14:textId="77777777" w:rsidR="00663241" w:rsidRDefault="00000000">
            <w:pPr>
              <w:spacing w:after="0" w:line="240" w:lineRule="auto"/>
              <w:jc w:val="both"/>
            </w:pPr>
            <w:r>
              <w:rPr>
                <w:rFonts w:ascii="Times New Roman" w:hAnsi="Times New Roman"/>
                <w:sz w:val="18"/>
              </w:rPr>
              <w:t>Neuplatňuje sa – bez vplyvu.</w:t>
            </w:r>
          </w:p>
        </w:tc>
      </w:tr>
      <w:tr w:rsidR="002644DE" w:rsidRPr="002644DE" w14:paraId="63C0476C" w14:textId="77777777" w:rsidTr="000800FC">
        <w:trPr>
          <w:trHeight w:val="397"/>
          <w:jc w:val="center"/>
        </w:trPr>
        <w:tc>
          <w:tcPr>
            <w:tcW w:w="129" w:type="pct"/>
            <w:vMerge/>
            <w:vAlign w:val="center"/>
          </w:tcPr>
          <w:p w14:paraId="545E8D62"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4A62DBEA" w14:textId="77777777" w:rsidR="00663241" w:rsidRDefault="00000000">
            <w:pPr>
              <w:spacing w:after="0" w:line="240" w:lineRule="auto"/>
              <w:jc w:val="both"/>
            </w:pPr>
            <w:r>
              <w:rPr>
                <w:rFonts w:ascii="Times New Roman" w:hAnsi="Times New Roman"/>
                <w:sz w:val="18"/>
              </w:rPr>
              <w:t>Neuplatňuje sa – bez vplyvu.</w:t>
            </w:r>
          </w:p>
        </w:tc>
        <w:tc>
          <w:tcPr>
            <w:tcW w:w="3229" w:type="pct"/>
            <w:tcBorders>
              <w:top w:val="dotted" w:sz="4" w:space="0" w:color="auto"/>
            </w:tcBorders>
          </w:tcPr>
          <w:p w14:paraId="4D9B8EC0" w14:textId="77777777" w:rsidR="00663241" w:rsidRDefault="00000000">
            <w:pPr>
              <w:spacing w:after="0" w:line="240" w:lineRule="auto"/>
              <w:jc w:val="both"/>
            </w:pPr>
            <w:r>
              <w:rPr>
                <w:rFonts w:ascii="Times New Roman" w:hAnsi="Times New Roman"/>
                <w:sz w:val="18"/>
              </w:rPr>
              <w:t>Neuplatňuje sa – bez vplyvu.</w:t>
            </w:r>
          </w:p>
        </w:tc>
      </w:tr>
      <w:tr w:rsidR="002644DE" w:rsidRPr="002644DE" w14:paraId="4333CFCF" w14:textId="77777777" w:rsidTr="000800FC">
        <w:trPr>
          <w:trHeight w:val="397"/>
          <w:jc w:val="center"/>
        </w:trPr>
        <w:tc>
          <w:tcPr>
            <w:tcW w:w="129" w:type="pct"/>
            <w:tcBorders>
              <w:top w:val="dotted" w:sz="4" w:space="0" w:color="auto"/>
            </w:tcBorders>
            <w:shd w:val="clear" w:color="auto" w:fill="F2F2F2"/>
            <w:vAlign w:val="center"/>
          </w:tcPr>
          <w:p w14:paraId="6280D4BF" w14:textId="77777777"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tcPr>
          <w:p w14:paraId="036E8D6A"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Kvantifikujte </w:t>
            </w:r>
            <w:r w:rsidRPr="002644DE">
              <w:rPr>
                <w:rFonts w:ascii="Times New Roman" w:eastAsia="Calibri" w:hAnsi="Times New Roman" w:cs="Times New Roman"/>
                <w:i/>
                <w:sz w:val="20"/>
                <w:szCs w:val="20"/>
                <w:lang w:eastAsia="sk-SK"/>
              </w:rPr>
              <w:t xml:space="preserve">rast príjmov alebo pokles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68036424" w14:textId="77777777" w:rsidTr="000800FC">
        <w:trPr>
          <w:trHeight w:val="680"/>
          <w:jc w:val="center"/>
        </w:trPr>
        <w:tc>
          <w:tcPr>
            <w:tcW w:w="129" w:type="pct"/>
            <w:vMerge w:val="restart"/>
            <w:tcBorders>
              <w:top w:val="dotted" w:sz="4" w:space="0" w:color="auto"/>
            </w:tcBorders>
            <w:vAlign w:val="center"/>
          </w:tcPr>
          <w:p w14:paraId="35B809C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tcPr>
          <w:p w14:paraId="705CA987"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14:paraId="2DE098C1"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tcPr>
          <w:p w14:paraId="1C50EF92" w14:textId="77777777" w:rsidR="00663241" w:rsidRDefault="00000000">
            <w:pPr>
              <w:spacing w:after="0" w:line="240" w:lineRule="auto"/>
              <w:jc w:val="both"/>
            </w:pPr>
            <w:r>
              <w:rPr>
                <w:rFonts w:ascii="Times New Roman" w:hAnsi="Times New Roman"/>
                <w:sz w:val="18"/>
              </w:rPr>
              <w:t>Neuplatňuje sa – bez vplyvu.</w:t>
            </w:r>
          </w:p>
        </w:tc>
      </w:tr>
      <w:tr w:rsidR="002644DE" w:rsidRPr="002644DE" w14:paraId="51FC11EF" w14:textId="77777777" w:rsidTr="000800FC">
        <w:trPr>
          <w:trHeight w:val="680"/>
          <w:jc w:val="center"/>
        </w:trPr>
        <w:tc>
          <w:tcPr>
            <w:tcW w:w="129" w:type="pct"/>
            <w:vMerge/>
            <w:vAlign w:val="center"/>
          </w:tcPr>
          <w:p w14:paraId="6525AA71"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7108AA6F" w14:textId="77777777" w:rsidR="00663241" w:rsidRDefault="00000000">
            <w:pPr>
              <w:spacing w:after="0" w:line="240" w:lineRule="auto"/>
              <w:jc w:val="both"/>
            </w:pPr>
            <w:r>
              <w:rPr>
                <w:rFonts w:ascii="Times New Roman" w:hAnsi="Times New Roman"/>
                <w:sz w:val="18"/>
              </w:rPr>
              <w:t>Neuplatňuje sa – bez vplyvu.</w:t>
            </w:r>
          </w:p>
        </w:tc>
        <w:tc>
          <w:tcPr>
            <w:tcW w:w="3229" w:type="pct"/>
            <w:tcBorders>
              <w:top w:val="dotted" w:sz="4" w:space="0" w:color="auto"/>
            </w:tcBorders>
          </w:tcPr>
          <w:p w14:paraId="747F480D" w14:textId="77777777" w:rsidR="00663241" w:rsidRDefault="00000000">
            <w:pPr>
              <w:spacing w:after="0" w:line="240" w:lineRule="auto"/>
              <w:jc w:val="both"/>
            </w:pPr>
            <w:r>
              <w:rPr>
                <w:rFonts w:ascii="Times New Roman" w:hAnsi="Times New Roman"/>
                <w:sz w:val="18"/>
              </w:rPr>
              <w:t>Neuplatňuje sa – bez vplyvu.</w:t>
            </w:r>
          </w:p>
        </w:tc>
      </w:tr>
      <w:tr w:rsidR="002644DE" w:rsidRPr="002644DE" w14:paraId="7203011B" w14:textId="77777777" w:rsidTr="000800FC">
        <w:trPr>
          <w:trHeight w:val="350"/>
          <w:jc w:val="center"/>
        </w:trPr>
        <w:tc>
          <w:tcPr>
            <w:tcW w:w="129" w:type="pct"/>
            <w:tcBorders>
              <w:top w:val="dotted" w:sz="4" w:space="0" w:color="auto"/>
              <w:bottom w:val="single" w:sz="4" w:space="0" w:color="auto"/>
            </w:tcBorders>
            <w:vAlign w:val="center"/>
          </w:tcPr>
          <w:p w14:paraId="4E48D75D"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tcPr>
          <w:p w14:paraId="5B7AE6F2"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tcPr>
          <w:p w14:paraId="14FABBCA" w14:textId="77777777" w:rsidR="00663241" w:rsidRDefault="00000000">
            <w:pPr>
              <w:spacing w:after="0" w:line="240" w:lineRule="auto"/>
              <w:jc w:val="both"/>
            </w:pPr>
            <w:r>
              <w:rPr>
                <w:rFonts w:ascii="Times New Roman" w:hAnsi="Times New Roman"/>
                <w:sz w:val="18"/>
              </w:rPr>
              <w:t>Kvantifikácia sa nevykonáva, keďže nebol identifikovaný priamy vplyv na hospodárenie domácností ani osobitný finančný vplyv na skupiny v riziku chudoby alebo sociálneho vylúčenia.</w:t>
            </w:r>
          </w:p>
        </w:tc>
      </w:tr>
      <w:tr w:rsidR="002644DE" w:rsidRPr="002644DE" w14:paraId="172C172D" w14:textId="77777777" w:rsidTr="000800FC">
        <w:trPr>
          <w:trHeight w:val="170"/>
          <w:jc w:val="center"/>
        </w:trPr>
        <w:tc>
          <w:tcPr>
            <w:tcW w:w="129" w:type="pct"/>
            <w:tcBorders>
              <w:top w:val="single" w:sz="4" w:space="0" w:color="auto"/>
              <w:bottom w:val="single" w:sz="4" w:space="0" w:color="auto"/>
            </w:tcBorders>
            <w:shd w:val="clear" w:color="auto" w:fill="DDDDDD"/>
            <w:vAlign w:val="center"/>
          </w:tcPr>
          <w:p w14:paraId="784E6902"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731F69D5" w14:textId="77777777" w:rsidR="002644DE" w:rsidRPr="002644DE" w:rsidRDefault="002644DE" w:rsidP="002644DE">
            <w:pPr>
              <w:spacing w:after="0" w:line="240" w:lineRule="auto"/>
              <w:jc w:val="center"/>
              <w:rPr>
                <w:rFonts w:ascii="Times New Roman" w:eastAsia="Calibri" w:hAnsi="Times New Roman" w:cs="Times New Roman"/>
                <w:b/>
                <w:color w:val="0070C0"/>
                <w:sz w:val="20"/>
                <w:szCs w:val="20"/>
                <w:lang w:eastAsia="sk-SK"/>
              </w:rPr>
            </w:pPr>
            <w:r w:rsidRPr="002644DE">
              <w:rPr>
                <w:rFonts w:ascii="Times New Roman" w:eastAsia="Calibri" w:hAnsi="Times New Roman" w:cs="Times New Roman"/>
                <w:b/>
                <w:i/>
                <w:sz w:val="20"/>
                <w:szCs w:val="20"/>
                <w:lang w:eastAsia="sk-SK"/>
              </w:rPr>
              <w:t>4.1.2 Negatívny vplyv</w:t>
            </w:r>
          </w:p>
        </w:tc>
      </w:tr>
      <w:tr w:rsidR="002644DE" w:rsidRPr="002644DE" w14:paraId="31629215" w14:textId="77777777" w:rsidTr="000800FC">
        <w:trPr>
          <w:trHeight w:val="759"/>
          <w:jc w:val="center"/>
        </w:trPr>
        <w:tc>
          <w:tcPr>
            <w:tcW w:w="129" w:type="pct"/>
            <w:tcBorders>
              <w:top w:val="single" w:sz="4" w:space="0" w:color="auto"/>
              <w:bottom w:val="single" w:sz="4" w:space="0" w:color="auto"/>
            </w:tcBorders>
            <w:vAlign w:val="center"/>
          </w:tcPr>
          <w:p w14:paraId="1181EA80" w14:textId="77777777"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p w14:paraId="400DD91D" w14:textId="77777777" w:rsidR="002644DE" w:rsidRPr="002644DE" w:rsidRDefault="002644DE" w:rsidP="002644DE">
            <w:pPr>
              <w:spacing w:after="0" w:line="240" w:lineRule="auto"/>
              <w:ind w:left="360"/>
              <w:contextualSpacing/>
              <w:jc w:val="center"/>
              <w:rPr>
                <w:rFonts w:ascii="Times New Roman" w:eastAsia="Calibri" w:hAnsi="Times New Roman" w:cs="Times New Roman"/>
                <w:i/>
                <w:sz w:val="18"/>
                <w:szCs w:val="18"/>
                <w:lang w:eastAsia="sk-SK"/>
              </w:rPr>
            </w:pPr>
          </w:p>
        </w:tc>
        <w:tc>
          <w:tcPr>
            <w:tcW w:w="1642" w:type="pct"/>
            <w:tcBorders>
              <w:top w:val="single" w:sz="4" w:space="0" w:color="auto"/>
              <w:bottom w:val="single" w:sz="4" w:space="0" w:color="auto"/>
            </w:tcBorders>
            <w:vAlign w:val="center"/>
          </w:tcPr>
          <w:p w14:paraId="6E4EF23E"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zníženie príjmov alebo zvýšenie výdavkov:</w:t>
            </w:r>
          </w:p>
        </w:tc>
        <w:tc>
          <w:tcPr>
            <w:tcW w:w="3229" w:type="pct"/>
            <w:tcBorders>
              <w:top w:val="single" w:sz="4" w:space="0" w:color="auto"/>
              <w:bottom w:val="single" w:sz="4" w:space="0" w:color="auto"/>
            </w:tcBorders>
          </w:tcPr>
          <w:p w14:paraId="65B02404" w14:textId="77777777" w:rsidR="00663241" w:rsidRDefault="00000000">
            <w:pPr>
              <w:spacing w:after="0" w:line="240" w:lineRule="auto"/>
              <w:jc w:val="both"/>
            </w:pPr>
            <w:r>
              <w:rPr>
                <w:rFonts w:ascii="Times New Roman" w:hAnsi="Times New Roman"/>
                <w:sz w:val="18"/>
              </w:rPr>
              <w:t>Bez vplyvu. Návrh nepredpokladá zníženie príjmov ani zvýšenie výdavkov domácností.</w:t>
            </w:r>
          </w:p>
        </w:tc>
      </w:tr>
      <w:tr w:rsidR="002644DE" w:rsidRPr="002644DE" w14:paraId="678D1510" w14:textId="77777777" w:rsidTr="000800FC">
        <w:trPr>
          <w:trHeight w:val="397"/>
          <w:jc w:val="center"/>
        </w:trPr>
        <w:tc>
          <w:tcPr>
            <w:tcW w:w="129" w:type="pct"/>
            <w:vMerge w:val="restart"/>
            <w:tcBorders>
              <w:top w:val="single" w:sz="4" w:space="0" w:color="auto"/>
            </w:tcBorders>
            <w:vAlign w:val="center"/>
          </w:tcPr>
          <w:p w14:paraId="2D8B074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tcPr>
          <w:p w14:paraId="49A3B604"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Špecifikujte</w:t>
            </w:r>
            <w:r w:rsidRPr="002644DE">
              <w:rPr>
                <w:rFonts w:ascii="Times New Roman" w:eastAsia="Calibri" w:hAnsi="Times New Roman" w:cs="Times New Roman"/>
                <w:i/>
                <w:sz w:val="20"/>
                <w:szCs w:val="20"/>
                <w:lang w:eastAsia="sk-SK"/>
              </w:rPr>
              <w:t xml:space="preserve"> ovplyvnené skupiny:</w:t>
            </w:r>
          </w:p>
        </w:tc>
        <w:tc>
          <w:tcPr>
            <w:tcW w:w="3229" w:type="pct"/>
            <w:tcBorders>
              <w:top w:val="single" w:sz="4" w:space="0" w:color="auto"/>
            </w:tcBorders>
          </w:tcPr>
          <w:p w14:paraId="288A9544" w14:textId="77777777" w:rsidR="00663241" w:rsidRDefault="00000000">
            <w:pPr>
              <w:spacing w:after="0" w:line="240" w:lineRule="auto"/>
              <w:jc w:val="both"/>
            </w:pPr>
            <w:r>
              <w:rPr>
                <w:rFonts w:ascii="Times New Roman" w:hAnsi="Times New Roman"/>
                <w:sz w:val="18"/>
              </w:rPr>
              <w:t>Neuplatňuje sa – bez vplyvu.</w:t>
            </w:r>
          </w:p>
        </w:tc>
      </w:tr>
      <w:tr w:rsidR="002644DE" w:rsidRPr="002644DE" w14:paraId="717D657A" w14:textId="77777777" w:rsidTr="000800FC">
        <w:trPr>
          <w:trHeight w:val="397"/>
          <w:jc w:val="center"/>
        </w:trPr>
        <w:tc>
          <w:tcPr>
            <w:tcW w:w="129" w:type="pct"/>
            <w:vMerge/>
            <w:tcBorders>
              <w:bottom w:val="single" w:sz="4" w:space="0" w:color="auto"/>
            </w:tcBorders>
            <w:vAlign w:val="center"/>
          </w:tcPr>
          <w:p w14:paraId="2A6DEBF8"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Borders>
              <w:bottom w:val="single" w:sz="4" w:space="0" w:color="auto"/>
            </w:tcBorders>
          </w:tcPr>
          <w:p w14:paraId="560244D0" w14:textId="77777777" w:rsidR="00663241" w:rsidRDefault="00000000">
            <w:pPr>
              <w:spacing w:after="0" w:line="240" w:lineRule="auto"/>
              <w:jc w:val="both"/>
            </w:pPr>
            <w:r>
              <w:rPr>
                <w:rFonts w:ascii="Times New Roman" w:hAnsi="Times New Roman"/>
                <w:sz w:val="18"/>
              </w:rPr>
              <w:t>Neuplatňuje sa – bez vplyvu.</w:t>
            </w:r>
          </w:p>
        </w:tc>
        <w:tc>
          <w:tcPr>
            <w:tcW w:w="3229" w:type="pct"/>
            <w:tcBorders>
              <w:top w:val="dotted" w:sz="4" w:space="0" w:color="auto"/>
              <w:bottom w:val="single" w:sz="4" w:space="0" w:color="auto"/>
            </w:tcBorders>
          </w:tcPr>
          <w:p w14:paraId="3016B07D" w14:textId="77777777" w:rsidR="00663241" w:rsidRDefault="00000000">
            <w:pPr>
              <w:spacing w:after="0" w:line="240" w:lineRule="auto"/>
              <w:jc w:val="both"/>
            </w:pPr>
            <w:r>
              <w:rPr>
                <w:rFonts w:ascii="Times New Roman" w:hAnsi="Times New Roman"/>
                <w:sz w:val="18"/>
              </w:rPr>
              <w:t>Neuplatňuje sa – bez vplyvu.</w:t>
            </w:r>
          </w:p>
        </w:tc>
      </w:tr>
      <w:tr w:rsidR="002644DE" w:rsidRPr="002644DE" w14:paraId="7B1BBFB1" w14:textId="77777777" w:rsidTr="000800FC">
        <w:trPr>
          <w:trHeight w:val="397"/>
          <w:jc w:val="center"/>
        </w:trPr>
        <w:tc>
          <w:tcPr>
            <w:tcW w:w="129" w:type="pct"/>
            <w:tcBorders>
              <w:top w:val="single" w:sz="4" w:space="0" w:color="auto"/>
            </w:tcBorders>
            <w:shd w:val="clear" w:color="auto" w:fill="F2F2F2"/>
            <w:vAlign w:val="center"/>
          </w:tcPr>
          <w:p w14:paraId="72AAF0C1"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lastRenderedPageBreak/>
              <w:t>d)</w:t>
            </w:r>
          </w:p>
        </w:tc>
        <w:tc>
          <w:tcPr>
            <w:tcW w:w="4871" w:type="pct"/>
            <w:gridSpan w:val="2"/>
            <w:tcBorders>
              <w:top w:val="single" w:sz="4" w:space="0" w:color="auto"/>
            </w:tcBorders>
            <w:shd w:val="clear" w:color="auto" w:fill="F2F2F2"/>
            <w:vAlign w:val="center"/>
          </w:tcPr>
          <w:p w14:paraId="22E30AA2"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233EA4C7" w14:textId="77777777" w:rsidTr="000800FC">
        <w:trPr>
          <w:trHeight w:val="680"/>
          <w:jc w:val="center"/>
        </w:trPr>
        <w:tc>
          <w:tcPr>
            <w:tcW w:w="129" w:type="pct"/>
            <w:vMerge w:val="restart"/>
            <w:tcBorders>
              <w:top w:val="dotted" w:sz="4" w:space="0" w:color="auto"/>
            </w:tcBorders>
            <w:vAlign w:val="center"/>
          </w:tcPr>
          <w:p w14:paraId="7295D725"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tcPr>
          <w:p w14:paraId="796B8B5E"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14:paraId="2DCE88C4"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tcPr>
          <w:p w14:paraId="6761852B" w14:textId="77777777" w:rsidR="00663241" w:rsidRDefault="00000000">
            <w:pPr>
              <w:spacing w:after="0" w:line="240" w:lineRule="auto"/>
              <w:jc w:val="both"/>
            </w:pPr>
            <w:r>
              <w:rPr>
                <w:rFonts w:ascii="Times New Roman" w:hAnsi="Times New Roman"/>
                <w:sz w:val="18"/>
              </w:rPr>
              <w:t>Neuplatňuje sa – bez vplyvu.</w:t>
            </w:r>
          </w:p>
        </w:tc>
      </w:tr>
      <w:tr w:rsidR="002644DE" w:rsidRPr="002644DE" w14:paraId="50E2E6FE" w14:textId="77777777" w:rsidTr="000800FC">
        <w:trPr>
          <w:trHeight w:val="680"/>
          <w:jc w:val="center"/>
        </w:trPr>
        <w:tc>
          <w:tcPr>
            <w:tcW w:w="129" w:type="pct"/>
            <w:vMerge/>
            <w:vAlign w:val="center"/>
          </w:tcPr>
          <w:p w14:paraId="35443E2F"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16126D64" w14:textId="77777777" w:rsidR="00663241" w:rsidRDefault="00000000">
            <w:pPr>
              <w:spacing w:after="0" w:line="240" w:lineRule="auto"/>
              <w:jc w:val="both"/>
            </w:pPr>
            <w:r>
              <w:rPr>
                <w:rFonts w:ascii="Times New Roman" w:hAnsi="Times New Roman"/>
                <w:sz w:val="18"/>
              </w:rPr>
              <w:t>Neuplatňuje sa – bez vplyvu.</w:t>
            </w:r>
          </w:p>
        </w:tc>
        <w:tc>
          <w:tcPr>
            <w:tcW w:w="3229" w:type="pct"/>
            <w:tcBorders>
              <w:top w:val="dotted" w:sz="4" w:space="0" w:color="auto"/>
            </w:tcBorders>
          </w:tcPr>
          <w:p w14:paraId="5BFB4069" w14:textId="77777777" w:rsidR="00663241" w:rsidRDefault="00000000">
            <w:pPr>
              <w:spacing w:after="0" w:line="240" w:lineRule="auto"/>
              <w:jc w:val="both"/>
            </w:pPr>
            <w:r>
              <w:rPr>
                <w:rFonts w:ascii="Times New Roman" w:hAnsi="Times New Roman"/>
                <w:sz w:val="18"/>
              </w:rPr>
              <w:t>Neuplatňuje sa – bez vplyvu.</w:t>
            </w:r>
          </w:p>
        </w:tc>
      </w:tr>
      <w:tr w:rsidR="002644DE" w:rsidRPr="002644DE" w14:paraId="2BBC5E32" w14:textId="77777777" w:rsidTr="000800FC">
        <w:trPr>
          <w:trHeight w:val="397"/>
          <w:jc w:val="center"/>
        </w:trPr>
        <w:tc>
          <w:tcPr>
            <w:tcW w:w="129" w:type="pct"/>
            <w:tcBorders>
              <w:top w:val="dotted" w:sz="4" w:space="0" w:color="auto"/>
            </w:tcBorders>
            <w:vAlign w:val="center"/>
          </w:tcPr>
          <w:p w14:paraId="2BC478DD"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tcPr>
          <w:p w14:paraId="2B5D80EA"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tcPr>
          <w:p w14:paraId="3D27678D" w14:textId="77777777" w:rsidR="00663241" w:rsidRDefault="00000000">
            <w:pPr>
              <w:spacing w:after="0" w:line="240" w:lineRule="auto"/>
              <w:jc w:val="both"/>
            </w:pPr>
            <w:r>
              <w:rPr>
                <w:rFonts w:ascii="Times New Roman" w:hAnsi="Times New Roman"/>
                <w:sz w:val="18"/>
              </w:rPr>
              <w:t>Kvantifikácia sa nevykonáva, keďže nebol identifikovaný negatívny vplyv na hospodárenie domácností.</w:t>
            </w:r>
          </w:p>
        </w:tc>
      </w:tr>
      <w:tr w:rsidR="002644DE" w:rsidRPr="002644DE" w14:paraId="343BBC17" w14:textId="77777777" w:rsidTr="000800FC">
        <w:trPr>
          <w:trHeight w:val="227"/>
          <w:jc w:val="center"/>
        </w:trPr>
        <w:tc>
          <w:tcPr>
            <w:tcW w:w="129" w:type="pct"/>
            <w:tcBorders>
              <w:top w:val="nil"/>
              <w:bottom w:val="single" w:sz="4" w:space="0" w:color="auto"/>
            </w:tcBorders>
            <w:shd w:val="clear" w:color="auto" w:fill="F2F2F2"/>
            <w:vAlign w:val="center"/>
          </w:tcPr>
          <w:p w14:paraId="74767310"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tcPr>
          <w:p w14:paraId="7F2910EA"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4.1.2.1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negatívny vplyv na skupiny v riziku chudoby alebo sociálneho vylúčenia</w:t>
            </w:r>
          </w:p>
          <w:p w14:paraId="657AD49F" w14:textId="77777777"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20"/>
                <w:szCs w:val="20"/>
                <w:lang w:eastAsia="sk-SK"/>
              </w:rPr>
              <w:t>(</w:t>
            </w: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negatívny vplyv na chudobu obyvateľstva (napr. zvyšovanie miery rizika chudoby, priemerný pokles príjmov/ rast výdavkov v skupine</w:t>
            </w:r>
            <w:r w:rsidRPr="002644DE">
              <w:rPr>
                <w:rFonts w:ascii="Times New Roman" w:eastAsia="Calibri" w:hAnsi="Times New Roman" w:cs="Times New Roman"/>
                <w:i/>
                <w:sz w:val="20"/>
                <w:szCs w:val="20"/>
                <w:lang w:eastAsia="sk-SK"/>
              </w:rPr>
              <w:t>)</w:t>
            </w:r>
          </w:p>
        </w:tc>
      </w:tr>
      <w:tr w:rsidR="002644DE" w:rsidRPr="002644DE" w14:paraId="59BDEAF4" w14:textId="77777777" w:rsidTr="000800FC">
        <w:trPr>
          <w:trHeight w:val="759"/>
          <w:jc w:val="center"/>
        </w:trPr>
        <w:tc>
          <w:tcPr>
            <w:tcW w:w="129" w:type="pct"/>
            <w:tcBorders>
              <w:top w:val="single" w:sz="4" w:space="0" w:color="auto"/>
              <w:bottom w:val="single" w:sz="4" w:space="0" w:color="auto"/>
            </w:tcBorders>
            <w:vAlign w:val="center"/>
          </w:tcPr>
          <w:p w14:paraId="72ABA082"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tcPr>
          <w:p w14:paraId="3D39997B"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Popíšte</w:t>
            </w:r>
            <w:r w:rsidRPr="002644DE">
              <w:rPr>
                <w:rFonts w:ascii="Times New Roman" w:eastAsia="Calibri" w:hAnsi="Times New Roman" w:cs="Times New Roman"/>
                <w:i/>
                <w:sz w:val="20"/>
                <w:szCs w:val="20"/>
                <w:lang w:eastAsia="sk-SK"/>
              </w:rPr>
              <w:t xml:space="preserve"> opatrenie a jeho vplyv na hospodárenie domácností s uvedením, či ide o zníženie  príjmov alebo zvýšenie výdavkov:</w:t>
            </w:r>
          </w:p>
        </w:tc>
        <w:tc>
          <w:tcPr>
            <w:tcW w:w="3229" w:type="pct"/>
            <w:tcBorders>
              <w:top w:val="single" w:sz="4" w:space="0" w:color="auto"/>
              <w:bottom w:val="single" w:sz="4" w:space="0" w:color="auto"/>
            </w:tcBorders>
          </w:tcPr>
          <w:p w14:paraId="65C1E011" w14:textId="77777777" w:rsidR="00663241" w:rsidRDefault="00000000">
            <w:pPr>
              <w:spacing w:after="0" w:line="240" w:lineRule="auto"/>
              <w:jc w:val="both"/>
            </w:pPr>
            <w:r>
              <w:rPr>
                <w:rFonts w:ascii="Times New Roman" w:hAnsi="Times New Roman"/>
                <w:sz w:val="18"/>
              </w:rPr>
              <w:t>Bez vplyvu.</w:t>
            </w:r>
          </w:p>
        </w:tc>
      </w:tr>
      <w:tr w:rsidR="002644DE" w:rsidRPr="002644DE" w14:paraId="252D54E1" w14:textId="77777777" w:rsidTr="000800FC">
        <w:trPr>
          <w:trHeight w:val="397"/>
          <w:jc w:val="center"/>
        </w:trPr>
        <w:tc>
          <w:tcPr>
            <w:tcW w:w="129" w:type="pct"/>
            <w:vMerge w:val="restart"/>
            <w:tcBorders>
              <w:top w:val="single" w:sz="4" w:space="0" w:color="auto"/>
            </w:tcBorders>
            <w:vAlign w:val="center"/>
          </w:tcPr>
          <w:p w14:paraId="65EB795E"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tcPr>
          <w:p w14:paraId="159BE61D"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tcPr>
          <w:p w14:paraId="18D7ADA5" w14:textId="77777777" w:rsidR="00663241" w:rsidRDefault="00000000">
            <w:pPr>
              <w:spacing w:after="0" w:line="240" w:lineRule="auto"/>
              <w:jc w:val="both"/>
            </w:pPr>
            <w:r>
              <w:rPr>
                <w:rFonts w:ascii="Times New Roman" w:hAnsi="Times New Roman"/>
                <w:sz w:val="18"/>
              </w:rPr>
              <w:t>Neuplatňuje sa – bez vplyvu.</w:t>
            </w:r>
          </w:p>
        </w:tc>
      </w:tr>
      <w:tr w:rsidR="002644DE" w:rsidRPr="002644DE" w14:paraId="3BC23745" w14:textId="77777777" w:rsidTr="000800FC">
        <w:trPr>
          <w:trHeight w:val="397"/>
          <w:jc w:val="center"/>
        </w:trPr>
        <w:tc>
          <w:tcPr>
            <w:tcW w:w="129" w:type="pct"/>
            <w:vMerge/>
            <w:vAlign w:val="center"/>
          </w:tcPr>
          <w:p w14:paraId="571E0F95"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3748AAC9" w14:textId="77777777" w:rsidR="00663241" w:rsidRDefault="00000000">
            <w:pPr>
              <w:spacing w:after="0" w:line="240" w:lineRule="auto"/>
              <w:jc w:val="both"/>
            </w:pPr>
            <w:r>
              <w:rPr>
                <w:rFonts w:ascii="Times New Roman" w:hAnsi="Times New Roman"/>
                <w:sz w:val="18"/>
              </w:rPr>
              <w:t>Neuplatňuje sa – bez vplyvu.</w:t>
            </w:r>
          </w:p>
        </w:tc>
        <w:tc>
          <w:tcPr>
            <w:tcW w:w="3229" w:type="pct"/>
            <w:tcBorders>
              <w:top w:val="dotted" w:sz="4" w:space="0" w:color="auto"/>
            </w:tcBorders>
          </w:tcPr>
          <w:p w14:paraId="79CCAAD2" w14:textId="77777777" w:rsidR="00663241" w:rsidRDefault="00000000">
            <w:pPr>
              <w:spacing w:after="0" w:line="240" w:lineRule="auto"/>
              <w:jc w:val="both"/>
            </w:pPr>
            <w:r>
              <w:rPr>
                <w:rFonts w:ascii="Times New Roman" w:hAnsi="Times New Roman"/>
                <w:sz w:val="18"/>
              </w:rPr>
              <w:t>Neuplatňuje sa – bez vplyvu.</w:t>
            </w:r>
          </w:p>
        </w:tc>
      </w:tr>
      <w:tr w:rsidR="002644DE" w:rsidRPr="002644DE" w14:paraId="4EB35757" w14:textId="77777777" w:rsidTr="000800FC">
        <w:trPr>
          <w:trHeight w:val="454"/>
          <w:jc w:val="center"/>
        </w:trPr>
        <w:tc>
          <w:tcPr>
            <w:tcW w:w="129" w:type="pct"/>
            <w:tcBorders>
              <w:top w:val="dotted" w:sz="4" w:space="0" w:color="auto"/>
            </w:tcBorders>
            <w:shd w:val="clear" w:color="auto" w:fill="F2F2F2"/>
            <w:vAlign w:val="center"/>
          </w:tcPr>
          <w:p w14:paraId="24CF2B02" w14:textId="77777777"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vAlign w:val="center"/>
          </w:tcPr>
          <w:p w14:paraId="3AB1B681"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64BF446F" w14:textId="77777777" w:rsidTr="000800FC">
        <w:trPr>
          <w:trHeight w:val="680"/>
          <w:jc w:val="center"/>
        </w:trPr>
        <w:tc>
          <w:tcPr>
            <w:tcW w:w="129" w:type="pct"/>
            <w:vMerge w:val="restart"/>
            <w:tcBorders>
              <w:top w:val="dotted" w:sz="4" w:space="0" w:color="auto"/>
            </w:tcBorders>
            <w:vAlign w:val="center"/>
          </w:tcPr>
          <w:p w14:paraId="512A94B3"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tcPr>
          <w:p w14:paraId="699766AD"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14:paraId="704AD7E8"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tcPr>
          <w:p w14:paraId="0249D00D" w14:textId="77777777" w:rsidR="00663241" w:rsidRDefault="00000000">
            <w:pPr>
              <w:spacing w:after="0" w:line="240" w:lineRule="auto"/>
              <w:jc w:val="both"/>
            </w:pPr>
            <w:r>
              <w:rPr>
                <w:rFonts w:ascii="Times New Roman" w:hAnsi="Times New Roman"/>
                <w:sz w:val="18"/>
              </w:rPr>
              <w:t>Neuplatňuje sa – bez vplyvu.</w:t>
            </w:r>
          </w:p>
        </w:tc>
      </w:tr>
      <w:tr w:rsidR="002644DE" w:rsidRPr="002644DE" w14:paraId="20EEE7E1" w14:textId="77777777" w:rsidTr="000800FC">
        <w:trPr>
          <w:trHeight w:val="680"/>
          <w:jc w:val="center"/>
        </w:trPr>
        <w:tc>
          <w:tcPr>
            <w:tcW w:w="129" w:type="pct"/>
            <w:vMerge/>
            <w:vAlign w:val="center"/>
          </w:tcPr>
          <w:p w14:paraId="18B13BA2"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62497025" w14:textId="77777777" w:rsidR="00663241" w:rsidRDefault="00000000">
            <w:pPr>
              <w:spacing w:after="0" w:line="240" w:lineRule="auto"/>
              <w:jc w:val="both"/>
            </w:pPr>
            <w:r>
              <w:rPr>
                <w:rFonts w:ascii="Times New Roman" w:hAnsi="Times New Roman"/>
                <w:sz w:val="18"/>
              </w:rPr>
              <w:t>Neuplatňuje sa – bez vplyvu.</w:t>
            </w:r>
          </w:p>
        </w:tc>
        <w:tc>
          <w:tcPr>
            <w:tcW w:w="3229" w:type="pct"/>
            <w:tcBorders>
              <w:top w:val="dotted" w:sz="4" w:space="0" w:color="auto"/>
            </w:tcBorders>
          </w:tcPr>
          <w:p w14:paraId="3660216B" w14:textId="77777777" w:rsidR="00663241" w:rsidRDefault="00000000">
            <w:pPr>
              <w:spacing w:after="0" w:line="240" w:lineRule="auto"/>
              <w:jc w:val="both"/>
            </w:pPr>
            <w:r>
              <w:rPr>
                <w:rFonts w:ascii="Times New Roman" w:hAnsi="Times New Roman"/>
                <w:sz w:val="18"/>
              </w:rPr>
              <w:t>Neuplatňuje sa – bez vplyvu.</w:t>
            </w:r>
          </w:p>
        </w:tc>
      </w:tr>
      <w:tr w:rsidR="002644DE" w:rsidRPr="002644DE" w14:paraId="5396DF94" w14:textId="77777777" w:rsidTr="000800FC">
        <w:trPr>
          <w:trHeight w:val="454"/>
          <w:jc w:val="center"/>
        </w:trPr>
        <w:tc>
          <w:tcPr>
            <w:tcW w:w="129" w:type="pct"/>
            <w:tcBorders>
              <w:top w:val="dotted" w:sz="4" w:space="0" w:color="auto"/>
              <w:bottom w:val="single" w:sz="4" w:space="0" w:color="auto"/>
            </w:tcBorders>
            <w:vAlign w:val="center"/>
          </w:tcPr>
          <w:p w14:paraId="08426CB2"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tcPr>
          <w:p w14:paraId="7750A6DA"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tcPr>
          <w:p w14:paraId="6C1DF041" w14:textId="77777777" w:rsidR="00663241" w:rsidRDefault="00000000">
            <w:pPr>
              <w:spacing w:after="0" w:line="240" w:lineRule="auto"/>
              <w:jc w:val="both"/>
            </w:pPr>
            <w:r>
              <w:rPr>
                <w:rFonts w:ascii="Times New Roman" w:hAnsi="Times New Roman"/>
                <w:sz w:val="18"/>
              </w:rPr>
              <w:t>Kvantifikácia sa nevykonáva, keďže nebol identifikovaný negatívny vplyv na skupiny v riziku chudoby alebo sociálneho vylúčenia.</w:t>
            </w:r>
          </w:p>
        </w:tc>
      </w:tr>
    </w:tbl>
    <w:p w14:paraId="5E0C153E" w14:textId="77777777" w:rsidR="002644DE" w:rsidRPr="002644DE" w:rsidRDefault="002644DE" w:rsidP="002644DE">
      <w:r w:rsidRPr="002644DE">
        <w:br w:type="page"/>
      </w:r>
    </w:p>
    <w:p w14:paraId="1097DB9F" w14:textId="77777777" w:rsidR="002644DE" w:rsidRPr="002644DE" w:rsidRDefault="002644DE" w:rsidP="002644DE">
      <w:pPr>
        <w:sectPr w:rsidR="002644DE" w:rsidRPr="002644DE" w:rsidSect="00670684">
          <w:headerReference w:type="default" r:id="rId8"/>
          <w:footerReference w:type="default" r:id="rId9"/>
          <w:footnotePr>
            <w:numFmt w:val="chicago"/>
          </w:footnotePr>
          <w:pgSz w:w="11906" w:h="16838"/>
          <w:pgMar w:top="1134" w:right="1418" w:bottom="1134" w:left="1418" w:header="510" w:footer="567" w:gutter="0"/>
          <w:pgNumType w:start="1"/>
          <w:cols w:space="708"/>
          <w:formProt w:val="0"/>
          <w:docGrid w:linePitch="360"/>
        </w:sectPr>
      </w:pPr>
    </w:p>
    <w:tbl>
      <w:tblPr>
        <w:tblW w:w="52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91" w:type="dxa"/>
          <w:right w:w="91" w:type="dxa"/>
        </w:tblCellMar>
        <w:tblLook w:val="04A0" w:firstRow="1" w:lastRow="0" w:firstColumn="1" w:lastColumn="0" w:noHBand="0" w:noVBand="1"/>
      </w:tblPr>
      <w:tblGrid>
        <w:gridCol w:w="341"/>
        <w:gridCol w:w="3512"/>
        <w:gridCol w:w="84"/>
        <w:gridCol w:w="5560"/>
      </w:tblGrid>
      <w:tr w:rsidR="002644DE" w:rsidRPr="002644DE" w14:paraId="6AC8056B" w14:textId="77777777" w:rsidTr="000800FC">
        <w:trPr>
          <w:trHeight w:val="339"/>
          <w:jc w:val="center"/>
        </w:trPr>
        <w:tc>
          <w:tcPr>
            <w:tcW w:w="4998" w:type="pct"/>
            <w:gridSpan w:val="4"/>
            <w:tcBorders>
              <w:bottom w:val="single" w:sz="4" w:space="0" w:color="auto"/>
            </w:tcBorders>
            <w:shd w:val="clear" w:color="auto" w:fill="D9D9D9"/>
          </w:tcPr>
          <w:p w14:paraId="2CD10C0C" w14:textId="77777777" w:rsidR="002644DE" w:rsidRPr="002644DE" w:rsidRDefault="002644DE" w:rsidP="002644DE">
            <w:pPr>
              <w:spacing w:after="0" w:line="240" w:lineRule="auto"/>
              <w:rPr>
                <w:rFonts w:ascii="Times New Roman" w:eastAsia="Calibri" w:hAnsi="Times New Roman" w:cs="Times New Roman"/>
                <w:b/>
                <w:sz w:val="24"/>
                <w:szCs w:val="24"/>
                <w:lang w:eastAsia="sk-SK"/>
              </w:rPr>
            </w:pPr>
            <w:r w:rsidRPr="002644DE">
              <w:rPr>
                <w:rFonts w:ascii="Times New Roman" w:eastAsia="Calibri" w:hAnsi="Times New Roman" w:cs="Times New Roman"/>
                <w:b/>
                <w:sz w:val="24"/>
                <w:szCs w:val="24"/>
                <w:lang w:eastAsia="sk-SK"/>
              </w:rPr>
              <w:lastRenderedPageBreak/>
              <w:t>4.2 Identifikujte, popíšte a kvantifikujte vplyvy na prístup k zdrojom, právam, tovarom a službám u jednotlivých ovplyvnených skupín obyvateľstva a vplyv na sociálnu inklúziu.</w:t>
            </w:r>
          </w:p>
        </w:tc>
      </w:tr>
      <w:tr w:rsidR="002644DE" w:rsidRPr="002644DE" w14:paraId="6FAA772F" w14:textId="77777777" w:rsidTr="000800FC">
        <w:trPr>
          <w:trHeight w:val="290"/>
          <w:jc w:val="center"/>
        </w:trPr>
        <w:tc>
          <w:tcPr>
            <w:tcW w:w="4998" w:type="pct"/>
            <w:gridSpan w:val="4"/>
            <w:tcBorders>
              <w:bottom w:val="single" w:sz="4" w:space="0" w:color="auto"/>
            </w:tcBorders>
            <w:shd w:val="clear" w:color="auto" w:fill="F2F2F2"/>
            <w:vAlign w:val="center"/>
          </w:tcPr>
          <w:p w14:paraId="1684CAA4" w14:textId="77777777" w:rsidR="002644DE" w:rsidRPr="002644DE" w:rsidRDefault="002644DE" w:rsidP="002644DE">
            <w:pPr>
              <w:spacing w:after="0" w:line="240" w:lineRule="auto"/>
              <w:jc w:val="both"/>
              <w:rPr>
                <w:rFonts w:ascii="Times New Roman" w:eastAsia="Calibri" w:hAnsi="Times New Roman" w:cs="Times New Roman"/>
                <w:i/>
                <w:sz w:val="20"/>
                <w:szCs w:val="24"/>
                <w:lang w:eastAsia="sk-SK"/>
              </w:rPr>
            </w:pPr>
            <w:r w:rsidRPr="002644DE">
              <w:rPr>
                <w:rFonts w:ascii="Times New Roman" w:eastAsia="Calibri" w:hAnsi="Times New Roman" w:cs="Times New Roman"/>
                <w:i/>
                <w:sz w:val="20"/>
                <w:szCs w:val="24"/>
                <w:lang w:eastAsia="sk-SK"/>
              </w:rPr>
              <w:t xml:space="preserve">Má návrh vplyv na prístup k zdrojom, právam, tovarom a službám? </w:t>
            </w:r>
          </w:p>
          <w:p w14:paraId="7F5EB749" w14:textId="77777777" w:rsidR="002644DE" w:rsidRPr="002644DE" w:rsidRDefault="002644DE" w:rsidP="002644DE">
            <w:pPr>
              <w:spacing w:after="0" w:line="240" w:lineRule="auto"/>
              <w:jc w:val="both"/>
              <w:rPr>
                <w:rFonts w:ascii="Calibri" w:eastAsia="Calibri" w:hAnsi="Calibri" w:cs="Times New Roman"/>
                <w:i/>
                <w:sz w:val="24"/>
                <w:szCs w:val="24"/>
                <w:lang w:eastAsia="sk-SK"/>
              </w:rPr>
            </w:pPr>
            <w:r w:rsidRPr="002644DE">
              <w:rPr>
                <w:rFonts w:ascii="Times New Roman" w:eastAsia="Calibri" w:hAnsi="Times New Roman" w:cs="Times New Roman"/>
                <w:i/>
                <w:sz w:val="20"/>
                <w:szCs w:val="24"/>
                <w:lang w:eastAsia="sk-SK"/>
              </w:rPr>
              <w:t>Popíšte hodnotené opatrenie, špecifikujte ovplyvnené skupiny obyvateľstva a charakter zmeny v prístupnosti s ohľadom na dostupnosť finančnú, geografickú, kvalitu, organizovanie a pod. Uveďte veľkosť jednotlivých ovplyvnených skupín.</w:t>
            </w:r>
          </w:p>
        </w:tc>
      </w:tr>
      <w:tr w:rsidR="002644DE" w:rsidRPr="002644DE" w14:paraId="6A05A3B4" w14:textId="77777777" w:rsidTr="000800FC">
        <w:tblPrEx>
          <w:tblBorders>
            <w:top w:val="none" w:sz="0" w:space="0" w:color="auto"/>
            <w:bottom w:val="none" w:sz="0" w:space="0" w:color="auto"/>
          </w:tblBorders>
        </w:tblPrEx>
        <w:trPr>
          <w:trHeight w:val="557"/>
          <w:jc w:val="center"/>
        </w:trPr>
        <w:tc>
          <w:tcPr>
            <w:tcW w:w="180" w:type="pct"/>
            <w:vAlign w:val="center"/>
          </w:tcPr>
          <w:p w14:paraId="79AB3617"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1893" w:type="pct"/>
            <w:gridSpan w:val="2"/>
          </w:tcPr>
          <w:p w14:paraId="3846FF7A" w14:textId="77777777"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Rozumie sa najmä na prístup k:</w:t>
            </w:r>
          </w:p>
          <w:p w14:paraId="16C3AD2F"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sociálnej ochrane, sociálno-právnej ochrane, sociálnym službám (vrátane služieb starostlivosti o deti, starších ľudí a ľudí so    zdravotným postihnutím), </w:t>
            </w:r>
          </w:p>
          <w:p w14:paraId="6BD7B0F3"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kvalitnej práci, ochrane zdravia, dôstojnosti a bezpečnosti pri práci pre zamestnancov a existujúcim zamestnaneckým právam,</w:t>
            </w:r>
          </w:p>
          <w:p w14:paraId="4CAC420D"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pomoci pri úhrade výdavkov súvisiacich so zdravotným postihnutím, </w:t>
            </w:r>
          </w:p>
          <w:p w14:paraId="076EDC98"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zamestnaniu, na trh práce (napr. uľahčenie zosúladenia rodinných a pracovných povinností, služby zamestnanosti), k školeniam, odbornému vzdelávaniu a príprave na trh práce,</w:t>
            </w:r>
          </w:p>
          <w:p w14:paraId="43116DF6"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zdravotnej starostlivosti vrátane cenovo dostupných pomôcok pre občanov so zdravotným postihnutím, </w:t>
            </w:r>
          </w:p>
          <w:p w14:paraId="0EB45FCB"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 formálnemu i neformálnemu vzdelávaniu a celo</w:t>
            </w:r>
            <w:r w:rsidRPr="002644DE">
              <w:rPr>
                <w:rFonts w:ascii="Times New Roman" w:eastAsia="Calibri" w:hAnsi="Times New Roman" w:cs="Times New Roman"/>
                <w:i/>
                <w:sz w:val="18"/>
                <w:szCs w:val="18"/>
                <w:lang w:eastAsia="sk-SK"/>
              </w:rPr>
              <w:softHyphen/>
              <w:t xml:space="preserve">životnému vzdelávaniu, </w:t>
            </w:r>
          </w:p>
          <w:p w14:paraId="38CBB807"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bývaniu a súvisiacim základným komunálnym službám,</w:t>
            </w:r>
          </w:p>
          <w:p w14:paraId="7A5FB0BE"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doprave,</w:t>
            </w:r>
          </w:p>
          <w:p w14:paraId="440C5ED0"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ďalším službám najmä službám všeobecného záujmu a tovarom,</w:t>
            </w:r>
          </w:p>
          <w:p w14:paraId="299E19B8"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spravodlivosti, právnej ochrane, právnym službám,</w:t>
            </w:r>
          </w:p>
          <w:p w14:paraId="314D7E9D"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informáciám,</w:t>
            </w:r>
          </w:p>
          <w:p w14:paraId="04FF0D8D" w14:textId="77777777" w:rsidR="002644DE" w:rsidRPr="002644DE" w:rsidRDefault="002644DE" w:rsidP="002644DE">
            <w:pPr>
              <w:numPr>
                <w:ilvl w:val="0"/>
                <w:numId w:val="9"/>
              </w:numPr>
              <w:spacing w:after="0" w:line="240" w:lineRule="auto"/>
              <w:ind w:left="170" w:hanging="170"/>
              <w:jc w:val="both"/>
              <w:rPr>
                <w:rFonts w:ascii="Calibri" w:eastAsia="Calibri" w:hAnsi="Calibri" w:cs="Times New Roman"/>
                <w:i/>
                <w:sz w:val="20"/>
                <w:szCs w:val="20"/>
                <w:lang w:eastAsia="sk-SK"/>
              </w:rPr>
            </w:pPr>
            <w:r w:rsidRPr="002644DE">
              <w:rPr>
                <w:rFonts w:ascii="Times New Roman" w:eastAsia="Calibri" w:hAnsi="Times New Roman" w:cs="Times New Roman"/>
                <w:i/>
                <w:sz w:val="18"/>
                <w:szCs w:val="18"/>
                <w:lang w:eastAsia="sk-SK"/>
              </w:rPr>
              <w:t>k iným právam (napr. politickým).</w:t>
            </w:r>
          </w:p>
        </w:tc>
        <w:tc>
          <w:tcPr>
            <w:tcW w:w="2926" w:type="pct"/>
          </w:tcPr>
          <w:p w14:paraId="244034E7" w14:textId="2B5925D8" w:rsidR="008B2834" w:rsidRPr="008520B6" w:rsidRDefault="00F13929">
            <w:pPr>
              <w:spacing w:after="0" w:line="240" w:lineRule="auto"/>
              <w:jc w:val="both"/>
              <w:rPr>
                <w:rFonts w:ascii="Times New Roman" w:hAnsi="Times New Roman"/>
                <w:sz w:val="18"/>
              </w:rPr>
            </w:pPr>
            <w:r w:rsidRPr="00F13929">
              <w:rPr>
                <w:rFonts w:ascii="Times New Roman" w:hAnsi="Times New Roman"/>
                <w:sz w:val="18"/>
              </w:rPr>
              <w:t>Návrh vyhlášky má pozitívny sociálny vplyv na prístup k zdravotnej starostlivosti a informáciám o prevencii. V nadväznosti na pripomienku Komisie sa zároveň identifikuje potenciálny negatívny sociálny vplyv súvisiaci s možnými rizikami pri implementácii nových skríningových postupov a zabezpečovaní dostupnosti skríningových a nadväzujúcich diagnostických vyšetrení.</w:t>
            </w:r>
            <w:r w:rsidR="008B2834" w:rsidRPr="008520B6">
              <w:rPr>
                <w:rFonts w:ascii="Times New Roman" w:hAnsi="Times New Roman"/>
                <w:sz w:val="18"/>
              </w:rPr>
              <w:t>.</w:t>
            </w:r>
          </w:p>
          <w:p w14:paraId="2EE7BE46" w14:textId="77777777" w:rsidR="008B2834" w:rsidRPr="008520B6" w:rsidRDefault="008B2834">
            <w:pPr>
              <w:spacing w:after="0" w:line="240" w:lineRule="auto"/>
              <w:jc w:val="both"/>
              <w:rPr>
                <w:rFonts w:ascii="Times New Roman" w:hAnsi="Times New Roman"/>
                <w:sz w:val="18"/>
              </w:rPr>
            </w:pPr>
          </w:p>
          <w:p w14:paraId="12FCD7D5" w14:textId="4E3A5550" w:rsidR="00663241" w:rsidRPr="008520B6" w:rsidRDefault="00000000">
            <w:pPr>
              <w:spacing w:after="0" w:line="240" w:lineRule="auto"/>
              <w:jc w:val="both"/>
              <w:rPr>
                <w:rFonts w:ascii="Times New Roman" w:hAnsi="Times New Roman"/>
                <w:sz w:val="18"/>
              </w:rPr>
            </w:pPr>
            <w:r w:rsidRPr="008520B6">
              <w:rPr>
                <w:rFonts w:ascii="Times New Roman" w:hAnsi="Times New Roman"/>
                <w:sz w:val="18"/>
              </w:rPr>
              <w:t>Návrh vyhlášky jednotne upravuje kritériá zaradenia do cieľovej populácie, druhy skríningových vyšetrení, ich periodicitu, nadväzujúci diagnostický postup, príslušné odbornosti a pracoviská, metodiku pozývania a indikátory hodnotenia kvality a efektivity. Tým sa znižujú organizačné bariéry a zvyšuje predvídateľnosť a kontinuita postupu poistenca od pozvania alebo indikácie až po nadväzujúcu diagnostiku pri pozitívnom alebo neurčitom výsledku.</w:t>
            </w:r>
            <w:r w:rsidRPr="008520B6">
              <w:rPr>
                <w:rFonts w:ascii="Times New Roman" w:hAnsi="Times New Roman"/>
                <w:sz w:val="18"/>
              </w:rPr>
              <w:br/>
            </w:r>
            <w:r w:rsidRPr="008520B6">
              <w:rPr>
                <w:rFonts w:ascii="Times New Roman" w:hAnsi="Times New Roman"/>
                <w:sz w:val="18"/>
              </w:rPr>
              <w:br/>
              <w:t>Ovplyvnené skupiny obyvateľstva podľa návrhu vyhlášky sú najmä:</w:t>
            </w:r>
            <w:r w:rsidRPr="008520B6">
              <w:rPr>
                <w:rFonts w:ascii="Times New Roman" w:hAnsi="Times New Roman"/>
                <w:sz w:val="18"/>
              </w:rPr>
              <w:br/>
              <w:t>1. muži a ženy vo veku od 50 do nedovŕšenia 75 rokov spĺňajúci ďalšie kritériá organizovaného skríningu rakoviny hrubého čreva a konečníka;</w:t>
            </w:r>
            <w:r w:rsidRPr="008520B6">
              <w:rPr>
                <w:rFonts w:ascii="Times New Roman" w:hAnsi="Times New Roman"/>
                <w:sz w:val="18"/>
              </w:rPr>
              <w:br/>
              <w:t>2. ženy vo veku od 23 do nedovŕšenia 66 rokov spĺňajúce ďalšie kritériá organizovaného skríningu rakoviny krčka maternice;</w:t>
            </w:r>
            <w:r w:rsidRPr="008520B6">
              <w:rPr>
                <w:rFonts w:ascii="Times New Roman" w:hAnsi="Times New Roman"/>
                <w:sz w:val="18"/>
              </w:rPr>
              <w:br/>
              <w:t>3. muži vo veku od 50 do nedovŕšenia 70 rokov spĺňajúci ďalšie kritériá organizovaného skríningu rakoviny prostaty;</w:t>
            </w:r>
            <w:r w:rsidRPr="008520B6">
              <w:rPr>
                <w:rFonts w:ascii="Times New Roman" w:hAnsi="Times New Roman"/>
                <w:sz w:val="18"/>
              </w:rPr>
              <w:br/>
              <w:t>4. muži a ženy vo veku od 50 do nedovŕšenia 75 rokov spĺňajúci ďalšie zdravotné a rizikové kritériá organizovaného skríningu rakoviny pľúc;</w:t>
            </w:r>
            <w:r w:rsidRPr="008520B6">
              <w:rPr>
                <w:rFonts w:ascii="Times New Roman" w:hAnsi="Times New Roman"/>
                <w:sz w:val="18"/>
              </w:rPr>
              <w:br/>
              <w:t>5. ženy s priemerným rizikom vo veku od 45 do nedovŕšenia 75 rokov a ženy so stredným alebo vysokým rizikom v rozsahu určenom klinickým posúdením podľa návrhu vyhlášky, najneskôr do nedovŕšenia 75 rokov, pri organizovanom skríningu rakoviny prsníka;</w:t>
            </w:r>
            <w:r w:rsidRPr="008520B6">
              <w:rPr>
                <w:rFonts w:ascii="Times New Roman" w:hAnsi="Times New Roman"/>
                <w:sz w:val="18"/>
              </w:rPr>
              <w:br/>
              <w:t>6. ženy s priemerným rizikom vo veku od 40 do nedovŕšenia 45 rokov pri včasnej detekcii rakoviny prsníka.</w:t>
            </w:r>
            <w:r w:rsidRPr="008520B6">
              <w:rPr>
                <w:rFonts w:ascii="Times New Roman" w:hAnsi="Times New Roman"/>
                <w:sz w:val="18"/>
              </w:rPr>
              <w:br/>
            </w:r>
            <w:r w:rsidRPr="008520B6">
              <w:rPr>
                <w:rFonts w:ascii="Times New Roman" w:hAnsi="Times New Roman"/>
                <w:sz w:val="18"/>
              </w:rPr>
              <w:br/>
              <w:t>Celkovú veľkosť všetkých ovplyvnených skupín nemožno spoľahlivo kvantifikovať, keďže sa niektoré cieľové populácie prekrývajú a zaradenie závisí aj od zdravotných, rizikových a vylučovacích kritérií. Pozitívny sociálny vplyv spočíva najmä v aktívnom a štandardizovanom prístupe k prevencii a v jasne nastavenom nadväzujúcom postupe. Geografická dostupnosť bude súvisieť s reálnou sieťou poskytovateľov a skríningových pracovísk.</w:t>
            </w:r>
          </w:p>
          <w:p w14:paraId="15CEFB77" w14:textId="77777777" w:rsidR="00B100B3" w:rsidRPr="008520B6" w:rsidRDefault="00B100B3">
            <w:pPr>
              <w:spacing w:after="0" w:line="240" w:lineRule="auto"/>
              <w:jc w:val="both"/>
              <w:rPr>
                <w:sz w:val="18"/>
              </w:rPr>
            </w:pPr>
          </w:p>
          <w:p w14:paraId="7D3D82A5" w14:textId="526197AC" w:rsidR="00B100B3" w:rsidRPr="008520B6" w:rsidRDefault="00B100B3" w:rsidP="00B100B3">
            <w:pPr>
              <w:spacing w:after="0" w:line="240" w:lineRule="auto"/>
              <w:jc w:val="both"/>
              <w:rPr>
                <w:rFonts w:ascii="Times New Roman" w:hAnsi="Times New Roman"/>
                <w:sz w:val="18"/>
              </w:rPr>
            </w:pPr>
            <w:r w:rsidRPr="008520B6">
              <w:rPr>
                <w:rFonts w:ascii="Times New Roman" w:hAnsi="Times New Roman"/>
                <w:sz w:val="18"/>
              </w:rPr>
              <w:t xml:space="preserve">Predkladateľ súhlasí so záverom komisie, že medziročné zníženie výdavkov na skríningové programy v roku 2027 predstavuje </w:t>
            </w:r>
            <w:r w:rsidR="00246AC8">
              <w:rPr>
                <w:rFonts w:ascii="Times New Roman" w:hAnsi="Times New Roman"/>
                <w:sz w:val="18"/>
              </w:rPr>
              <w:t xml:space="preserve">potenciálny </w:t>
            </w:r>
            <w:r w:rsidRPr="008520B6">
              <w:rPr>
                <w:rFonts w:ascii="Times New Roman" w:hAnsi="Times New Roman"/>
                <w:sz w:val="18"/>
              </w:rPr>
              <w:t>negatívny sociálny vplyv na prístup k zdravotnej starostlivosti.</w:t>
            </w:r>
          </w:p>
          <w:p w14:paraId="3BC9F57E" w14:textId="77777777" w:rsidR="00B100B3" w:rsidRPr="008520B6" w:rsidRDefault="00B100B3" w:rsidP="00B100B3">
            <w:pPr>
              <w:spacing w:after="0" w:line="240" w:lineRule="auto"/>
              <w:jc w:val="both"/>
              <w:rPr>
                <w:rFonts w:ascii="Times New Roman" w:hAnsi="Times New Roman"/>
                <w:sz w:val="18"/>
              </w:rPr>
            </w:pPr>
          </w:p>
          <w:p w14:paraId="5B76E411" w14:textId="4A53601B" w:rsidR="00100A42" w:rsidRPr="00100A42" w:rsidRDefault="00100A42" w:rsidP="00100A42">
            <w:pPr>
              <w:spacing w:after="0" w:line="240" w:lineRule="auto"/>
              <w:jc w:val="both"/>
              <w:rPr>
                <w:rFonts w:ascii="Times New Roman" w:hAnsi="Times New Roman"/>
                <w:sz w:val="18"/>
              </w:rPr>
            </w:pPr>
            <w:r w:rsidRPr="00100A42">
              <w:rPr>
                <w:rFonts w:ascii="Times New Roman" w:hAnsi="Times New Roman"/>
                <w:sz w:val="18"/>
              </w:rPr>
              <w:t>V roku 2027 sa oproti základnému scenáru bez prijatia vyhlášky predpokladá úspora.</w:t>
            </w:r>
          </w:p>
          <w:p w14:paraId="7B183EF5" w14:textId="77777777" w:rsidR="00100A42" w:rsidRPr="00100A42" w:rsidRDefault="00100A42" w:rsidP="00100A42">
            <w:pPr>
              <w:spacing w:after="0" w:line="240" w:lineRule="auto"/>
              <w:jc w:val="both"/>
              <w:rPr>
                <w:rFonts w:ascii="Times New Roman" w:hAnsi="Times New Roman"/>
                <w:sz w:val="18"/>
              </w:rPr>
            </w:pPr>
          </w:p>
          <w:p w14:paraId="6C343496" w14:textId="77777777" w:rsidR="00100A42" w:rsidRPr="00100A42" w:rsidRDefault="00100A42" w:rsidP="00100A42">
            <w:pPr>
              <w:spacing w:after="0" w:line="240" w:lineRule="auto"/>
              <w:jc w:val="both"/>
              <w:rPr>
                <w:rFonts w:ascii="Times New Roman" w:hAnsi="Times New Roman"/>
                <w:sz w:val="18"/>
              </w:rPr>
            </w:pPr>
            <w:r w:rsidRPr="00100A42">
              <w:rPr>
                <w:rFonts w:ascii="Times New Roman" w:hAnsi="Times New Roman"/>
                <w:sz w:val="18"/>
              </w:rPr>
              <w:t>Predkladateľ v nadväznosti na pripomienku Komisie identifikuje potenciálny negatívny sociálny vplyv v oblasti prístupu k zdravotnej starostlivosti. Samotné zníženie výdavkov však nepredstavuje automaticky zníženie dostupnosti zdravotnej starostlivosti.</w:t>
            </w:r>
          </w:p>
          <w:p w14:paraId="29D25ACD" w14:textId="77777777" w:rsidR="00100A42" w:rsidRPr="00100A42" w:rsidRDefault="00100A42" w:rsidP="00100A42">
            <w:pPr>
              <w:spacing w:after="0" w:line="240" w:lineRule="auto"/>
              <w:jc w:val="both"/>
              <w:rPr>
                <w:rFonts w:ascii="Times New Roman" w:hAnsi="Times New Roman"/>
                <w:sz w:val="18"/>
              </w:rPr>
            </w:pPr>
          </w:p>
          <w:p w14:paraId="05F22B24" w14:textId="77777777" w:rsidR="00100A42" w:rsidRPr="00100A42" w:rsidRDefault="00100A42" w:rsidP="00100A42">
            <w:pPr>
              <w:spacing w:after="0" w:line="240" w:lineRule="auto"/>
              <w:jc w:val="both"/>
              <w:rPr>
                <w:rFonts w:ascii="Times New Roman" w:hAnsi="Times New Roman"/>
                <w:sz w:val="18"/>
              </w:rPr>
            </w:pPr>
            <w:r w:rsidRPr="00100A42">
              <w:rPr>
                <w:rFonts w:ascii="Times New Roman" w:hAnsi="Times New Roman"/>
                <w:sz w:val="18"/>
              </w:rPr>
              <w:t>Predpokladaná úspora vyplýva predovšetkým z optimalizácie štruktúry zdravotných výkonov pri skríningu rakoviny prsníka v súlade s princípmi medicíny založenej na dôkazoch, najmä z upustenia od samostatne vykazovaného ultrasonografického vyšetrenia prsníkov ako skríningovej metódy u bezpríznakových žien. Ultrasonografické vyšetrenie zostáva súčasťou nadväzujúcej diagnostiky, ak je medicínsky indikované.</w:t>
            </w:r>
          </w:p>
          <w:p w14:paraId="366DAE30" w14:textId="77777777" w:rsidR="00100A42" w:rsidRPr="00100A42" w:rsidRDefault="00100A42" w:rsidP="00100A42">
            <w:pPr>
              <w:spacing w:after="0" w:line="240" w:lineRule="auto"/>
              <w:jc w:val="both"/>
              <w:rPr>
                <w:rFonts w:ascii="Times New Roman" w:hAnsi="Times New Roman"/>
                <w:sz w:val="18"/>
              </w:rPr>
            </w:pPr>
          </w:p>
          <w:p w14:paraId="47B79CC2" w14:textId="7C806438" w:rsidR="00B100B3" w:rsidRPr="00100A42" w:rsidRDefault="00100A42">
            <w:pPr>
              <w:spacing w:after="0" w:line="240" w:lineRule="auto"/>
              <w:jc w:val="both"/>
              <w:rPr>
                <w:rFonts w:ascii="Times New Roman" w:hAnsi="Times New Roman"/>
                <w:sz w:val="18"/>
              </w:rPr>
            </w:pPr>
            <w:r w:rsidRPr="00100A42">
              <w:rPr>
                <w:rFonts w:ascii="Times New Roman" w:hAnsi="Times New Roman"/>
                <w:sz w:val="18"/>
              </w:rPr>
              <w:t xml:space="preserve">Možný negatívny sociálny vplyv by mohol vzniknúť v prípade nedostatočného zabezpečenia dostupnosti skríningových a nadväzujúcich diagnostických vyšetrení pri implementácii nových postupov. Takýto vplyv sa však na základe dostupných podkladov nepredpokladá ako nevyhnutný </w:t>
            </w:r>
            <w:r w:rsidRPr="00100A42">
              <w:rPr>
                <w:rFonts w:ascii="Times New Roman" w:hAnsi="Times New Roman"/>
                <w:sz w:val="18"/>
              </w:rPr>
              <w:lastRenderedPageBreak/>
              <w:t>dôsledok navrhovanej právnej úpravy a jeho rozsah nie je možné spoľahlivo kvantifikovať.</w:t>
            </w:r>
          </w:p>
        </w:tc>
      </w:tr>
      <w:tr w:rsidR="002644DE" w:rsidRPr="002644DE" w14:paraId="2950FFC9" w14:textId="77777777" w:rsidTr="000800FC">
        <w:trPr>
          <w:jc w:val="center"/>
        </w:trPr>
        <w:tc>
          <w:tcPr>
            <w:tcW w:w="180" w:type="pct"/>
            <w:tcBorders>
              <w:bottom w:val="single" w:sz="4" w:space="0" w:color="auto"/>
            </w:tcBorders>
            <w:shd w:val="clear" w:color="auto" w:fill="F2F2F2"/>
            <w:vAlign w:val="center"/>
          </w:tcPr>
          <w:p w14:paraId="75661970" w14:textId="77777777" w:rsidR="002644DE" w:rsidRPr="002644DE" w:rsidRDefault="002644DE" w:rsidP="002644DE">
            <w:pPr>
              <w:spacing w:after="0" w:line="240" w:lineRule="auto"/>
              <w:rPr>
                <w:rFonts w:ascii="Times New Roman" w:eastAsia="Calibri" w:hAnsi="Times New Roman" w:cs="Times New Roman"/>
                <w:i/>
                <w:sz w:val="18"/>
                <w:lang w:eastAsia="sk-SK"/>
              </w:rPr>
            </w:pPr>
            <w:r w:rsidRPr="002644DE">
              <w:rPr>
                <w:rFonts w:ascii="Times New Roman" w:eastAsia="Calibri" w:hAnsi="Times New Roman" w:cs="Times New Roman"/>
                <w:i/>
                <w:sz w:val="18"/>
                <w:lang w:eastAsia="sk-SK"/>
              </w:rPr>
              <w:lastRenderedPageBreak/>
              <w:t>b)</w:t>
            </w:r>
          </w:p>
        </w:tc>
        <w:tc>
          <w:tcPr>
            <w:tcW w:w="4819" w:type="pct"/>
            <w:gridSpan w:val="3"/>
            <w:tcBorders>
              <w:bottom w:val="single" w:sz="4" w:space="0" w:color="auto"/>
            </w:tcBorders>
            <w:shd w:val="clear" w:color="auto" w:fill="F2F2F2"/>
          </w:tcPr>
          <w:p w14:paraId="68EAD0DA"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 xml:space="preserve">Má návrh významný vplyv na niektorú zo zraniteľných skupín obyvateľstva alebo skupín v riziku chudoby alebo sociálneho vylúčenia? </w:t>
            </w:r>
          </w:p>
          <w:p w14:paraId="135B1C15" w14:textId="77777777" w:rsidR="002644DE" w:rsidRPr="002644DE" w:rsidRDefault="002644DE" w:rsidP="002644DE">
            <w:pPr>
              <w:spacing w:after="0" w:line="240" w:lineRule="auto"/>
              <w:jc w:val="both"/>
              <w:rPr>
                <w:rFonts w:ascii="Calibri" w:eastAsia="Calibri" w:hAnsi="Calibri" w:cs="Times New Roman"/>
                <w:i/>
                <w:lang w:eastAsia="sk-SK"/>
              </w:rPr>
            </w:pPr>
            <w:r w:rsidRPr="002644DE">
              <w:rPr>
                <w:rFonts w:ascii="Times New Roman" w:eastAsia="Calibri" w:hAnsi="Times New Roman" w:cs="Times New Roman"/>
                <w:i/>
                <w:sz w:val="20"/>
                <w:szCs w:val="20"/>
                <w:lang w:eastAsia="sk-SK"/>
              </w:rPr>
              <w:t xml:space="preserve">Špecifikujte ovplyvnené skupiny v riziku chudoby a sociálneho vylúčenia a popíšte vplyv na </w:t>
            </w:r>
            <w:proofErr w:type="spellStart"/>
            <w:r w:rsidRPr="002644DE">
              <w:rPr>
                <w:rFonts w:ascii="Times New Roman" w:eastAsia="Calibri" w:hAnsi="Times New Roman" w:cs="Times New Roman"/>
                <w:i/>
                <w:sz w:val="20"/>
                <w:szCs w:val="20"/>
                <w:lang w:eastAsia="sk-SK"/>
              </w:rPr>
              <w:t>ne</w:t>
            </w:r>
            <w:proofErr w:type="spellEnd"/>
            <w:r w:rsidRPr="002644DE">
              <w:rPr>
                <w:rFonts w:ascii="Times New Roman" w:eastAsia="Calibri" w:hAnsi="Times New Roman" w:cs="Times New Roman"/>
                <w:i/>
                <w:sz w:val="20"/>
                <w:szCs w:val="20"/>
                <w:lang w:eastAsia="sk-SK"/>
              </w:rPr>
              <w:t>. Je tento vplyv väčší ako vplyv na iné skupiny či subjekty? Uveďte veľkosť jednotlivých ovplyvnených skupín.</w:t>
            </w:r>
          </w:p>
        </w:tc>
      </w:tr>
      <w:tr w:rsidR="002644DE" w:rsidRPr="002644DE" w14:paraId="63F98065" w14:textId="77777777" w:rsidTr="000800FC">
        <w:tblPrEx>
          <w:tblBorders>
            <w:top w:val="none" w:sz="0" w:space="0" w:color="auto"/>
          </w:tblBorders>
        </w:tblPrEx>
        <w:trPr>
          <w:trHeight w:val="677"/>
          <w:jc w:val="center"/>
        </w:trPr>
        <w:tc>
          <w:tcPr>
            <w:tcW w:w="179" w:type="pct"/>
            <w:vAlign w:val="center"/>
          </w:tcPr>
          <w:p w14:paraId="237197AA" w14:textId="77777777"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849" w:type="pct"/>
          </w:tcPr>
          <w:p w14:paraId="57D41FD6" w14:textId="77777777"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Zraniteľné skupiny alebo skupiny v riziku chudoby alebo sociálneho vylúčenia sú napr.:</w:t>
            </w:r>
          </w:p>
          <w:p w14:paraId="7FD62EBA"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nízkym príjmom (napr. žijúce iba zo sociálnych príjmov, alebo z príjmov pod hranicou rizika chudoby, alebo s príjmom pod životným minimom, alebo patriace medzi 25% domácností s najnižším príjmom),</w:t>
            </w:r>
          </w:p>
          <w:p w14:paraId="56CB9B8B"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nezamestnaní, najmä dlhodobo nezamestnaní, mladí nezamestnaní a nezamestnaní nad 50 rokov,</w:t>
            </w:r>
          </w:p>
          <w:p w14:paraId="5C1AF4A4"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deti (0 – 17),</w:t>
            </w:r>
          </w:p>
          <w:p w14:paraId="11282CEB"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mladí ľudia (18 – 25 rokov),</w:t>
            </w:r>
          </w:p>
          <w:p w14:paraId="4D4FF814"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starší ľudia, napr. ľudia vo veku nad 65 rokov alebo dôchodcovia,</w:t>
            </w:r>
          </w:p>
          <w:p w14:paraId="0FED06C3"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ľudia so zdravotným postihnutím,</w:t>
            </w:r>
          </w:p>
          <w:p w14:paraId="1329251C"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marginalizované rómske komunity </w:t>
            </w:r>
          </w:p>
          <w:p w14:paraId="2C81547A"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3 a viac deťmi,</w:t>
            </w:r>
          </w:p>
          <w:p w14:paraId="789293B9"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jednorodičovské domácnosti s deťmi (neúplné rodiny, ktoré tvoria najmä osamelé matky s deťmi),</w:t>
            </w:r>
          </w:p>
          <w:p w14:paraId="2A3A2462"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príslušníci tretích krajín, azylanti, žiadatelia o azyl,</w:t>
            </w:r>
          </w:p>
          <w:p w14:paraId="139286F7"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sz w:val="20"/>
                <w:lang w:eastAsia="sk-SK"/>
              </w:rPr>
            </w:pPr>
            <w:r w:rsidRPr="002644DE">
              <w:rPr>
                <w:rFonts w:ascii="Times New Roman" w:eastAsia="Calibri" w:hAnsi="Times New Roman" w:cs="Times New Roman"/>
                <w:i/>
                <w:sz w:val="18"/>
                <w:szCs w:val="18"/>
                <w:lang w:eastAsia="sk-SK"/>
              </w:rPr>
              <w:t>iné zraniteľné skupiny, ako sú napr. bezdomovci, ľudia opúšťajúci detské domovy alebo iné inštitucionálne zariadenia</w:t>
            </w:r>
          </w:p>
        </w:tc>
        <w:tc>
          <w:tcPr>
            <w:tcW w:w="2972" w:type="pct"/>
            <w:gridSpan w:val="2"/>
          </w:tcPr>
          <w:p w14:paraId="77507084" w14:textId="77777777" w:rsidR="00663241" w:rsidRDefault="00000000">
            <w:pPr>
              <w:spacing w:after="0" w:line="240" w:lineRule="auto"/>
              <w:jc w:val="both"/>
            </w:pPr>
            <w:r>
              <w:rPr>
                <w:rFonts w:ascii="Times New Roman" w:hAnsi="Times New Roman"/>
                <w:sz w:val="18"/>
              </w:rPr>
              <w:t>Potenciálne pozitívny vplyv možno očakávať aj u osôb, ktoré čelia vyšším bariéram pri využívaní preventívnej zdravotnej starostlivosti, napríklad u starších osôb, osôb s nižšou zdravotnou gramotnosťou, nízkopríjmových domácností alebo sociálne vylúčených skupín. Aktívne pozývanie a jednotný postup môžu znížiť informačné a organizačné bariéry pri vstupe do skríningu. Návrh vyhlášky však nezavádza osobitné opatrenia určené výlučne pre zraniteľné skupiny, preto z predložených podkladov nemožno preukázať ani kvantifikovať, že vplyv na tieto skupiny bude významne väčší ako na ostatných poistencov v cieľových populáciách.</w:t>
            </w:r>
          </w:p>
        </w:tc>
      </w:tr>
    </w:tbl>
    <w:p w14:paraId="75BF9A0D" w14:textId="77777777" w:rsidR="002644DE" w:rsidRPr="002644DE" w:rsidRDefault="002644DE" w:rsidP="002644DE">
      <w:pPr>
        <w:sectPr w:rsidR="002644DE" w:rsidRPr="002644DE" w:rsidSect="00670684">
          <w:headerReference w:type="default" r:id="rId10"/>
          <w:footerReference w:type="default" r:id="rId11"/>
          <w:footnotePr>
            <w:numFmt w:val="chicago"/>
          </w:footnotePr>
          <w:type w:val="continuous"/>
          <w:pgSz w:w="11906" w:h="16838"/>
          <w:pgMar w:top="1134" w:right="1418" w:bottom="1134" w:left="1418" w:header="510" w:footer="567" w:gutter="0"/>
          <w:cols w:space="708"/>
          <w:formProt w:val="0"/>
          <w:docGrid w:linePitch="360"/>
        </w:sectPr>
      </w:pPr>
    </w:p>
    <w:tbl>
      <w:tblPr>
        <w:tblW w:w="51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right w:w="57" w:type="dxa"/>
        </w:tblCellMar>
        <w:tblLook w:val="04A0" w:firstRow="1" w:lastRow="0" w:firstColumn="1" w:lastColumn="0" w:noHBand="0" w:noVBand="1"/>
      </w:tblPr>
      <w:tblGrid>
        <w:gridCol w:w="264"/>
        <w:gridCol w:w="3466"/>
        <w:gridCol w:w="5515"/>
      </w:tblGrid>
      <w:tr w:rsidR="002644DE" w:rsidRPr="002644DE" w14:paraId="53C05A25" w14:textId="77777777" w:rsidTr="000800FC">
        <w:trPr>
          <w:jc w:val="center"/>
        </w:trPr>
        <w:tc>
          <w:tcPr>
            <w:tcW w:w="5000" w:type="pct"/>
            <w:gridSpan w:val="3"/>
            <w:shd w:val="clear" w:color="auto" w:fill="D9D9D9"/>
          </w:tcPr>
          <w:p w14:paraId="5285CC1F" w14:textId="77777777" w:rsidR="002644DE" w:rsidRPr="002644DE" w:rsidRDefault="002644DE" w:rsidP="002644DE">
            <w:pPr>
              <w:spacing w:after="0" w:line="240" w:lineRule="auto"/>
              <w:rPr>
                <w:rFonts w:ascii="Times New Roman" w:eastAsia="Calibri" w:hAnsi="Times New Roman" w:cs="Times New Roman"/>
                <w:b/>
                <w:sz w:val="24"/>
                <w:szCs w:val="24"/>
              </w:rPr>
            </w:pPr>
            <w:r w:rsidRPr="002644DE">
              <w:rPr>
                <w:rFonts w:ascii="Times New Roman" w:eastAsia="Calibri" w:hAnsi="Times New Roman" w:cs="Times New Roman"/>
                <w:b/>
                <w:sz w:val="24"/>
                <w:szCs w:val="24"/>
              </w:rPr>
              <w:lastRenderedPageBreak/>
              <w:t>4.3 Identifikujte a popíšte vplyv na rovnosť príležitostí.</w:t>
            </w:r>
          </w:p>
          <w:p w14:paraId="71F4B493" w14:textId="77777777" w:rsidR="002644DE" w:rsidRPr="002644DE" w:rsidRDefault="002644DE" w:rsidP="002644DE">
            <w:pPr>
              <w:spacing w:after="0" w:line="240" w:lineRule="auto"/>
              <w:ind w:left="340"/>
              <w:jc w:val="both"/>
              <w:rPr>
                <w:rFonts w:ascii="Calibri" w:eastAsia="Calibri" w:hAnsi="Calibri" w:cs="Times New Roman"/>
                <w:sz w:val="24"/>
                <w:szCs w:val="24"/>
              </w:rPr>
            </w:pPr>
            <w:r w:rsidRPr="002644DE">
              <w:rPr>
                <w:rFonts w:ascii="Times New Roman" w:eastAsia="Calibri" w:hAnsi="Times New Roman" w:cs="Times New Roman"/>
                <w:b/>
                <w:sz w:val="24"/>
                <w:szCs w:val="24"/>
              </w:rPr>
              <w:t>Identifikujte, popíšte a kvantifikujte vplyv na rovnosť žien a mužov.</w:t>
            </w:r>
          </w:p>
        </w:tc>
      </w:tr>
      <w:tr w:rsidR="002644DE" w:rsidRPr="002644DE" w14:paraId="1DD9422B" w14:textId="77777777" w:rsidTr="000800FC">
        <w:trPr>
          <w:jc w:val="center"/>
        </w:trPr>
        <w:tc>
          <w:tcPr>
            <w:tcW w:w="132" w:type="pct"/>
            <w:tcBorders>
              <w:bottom w:val="single" w:sz="4" w:space="0" w:color="auto"/>
            </w:tcBorders>
            <w:shd w:val="clear" w:color="auto" w:fill="F2F2F2"/>
            <w:vAlign w:val="center"/>
          </w:tcPr>
          <w:p w14:paraId="154F2944" w14:textId="77777777" w:rsidR="002644DE" w:rsidRPr="002644DE" w:rsidRDefault="002644DE" w:rsidP="002644DE">
            <w:pPr>
              <w:spacing w:after="0" w:line="240" w:lineRule="auto"/>
              <w:rPr>
                <w:rFonts w:ascii="Times New Roman" w:eastAsia="Calibri" w:hAnsi="Times New Roman" w:cs="Times New Roman"/>
                <w:i/>
                <w:sz w:val="24"/>
                <w:szCs w:val="24"/>
              </w:rPr>
            </w:pPr>
            <w:r w:rsidRPr="002644DE">
              <w:rPr>
                <w:rFonts w:ascii="Times New Roman" w:eastAsia="Calibri" w:hAnsi="Times New Roman" w:cs="Times New Roman"/>
                <w:i/>
                <w:sz w:val="18"/>
                <w:szCs w:val="24"/>
              </w:rPr>
              <w:t>a)</w:t>
            </w:r>
          </w:p>
        </w:tc>
        <w:tc>
          <w:tcPr>
            <w:tcW w:w="4868" w:type="pct"/>
            <w:gridSpan w:val="2"/>
            <w:tcBorders>
              <w:bottom w:val="single" w:sz="4" w:space="0" w:color="auto"/>
            </w:tcBorders>
            <w:shd w:val="clear" w:color="auto" w:fill="F2F2F2"/>
          </w:tcPr>
          <w:p w14:paraId="18EED7CB" w14:textId="77777777" w:rsidR="002644DE" w:rsidRPr="002644DE" w:rsidRDefault="002644DE" w:rsidP="002644DE">
            <w:pPr>
              <w:spacing w:after="0" w:line="240" w:lineRule="auto"/>
              <w:jc w:val="both"/>
              <w:rPr>
                <w:rFonts w:ascii="Times New Roman" w:eastAsia="Calibri" w:hAnsi="Times New Roman" w:cs="Times New Roman"/>
                <w:i/>
                <w:sz w:val="24"/>
                <w:szCs w:val="24"/>
              </w:rPr>
            </w:pPr>
            <w:r w:rsidRPr="002644DE">
              <w:rPr>
                <w:rFonts w:ascii="Times New Roman" w:eastAsia="Calibri" w:hAnsi="Times New Roman" w:cs="Times New Roman"/>
                <w:i/>
                <w:sz w:val="20"/>
                <w:szCs w:val="24"/>
              </w:rPr>
              <w:t>4.3.1 Dodržuje návrh povinnosť rovnakého zaobchádzania so skupinami alebo jednotlivcami na základe pohlavia, rasy, etnicity, náboženstva alebo viery, zdravotného postihnutia, veku, sexuálnej orientácie alebo iného statusu? Mohol by viesť k nepriamej diskriminácii niektorých skupín obyvateľstva? Ak áno, ktoré skupiny sú takto ovplyvnené a akým spôsobom?</w:t>
            </w:r>
          </w:p>
        </w:tc>
      </w:tr>
      <w:tr w:rsidR="002644DE" w:rsidRPr="002644DE" w14:paraId="70F744E6" w14:textId="77777777" w:rsidTr="000800FC">
        <w:trPr>
          <w:trHeight w:val="928"/>
          <w:jc w:val="center"/>
        </w:trPr>
        <w:tc>
          <w:tcPr>
            <w:tcW w:w="132" w:type="pct"/>
            <w:tcBorders>
              <w:top w:val="nil"/>
              <w:bottom w:val="nil"/>
            </w:tcBorders>
          </w:tcPr>
          <w:p w14:paraId="32CC20AC" w14:textId="77777777" w:rsidR="002644DE" w:rsidRPr="002644DE" w:rsidRDefault="002644DE" w:rsidP="002644DE">
            <w:pPr>
              <w:spacing w:after="0" w:line="240" w:lineRule="auto"/>
              <w:rPr>
                <w:rFonts w:ascii="Times New Roman" w:eastAsia="Calibri" w:hAnsi="Times New Roman" w:cs="Times New Roman"/>
                <w:sz w:val="20"/>
              </w:rPr>
            </w:pPr>
          </w:p>
          <w:p w14:paraId="5C0E3109" w14:textId="77777777" w:rsidR="002644DE" w:rsidRPr="002644DE" w:rsidRDefault="002644DE" w:rsidP="002644DE">
            <w:pPr>
              <w:spacing w:after="0" w:line="240" w:lineRule="auto"/>
              <w:rPr>
                <w:rFonts w:ascii="Times New Roman" w:eastAsia="Calibri" w:hAnsi="Times New Roman" w:cs="Times New Roman"/>
                <w:i/>
                <w:sz w:val="20"/>
              </w:rPr>
            </w:pPr>
          </w:p>
          <w:p w14:paraId="277C1C35" w14:textId="77777777" w:rsidR="002644DE" w:rsidRPr="002644DE" w:rsidRDefault="002644DE" w:rsidP="002644DE">
            <w:pPr>
              <w:spacing w:after="0" w:line="240" w:lineRule="auto"/>
              <w:rPr>
                <w:rFonts w:ascii="Times New Roman" w:eastAsia="Calibri" w:hAnsi="Times New Roman" w:cs="Times New Roman"/>
                <w:i/>
                <w:sz w:val="20"/>
              </w:rPr>
            </w:pPr>
          </w:p>
          <w:p w14:paraId="5F52F358" w14:textId="77777777" w:rsidR="002644DE" w:rsidRPr="002644DE" w:rsidRDefault="002644DE" w:rsidP="002644DE">
            <w:pPr>
              <w:spacing w:after="0" w:line="240" w:lineRule="auto"/>
              <w:rPr>
                <w:rFonts w:ascii="Times New Roman" w:eastAsia="Calibri" w:hAnsi="Times New Roman" w:cs="Times New Roman"/>
                <w:i/>
                <w:sz w:val="18"/>
              </w:rPr>
            </w:pPr>
            <w:r w:rsidRPr="002644DE">
              <w:rPr>
                <w:rFonts w:ascii="Times New Roman" w:eastAsia="Calibri" w:hAnsi="Times New Roman" w:cs="Times New Roman"/>
                <w:i/>
                <w:sz w:val="18"/>
              </w:rPr>
              <w:t>b)</w:t>
            </w:r>
          </w:p>
          <w:p w14:paraId="0C4E6BDC" w14:textId="77777777" w:rsidR="002644DE" w:rsidRPr="002644DE" w:rsidRDefault="002644DE" w:rsidP="002644DE">
            <w:pPr>
              <w:spacing w:after="0" w:line="240" w:lineRule="auto"/>
              <w:rPr>
                <w:rFonts w:ascii="Times New Roman" w:eastAsia="Calibri" w:hAnsi="Times New Roman" w:cs="Times New Roman"/>
                <w:i/>
                <w:sz w:val="20"/>
              </w:rPr>
            </w:pPr>
          </w:p>
          <w:p w14:paraId="378C982F" w14:textId="77777777" w:rsidR="002644DE" w:rsidRPr="002644DE" w:rsidRDefault="002644DE" w:rsidP="002644DE">
            <w:pPr>
              <w:spacing w:after="0" w:line="240" w:lineRule="auto"/>
              <w:rPr>
                <w:rFonts w:ascii="Times New Roman" w:eastAsia="Calibri" w:hAnsi="Times New Roman" w:cs="Times New Roman"/>
                <w:i/>
                <w:sz w:val="20"/>
              </w:rPr>
            </w:pPr>
          </w:p>
          <w:p w14:paraId="27B724EF" w14:textId="77777777" w:rsidR="002644DE" w:rsidRPr="002644DE" w:rsidRDefault="002644DE" w:rsidP="002644DE">
            <w:pPr>
              <w:spacing w:after="0" w:line="240" w:lineRule="auto"/>
              <w:rPr>
                <w:rFonts w:ascii="Times New Roman" w:eastAsia="Calibri" w:hAnsi="Times New Roman" w:cs="Times New Roman"/>
                <w:i/>
                <w:sz w:val="20"/>
              </w:rPr>
            </w:pPr>
          </w:p>
        </w:tc>
        <w:tc>
          <w:tcPr>
            <w:tcW w:w="4868" w:type="pct"/>
            <w:gridSpan w:val="2"/>
            <w:tcBorders>
              <w:top w:val="nil"/>
              <w:bottom w:val="nil"/>
            </w:tcBorders>
          </w:tcPr>
          <w:p w14:paraId="3810A0D8" w14:textId="77777777" w:rsidR="00663241" w:rsidRDefault="00000000">
            <w:pPr>
              <w:spacing w:after="0" w:line="240" w:lineRule="auto"/>
              <w:jc w:val="both"/>
            </w:pPr>
            <w:r>
              <w:rPr>
                <w:rFonts w:ascii="Times New Roman" w:hAnsi="Times New Roman"/>
                <w:sz w:val="18"/>
              </w:rPr>
              <w:t>Áno. Návrh je založený na objektívnych medicínskych, vekových a rizikových kritériách a uplatňuje rovnaké pravidlá na všetkých poistencov, ktorí spĺňajú podmienky príslušného skríningového programu. Odlišné vymedzenie cieľových populácií podľa pohlavia alebo veku vyplýva z povahy konkrétneho onkologického ochorenia a z medicínskych kritérií skríningu; nejde o rozdielne zaobchádzanie bez objektívneho dôvodu. Nebol identifikovaný vplyv smerujúci k nepriamej diskriminácii podľa rasy, etnicity, náboženstva alebo viery, zdravotného postihnutia, sexuálnej orientácie alebo iného statusu.</w:t>
            </w:r>
          </w:p>
        </w:tc>
      </w:tr>
      <w:tr w:rsidR="002644DE" w:rsidRPr="002644DE" w14:paraId="6EEA687F" w14:textId="77777777" w:rsidTr="000800FC">
        <w:trPr>
          <w:trHeight w:val="345"/>
          <w:jc w:val="center"/>
        </w:trPr>
        <w:tc>
          <w:tcPr>
            <w:tcW w:w="132" w:type="pct"/>
            <w:tcBorders>
              <w:bottom w:val="single" w:sz="4" w:space="0" w:color="auto"/>
            </w:tcBorders>
            <w:shd w:val="clear" w:color="auto" w:fill="F2F2F2"/>
            <w:vAlign w:val="center"/>
          </w:tcPr>
          <w:p w14:paraId="591B21DE"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68" w:type="pct"/>
            <w:gridSpan w:val="2"/>
            <w:tcBorders>
              <w:bottom w:val="single" w:sz="4" w:space="0" w:color="auto"/>
            </w:tcBorders>
            <w:shd w:val="clear" w:color="auto" w:fill="F2F2F2"/>
            <w:vAlign w:val="center"/>
          </w:tcPr>
          <w:p w14:paraId="00EF144C"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 xml:space="preserve">4.3.2 Môže návrh viesť k zväčšovaniu nerovností medzi ženami a mužmi? </w:t>
            </w:r>
            <w:r w:rsidRPr="002644DE">
              <w:rPr>
                <w:rFonts w:ascii="Times New Roman" w:eastAsia="Calibri" w:hAnsi="Times New Roman" w:cs="Times New Roman"/>
                <w:i/>
                <w:sz w:val="20"/>
                <w:szCs w:val="24"/>
              </w:rPr>
              <w:t xml:space="preserve">Podporuje návrh rovnosť príležitostí? </w:t>
            </w:r>
            <w:r w:rsidRPr="002644DE">
              <w:rPr>
                <w:rFonts w:ascii="Times New Roman" w:eastAsia="Calibri" w:hAnsi="Times New Roman" w:cs="Times New Roman"/>
                <w:i/>
                <w:sz w:val="20"/>
                <w:szCs w:val="20"/>
              </w:rPr>
              <w:t>Má návrh odlišný vplyv na ženy a mužov? Popíšte vplyvy.</w:t>
            </w:r>
          </w:p>
        </w:tc>
      </w:tr>
      <w:tr w:rsidR="002644DE" w:rsidRPr="002644DE" w14:paraId="5D2739E9" w14:textId="77777777" w:rsidTr="000800FC">
        <w:tblPrEx>
          <w:tblBorders>
            <w:top w:val="none" w:sz="0" w:space="0" w:color="auto"/>
            <w:bottom w:val="none" w:sz="0" w:space="0" w:color="auto"/>
          </w:tblBorders>
        </w:tblPrEx>
        <w:trPr>
          <w:trHeight w:val="372"/>
          <w:jc w:val="center"/>
        </w:trPr>
        <w:tc>
          <w:tcPr>
            <w:tcW w:w="132" w:type="pct"/>
            <w:vAlign w:val="center"/>
          </w:tcPr>
          <w:p w14:paraId="31B7B584" w14:textId="77777777"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1880" w:type="pct"/>
          </w:tcPr>
          <w:p w14:paraId="6FBB6530"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riziká návrhu, ktoré môžu viesť k zväčšovaniu nerovností:</w:t>
            </w:r>
          </w:p>
        </w:tc>
        <w:tc>
          <w:tcPr>
            <w:tcW w:w="2988" w:type="pct"/>
          </w:tcPr>
          <w:p w14:paraId="0325D349" w14:textId="77777777" w:rsidR="00663241" w:rsidRDefault="00000000">
            <w:pPr>
              <w:spacing w:after="0" w:line="240" w:lineRule="auto"/>
              <w:jc w:val="both"/>
            </w:pPr>
            <w:r>
              <w:rPr>
                <w:rFonts w:ascii="Times New Roman" w:hAnsi="Times New Roman"/>
                <w:sz w:val="18"/>
              </w:rPr>
              <w:t>Neboli identifikované riziká, ktoré by samotným nastavením návrhu vyhlášky viedli k zväčšovaniu nerovností medzi ženami a mužmi. Rozdielne cieľové populácie podľa pohlavia sú vecne odôvodnené typom onkologického ochorenia: skríning rakoviny krčka maternice a prsníka je určený ženám, skríning rakoviny prostaty mužom a skríning rakoviny hrubého čreva a konečníka a rakoviny pľúc ženám aj mužom podľa ustanovených kritérií.</w:t>
            </w:r>
          </w:p>
        </w:tc>
      </w:tr>
      <w:tr w:rsidR="002644DE" w:rsidRPr="002644DE" w14:paraId="1B264E30" w14:textId="77777777" w:rsidTr="000800FC">
        <w:tblPrEx>
          <w:tblBorders>
            <w:top w:val="none" w:sz="0" w:space="0" w:color="auto"/>
            <w:bottom w:val="none" w:sz="0" w:space="0" w:color="auto"/>
          </w:tblBorders>
        </w:tblPrEx>
        <w:trPr>
          <w:trHeight w:val="371"/>
          <w:jc w:val="center"/>
        </w:trPr>
        <w:tc>
          <w:tcPr>
            <w:tcW w:w="132" w:type="pct"/>
            <w:vAlign w:val="center"/>
          </w:tcPr>
          <w:p w14:paraId="44E587CC"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1880" w:type="pct"/>
          </w:tcPr>
          <w:p w14:paraId="34977A05"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pozitívne vplyvy návrhu na dosahovanie rovnosti žien a mužov, rovnosti príležitostí žien a mužov, prípadne vplyvy na ženy a mužov, ak sú odlišné:</w:t>
            </w:r>
          </w:p>
        </w:tc>
        <w:tc>
          <w:tcPr>
            <w:tcW w:w="2988" w:type="pct"/>
          </w:tcPr>
          <w:p w14:paraId="3230F4A6" w14:textId="77777777" w:rsidR="00663241" w:rsidRDefault="00000000">
            <w:pPr>
              <w:spacing w:after="0" w:line="240" w:lineRule="auto"/>
              <w:jc w:val="both"/>
            </w:pPr>
            <w:r>
              <w:rPr>
                <w:rFonts w:ascii="Times New Roman" w:hAnsi="Times New Roman"/>
                <w:sz w:val="18"/>
              </w:rPr>
              <w:t>Pozitívny vplyv spočíva v zavedení jednotných a transparentných pravidiel vstupu do skríningu a v štandardizácii ďalšieho postupu. V rámci každej cieľovej populácie sa pravidlá uplatňujú rovnako na všetkých poistencov spĺňajúcich ustanovené kritériá. Organizované pozývanie a presne definované vyšetrovacie a nadväzujúce postupy môžu prispieť k rovnejšiemu prístupu k preventívnej zdravotnej starostlivosti.</w:t>
            </w:r>
          </w:p>
        </w:tc>
      </w:tr>
      <w:tr w:rsidR="002644DE" w:rsidRPr="002644DE" w14:paraId="05D4DC50" w14:textId="77777777" w:rsidTr="000800FC">
        <w:tblPrEx>
          <w:tblBorders>
            <w:top w:val="none" w:sz="0" w:space="0" w:color="auto"/>
            <w:bottom w:val="none" w:sz="0" w:space="0" w:color="auto"/>
          </w:tblBorders>
        </w:tblPrEx>
        <w:trPr>
          <w:trHeight w:val="371"/>
          <w:jc w:val="center"/>
        </w:trPr>
        <w:tc>
          <w:tcPr>
            <w:tcW w:w="132" w:type="pct"/>
            <w:tcBorders>
              <w:bottom w:val="single" w:sz="4" w:space="0" w:color="auto"/>
            </w:tcBorders>
            <w:vAlign w:val="center"/>
          </w:tcPr>
          <w:p w14:paraId="27923EA9"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80" w:type="pct"/>
            <w:tcBorders>
              <w:bottom w:val="single" w:sz="4" w:space="0" w:color="auto"/>
            </w:tcBorders>
          </w:tcPr>
          <w:p w14:paraId="307AAE37"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Má návrh významné vplyvy na niektorú zo zraniteľných skupín obyvateľstva? Ak áno, aké? Akým spôsobom? Zraniteľnou skupinou obyvateľstva sa rozumejú najmä ženy ohrozené viacnásobnou diskrimináciou, tehotné matky, seniorky, ženy patriace do marginalizovaných skupín obyvateľstva, migrantky, ženy a dievčatá so zdravotným postihnutím, obete násilia a pod.</w:t>
            </w:r>
          </w:p>
        </w:tc>
        <w:tc>
          <w:tcPr>
            <w:tcW w:w="2988" w:type="pct"/>
            <w:tcBorders>
              <w:bottom w:val="single" w:sz="4" w:space="0" w:color="auto"/>
            </w:tcBorders>
          </w:tcPr>
          <w:p w14:paraId="6D7A3F22" w14:textId="77777777" w:rsidR="00663241" w:rsidRDefault="00000000">
            <w:pPr>
              <w:spacing w:after="0" w:line="240" w:lineRule="auto"/>
              <w:jc w:val="both"/>
            </w:pPr>
            <w:r>
              <w:rPr>
                <w:rFonts w:ascii="Times New Roman" w:hAnsi="Times New Roman"/>
                <w:sz w:val="18"/>
              </w:rPr>
              <w:t>Návrh môže mať pozitívny vplyv aj na niektoré zraniteľné skupiny žien, napríklad staršie ženy alebo ženy so sťaženým prístupom k informáciám a preventívnej zdravotnej starostlivosti, ak spĺňajú kritériá príslušného programu. Návrh však neobsahuje osobitné opatrenia výlučne pre tieto skupiny a ich počet ani osobitnú mieru vplyvu nie je možné z predložených podkladov kvantifikovať.</w:t>
            </w:r>
          </w:p>
        </w:tc>
      </w:tr>
      <w:tr w:rsidR="002644DE" w:rsidRPr="002644DE" w14:paraId="3B6196B5" w14:textId="77777777" w:rsidTr="000800FC">
        <w:tblPrEx>
          <w:tblBorders>
            <w:top w:val="none" w:sz="0" w:space="0" w:color="auto"/>
            <w:bottom w:val="none" w:sz="0" w:space="0" w:color="auto"/>
          </w:tblBorders>
        </w:tblPrEx>
        <w:trPr>
          <w:trHeight w:val="1235"/>
          <w:jc w:val="center"/>
        </w:trPr>
        <w:tc>
          <w:tcPr>
            <w:tcW w:w="132" w:type="pct"/>
            <w:tcBorders>
              <w:top w:val="single" w:sz="4" w:space="0" w:color="auto"/>
              <w:bottom w:val="single" w:sz="4" w:space="0" w:color="auto"/>
            </w:tcBorders>
            <w:vAlign w:val="center"/>
          </w:tcPr>
          <w:p w14:paraId="52149E56"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1880" w:type="pct"/>
            <w:tcBorders>
              <w:top w:val="single" w:sz="4" w:space="0" w:color="auto"/>
              <w:bottom w:val="single" w:sz="4" w:space="0" w:color="auto"/>
            </w:tcBorders>
          </w:tcPr>
          <w:p w14:paraId="7C0B28B3"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 xml:space="preserve">Pri identifikovaní vplyvov na rovnosť žien a mužov treba vziať do úvahy existujúce rozdiely medzi ženami a mužmi, ktoré sú relevantné k danej politike. Podpora rovnosti  žien a mužov nespočíva len v odstraňovaní obmedzení a bariér pre plnohodnotnú účasť na ekonomickom, politickom a sociálnom živote spoločnosti ako aj rodinnom živote, ale taktiež  v podpore rovnosti medzi nimi. </w:t>
            </w:r>
          </w:p>
          <w:p w14:paraId="5325449A" w14:textId="77777777" w:rsidR="002644DE" w:rsidRPr="002644DE" w:rsidRDefault="002644DE" w:rsidP="002644DE">
            <w:pPr>
              <w:spacing w:after="0" w:line="240" w:lineRule="auto"/>
              <w:jc w:val="both"/>
              <w:rPr>
                <w:rFonts w:ascii="Times New Roman" w:eastAsia="Times New Roman" w:hAnsi="Times New Roman" w:cs="Times New Roman"/>
                <w:color w:val="000000"/>
                <w:sz w:val="27"/>
                <w:szCs w:val="27"/>
              </w:rPr>
            </w:pPr>
            <w:r w:rsidRPr="002644DE">
              <w:rPr>
                <w:rFonts w:ascii="Times New Roman" w:eastAsia="Calibri" w:hAnsi="Times New Roman" w:cs="Times New Roman"/>
                <w:i/>
                <w:sz w:val="18"/>
                <w:szCs w:val="18"/>
              </w:rPr>
              <w:t xml:space="preserve">V ktorých oblastiach podpory rovnosti žien a mužov návrh odstraňuje prekážky a/alebo podporuje rovnosť žien a mužov? </w:t>
            </w:r>
            <w:r w:rsidRPr="002644DE">
              <w:rPr>
                <w:rFonts w:ascii="Times New Roman" w:eastAsia="Times New Roman" w:hAnsi="Times New Roman" w:cs="Times New Roman"/>
                <w:i/>
                <w:iCs/>
                <w:color w:val="000000"/>
                <w:sz w:val="18"/>
                <w:szCs w:val="18"/>
              </w:rPr>
              <w:t>Medzi oblasti podpory rovnosti žien a mužov okrem iného patria:</w:t>
            </w:r>
          </w:p>
          <w:p w14:paraId="57C59F3C"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slobodného výberu povolania a ekonomickej činnosti</w:t>
            </w:r>
          </w:p>
          <w:p w14:paraId="537AB216"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vyrovnávania ekonomickej nezávislosti, </w:t>
            </w:r>
          </w:p>
          <w:p w14:paraId="250EE869"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zosúladenie pracovného, súkromného a rodinného života, </w:t>
            </w:r>
          </w:p>
          <w:p w14:paraId="47F6C5A2"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rovnosti príležitostí pri participácii na rozhodovaní, </w:t>
            </w:r>
          </w:p>
          <w:p w14:paraId="6108A83F"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boj proti domácemu násiliu,  násiliu na ženách  a obchodovaniu s ľuďmi, </w:t>
            </w:r>
          </w:p>
          <w:p w14:paraId="242B7545"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vnímania osobnej starostlivosti o dieťa za rovnocennú s ekonomickou činnosťou a podpora neviditeľnej práce v domácnosti ako takej,</w:t>
            </w:r>
          </w:p>
          <w:p w14:paraId="323E9FA0"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lang w:eastAsia="sk-SK"/>
              </w:rPr>
              <w:lastRenderedPageBreak/>
              <w:t>rešpektovanie osobných preferencií pri výbere povolania a zosúlaďovania pracovného a rodinného života.</w:t>
            </w:r>
          </w:p>
        </w:tc>
        <w:tc>
          <w:tcPr>
            <w:tcW w:w="2988" w:type="pct"/>
            <w:tcBorders>
              <w:top w:val="single" w:sz="4" w:space="0" w:color="auto"/>
              <w:bottom w:val="single" w:sz="4" w:space="0" w:color="auto"/>
            </w:tcBorders>
          </w:tcPr>
          <w:p w14:paraId="277E8283" w14:textId="77777777" w:rsidR="00663241" w:rsidRDefault="00000000">
            <w:pPr>
              <w:spacing w:after="0" w:line="240" w:lineRule="auto"/>
              <w:jc w:val="both"/>
            </w:pPr>
            <w:r>
              <w:rPr>
                <w:rFonts w:ascii="Times New Roman" w:hAnsi="Times New Roman"/>
                <w:sz w:val="18"/>
              </w:rPr>
              <w:lastRenderedPageBreak/>
              <w:t>Návrh podporuje rovnosť príležitostí najmä v oblasti prístupu k preventívnej zdravotnej starostlivosti tým, že pre jednotlivé cieľové populácie zavádza jednotné kritériá, organizované pozývanie a štandardizovaný postup. Odlišnosti medzi ženami a mužmi vyplývajú z biologickej a medicínskej špecifickosti jednotlivých onkologických ochorení.</w:t>
            </w:r>
          </w:p>
        </w:tc>
      </w:tr>
    </w:tbl>
    <w:p w14:paraId="29DF83A8" w14:textId="77777777" w:rsidR="002644DE" w:rsidRPr="002644DE" w:rsidRDefault="002644DE" w:rsidP="002644DE">
      <w:pPr>
        <w:spacing w:after="0" w:line="240" w:lineRule="auto"/>
        <w:rPr>
          <w:rFonts w:ascii="Times New Roman" w:eastAsia="Calibri" w:hAnsi="Times New Roman" w:cs="Times New Roman"/>
          <w:b/>
          <w:sz w:val="24"/>
          <w:lang w:eastAsia="sk-SK"/>
        </w:rPr>
        <w:sectPr w:rsidR="002644DE" w:rsidRPr="002644DE" w:rsidSect="00670684">
          <w:footnotePr>
            <w:numFmt w:val="chicago"/>
          </w:footnotePr>
          <w:pgSz w:w="11906" w:h="16838"/>
          <w:pgMar w:top="1134" w:right="1418" w:bottom="1134" w:left="1418" w:header="510" w:footer="567" w:gutter="0"/>
          <w:cols w:space="708"/>
          <w:formProt w:val="0"/>
          <w:docGrid w:linePitch="360"/>
        </w:sectPr>
      </w:pPr>
    </w:p>
    <w:tbl>
      <w:tblPr>
        <w:tblW w:w="51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right w:w="28" w:type="dxa"/>
        </w:tblCellMar>
        <w:tblLook w:val="04A0" w:firstRow="1" w:lastRow="0" w:firstColumn="1" w:lastColumn="0" w:noHBand="0" w:noVBand="1"/>
      </w:tblPr>
      <w:tblGrid>
        <w:gridCol w:w="241"/>
        <w:gridCol w:w="3439"/>
        <w:gridCol w:w="5674"/>
      </w:tblGrid>
      <w:tr w:rsidR="002644DE" w:rsidRPr="002644DE" w14:paraId="023FC25E" w14:textId="77777777" w:rsidTr="000800FC">
        <w:trPr>
          <w:jc w:val="center"/>
        </w:trPr>
        <w:tc>
          <w:tcPr>
            <w:tcW w:w="5000" w:type="pct"/>
            <w:gridSpan w:val="3"/>
            <w:shd w:val="clear" w:color="auto" w:fill="D9D9D9"/>
          </w:tcPr>
          <w:p w14:paraId="7ECA9F11" w14:textId="77777777"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lastRenderedPageBreak/>
              <w:t>4.4 Identifikujte, popíšte a kvantifikujte vplyvy na zamestnanosť a na trh práce.</w:t>
            </w:r>
          </w:p>
          <w:p w14:paraId="3E45439D" w14:textId="77777777" w:rsidR="002644DE" w:rsidRPr="002644DE" w:rsidRDefault="002644DE" w:rsidP="002644DE">
            <w:pPr>
              <w:spacing w:after="0" w:line="240" w:lineRule="auto"/>
              <w:jc w:val="both"/>
              <w:rPr>
                <w:rFonts w:ascii="Times New Roman" w:eastAsia="Calibri" w:hAnsi="Times New Roman" w:cs="Times New Roman"/>
                <w:i/>
                <w:lang w:eastAsia="sk-SK"/>
              </w:rPr>
            </w:pPr>
            <w:r w:rsidRPr="002644DE">
              <w:rPr>
                <w:rFonts w:ascii="Times New Roman" w:eastAsia="Calibri" w:hAnsi="Times New Roman" w:cs="Times New Roman"/>
                <w:i/>
                <w:lang w:eastAsia="sk-SK"/>
              </w:rPr>
              <w:t xml:space="preserve">V prípade kladnej odpovede pripojte </w:t>
            </w:r>
            <w:r w:rsidRPr="002644DE">
              <w:rPr>
                <w:rFonts w:ascii="Times New Roman" w:eastAsia="Calibri" w:hAnsi="Times New Roman" w:cs="Times New Roman"/>
                <w:b/>
                <w:i/>
                <w:lang w:eastAsia="sk-SK"/>
              </w:rPr>
              <w:t>odôvodnenie</w:t>
            </w:r>
            <w:r w:rsidRPr="002644DE">
              <w:rPr>
                <w:rFonts w:ascii="Times New Roman" w:eastAsia="Calibri" w:hAnsi="Times New Roman" w:cs="Times New Roman"/>
                <w:i/>
                <w:lang w:eastAsia="sk-SK"/>
              </w:rPr>
              <w:t xml:space="preserve"> v súlade s Metodickým postupom pre analýzu sociálnych vplyvov.</w:t>
            </w:r>
          </w:p>
        </w:tc>
      </w:tr>
      <w:tr w:rsidR="002644DE" w:rsidRPr="002644DE" w14:paraId="046EC65F" w14:textId="77777777" w:rsidTr="000800FC">
        <w:trPr>
          <w:trHeight w:val="287"/>
          <w:jc w:val="center"/>
        </w:trPr>
        <w:tc>
          <w:tcPr>
            <w:tcW w:w="129" w:type="pct"/>
            <w:tcBorders>
              <w:top w:val="nil"/>
              <w:bottom w:val="single" w:sz="4" w:space="0" w:color="auto"/>
            </w:tcBorders>
            <w:shd w:val="clear" w:color="auto" w:fill="F2F2F2"/>
            <w:vAlign w:val="center"/>
          </w:tcPr>
          <w:p w14:paraId="63104BF0"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a)</w:t>
            </w:r>
          </w:p>
        </w:tc>
        <w:tc>
          <w:tcPr>
            <w:tcW w:w="4871" w:type="pct"/>
            <w:gridSpan w:val="2"/>
            <w:tcBorders>
              <w:top w:val="nil"/>
              <w:bottom w:val="single" w:sz="4" w:space="0" w:color="auto"/>
            </w:tcBorders>
            <w:shd w:val="clear" w:color="auto" w:fill="F2F2F2"/>
            <w:vAlign w:val="center"/>
          </w:tcPr>
          <w:p w14:paraId="033E3473"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Uľahčuje návrh vznik nových pracovných miest? Ak áno, ako? Ak je to možné, doplňte kvantifikáciu.</w:t>
            </w:r>
          </w:p>
        </w:tc>
      </w:tr>
      <w:tr w:rsidR="002644DE" w:rsidRPr="002644DE" w14:paraId="3305C584" w14:textId="77777777" w:rsidTr="000800FC">
        <w:trPr>
          <w:trHeight w:val="567"/>
          <w:jc w:val="center"/>
        </w:trPr>
        <w:tc>
          <w:tcPr>
            <w:tcW w:w="129" w:type="pct"/>
            <w:tcBorders>
              <w:top w:val="nil"/>
              <w:bottom w:val="single" w:sz="4" w:space="0" w:color="auto"/>
            </w:tcBorders>
            <w:shd w:val="clear" w:color="auto" w:fill="FFFFFF"/>
            <w:vAlign w:val="center"/>
          </w:tcPr>
          <w:p w14:paraId="28BCCC89"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b)</w:t>
            </w:r>
          </w:p>
        </w:tc>
        <w:tc>
          <w:tcPr>
            <w:tcW w:w="1838" w:type="pct"/>
            <w:tcBorders>
              <w:top w:val="nil"/>
              <w:bottom w:val="single" w:sz="4" w:space="0" w:color="auto"/>
            </w:tcBorders>
            <w:shd w:val="clear" w:color="auto" w:fill="FFFFFF"/>
          </w:tcPr>
          <w:p w14:paraId="6DFF59B5"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pre aké skupiny zamestnancov, o aké typy zamestnania /pracovných úväzkov pôjde a pod.</w:t>
            </w:r>
          </w:p>
        </w:tc>
        <w:tc>
          <w:tcPr>
            <w:tcW w:w="3032" w:type="pct"/>
            <w:tcBorders>
              <w:top w:val="nil"/>
              <w:bottom w:val="single" w:sz="4" w:space="0" w:color="auto"/>
            </w:tcBorders>
            <w:shd w:val="clear" w:color="auto" w:fill="FFFFFF"/>
          </w:tcPr>
          <w:p w14:paraId="78215D50" w14:textId="77777777" w:rsidR="00663241" w:rsidRDefault="00000000">
            <w:pPr>
              <w:spacing w:after="0" w:line="240" w:lineRule="auto"/>
              <w:jc w:val="both"/>
            </w:pPr>
            <w:r>
              <w:rPr>
                <w:rFonts w:ascii="Times New Roman" w:hAnsi="Times New Roman"/>
                <w:sz w:val="18"/>
              </w:rPr>
              <w:t>Bez vplyvu. Návrh vyhlášky priamo nevytvára nové pracovné miesta a neupravuje podmienky zamestnávania.</w:t>
            </w:r>
          </w:p>
        </w:tc>
      </w:tr>
      <w:tr w:rsidR="002644DE" w:rsidRPr="002644DE" w14:paraId="3F8682CB" w14:textId="77777777" w:rsidTr="000800FC">
        <w:trPr>
          <w:trHeight w:val="270"/>
          <w:jc w:val="center"/>
        </w:trPr>
        <w:tc>
          <w:tcPr>
            <w:tcW w:w="129" w:type="pct"/>
            <w:tcBorders>
              <w:bottom w:val="single" w:sz="4" w:space="0" w:color="auto"/>
            </w:tcBorders>
            <w:shd w:val="clear" w:color="auto" w:fill="F2F2F2"/>
            <w:vAlign w:val="center"/>
          </w:tcPr>
          <w:p w14:paraId="7F7731BD"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71" w:type="pct"/>
            <w:gridSpan w:val="2"/>
            <w:tcBorders>
              <w:bottom w:val="single" w:sz="4" w:space="0" w:color="auto"/>
            </w:tcBorders>
            <w:shd w:val="clear" w:color="auto" w:fill="F2F2F2"/>
            <w:vAlign w:val="center"/>
          </w:tcPr>
          <w:p w14:paraId="1ABC293B"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Vedie návrh k zániku pracovných miest?</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ako a akých? Ak je to možné, doplňte kvantifikáciu</w:t>
            </w:r>
          </w:p>
        </w:tc>
      </w:tr>
      <w:tr w:rsidR="002644DE" w:rsidRPr="002644DE" w14:paraId="64106BE8" w14:textId="77777777" w:rsidTr="000800FC">
        <w:trPr>
          <w:trHeight w:val="454"/>
          <w:jc w:val="center"/>
        </w:trPr>
        <w:tc>
          <w:tcPr>
            <w:tcW w:w="129" w:type="pct"/>
            <w:tcBorders>
              <w:bottom w:val="single" w:sz="4" w:space="0" w:color="auto"/>
            </w:tcBorders>
            <w:shd w:val="clear" w:color="auto" w:fill="FFFFFF"/>
            <w:vAlign w:val="center"/>
          </w:tcPr>
          <w:p w14:paraId="26546EBA"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d)</w:t>
            </w:r>
          </w:p>
        </w:tc>
        <w:tc>
          <w:tcPr>
            <w:tcW w:w="1838" w:type="pct"/>
            <w:tcBorders>
              <w:bottom w:val="single" w:sz="4" w:space="0" w:color="auto"/>
            </w:tcBorders>
            <w:shd w:val="clear" w:color="auto" w:fill="FFFFFF"/>
          </w:tcPr>
          <w:p w14:paraId="1028AC44"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o aké typy zamestnania /pracovných úväzkov pôjde a pod. Identifikujte možné dôsledky, skupiny zamestnancov, ktoré budú viac ovplyvnené a rozsah vplyvu.</w:t>
            </w:r>
          </w:p>
        </w:tc>
        <w:tc>
          <w:tcPr>
            <w:tcW w:w="3032" w:type="pct"/>
            <w:tcBorders>
              <w:bottom w:val="single" w:sz="4" w:space="0" w:color="auto"/>
            </w:tcBorders>
            <w:shd w:val="clear" w:color="auto" w:fill="FFFFFF"/>
          </w:tcPr>
          <w:p w14:paraId="03656641" w14:textId="77777777" w:rsidR="00663241" w:rsidRDefault="00000000">
            <w:pPr>
              <w:spacing w:after="0" w:line="240" w:lineRule="auto"/>
              <w:jc w:val="both"/>
            </w:pPr>
            <w:r>
              <w:rPr>
                <w:rFonts w:ascii="Times New Roman" w:hAnsi="Times New Roman"/>
                <w:sz w:val="18"/>
              </w:rPr>
              <w:t>Bez vplyvu. Návrh vyhlášky nevedie k zániku pracovných miest ani neupravuje postavenie konkrétnych profesijných skupín na trhu práce.</w:t>
            </w:r>
          </w:p>
        </w:tc>
      </w:tr>
      <w:tr w:rsidR="002644DE" w:rsidRPr="002644DE" w14:paraId="356E7B24" w14:textId="77777777" w:rsidTr="000800FC">
        <w:trPr>
          <w:trHeight w:val="248"/>
          <w:jc w:val="center"/>
        </w:trPr>
        <w:tc>
          <w:tcPr>
            <w:tcW w:w="129" w:type="pct"/>
            <w:tcBorders>
              <w:bottom w:val="single" w:sz="4" w:space="0" w:color="auto"/>
            </w:tcBorders>
            <w:shd w:val="clear" w:color="auto" w:fill="F2F2F2"/>
            <w:vAlign w:val="center"/>
          </w:tcPr>
          <w:p w14:paraId="65088822"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4871" w:type="pct"/>
            <w:gridSpan w:val="2"/>
            <w:tcBorders>
              <w:bottom w:val="single" w:sz="4" w:space="0" w:color="auto"/>
            </w:tcBorders>
            <w:shd w:val="clear" w:color="auto" w:fill="F2F2F2"/>
            <w:vAlign w:val="center"/>
          </w:tcPr>
          <w:p w14:paraId="135B6CED"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dopyt po práci? Ak áno, ako?</w:t>
            </w:r>
          </w:p>
        </w:tc>
      </w:tr>
      <w:tr w:rsidR="002644DE" w:rsidRPr="002644DE" w14:paraId="5155C70D" w14:textId="77777777" w:rsidTr="000800FC">
        <w:trPr>
          <w:trHeight w:val="209"/>
          <w:jc w:val="center"/>
        </w:trPr>
        <w:tc>
          <w:tcPr>
            <w:tcW w:w="129" w:type="pct"/>
            <w:tcBorders>
              <w:bottom w:val="single" w:sz="4" w:space="0" w:color="auto"/>
            </w:tcBorders>
            <w:shd w:val="clear" w:color="auto" w:fill="FFFFFF"/>
            <w:vAlign w:val="center"/>
          </w:tcPr>
          <w:p w14:paraId="6A76F303"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38" w:type="pct"/>
            <w:tcBorders>
              <w:bottom w:val="single" w:sz="4" w:space="0" w:color="auto"/>
            </w:tcBorders>
            <w:shd w:val="clear" w:color="auto" w:fill="FFFFFF"/>
          </w:tcPr>
          <w:p w14:paraId="7055993F"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Dopyt po práci závisí na jednej strane na produkcii tovarov a služieb v ekonomike a na druhej strane na cene práce.</w:t>
            </w:r>
          </w:p>
        </w:tc>
        <w:tc>
          <w:tcPr>
            <w:tcW w:w="3032" w:type="pct"/>
            <w:tcBorders>
              <w:bottom w:val="single" w:sz="4" w:space="0" w:color="auto"/>
            </w:tcBorders>
            <w:shd w:val="clear" w:color="auto" w:fill="FFFFFF"/>
          </w:tcPr>
          <w:p w14:paraId="1EE4F9F4" w14:textId="77777777" w:rsidR="00663241" w:rsidRDefault="00000000">
            <w:pPr>
              <w:spacing w:after="0" w:line="240" w:lineRule="auto"/>
              <w:jc w:val="both"/>
            </w:pPr>
            <w:r>
              <w:rPr>
                <w:rFonts w:ascii="Times New Roman" w:hAnsi="Times New Roman"/>
                <w:sz w:val="18"/>
              </w:rPr>
              <w:t>Bez vplyvu. Návrh priamo nemení dopyt po práci; upravuje organizáciu a odborné postupy pri poskytovaní zdravotnej starostlivosti v rámci skríningových programov.</w:t>
            </w:r>
          </w:p>
        </w:tc>
      </w:tr>
      <w:tr w:rsidR="002644DE" w:rsidRPr="002644DE" w14:paraId="46A58EE7" w14:textId="77777777" w:rsidTr="000800FC">
        <w:trPr>
          <w:trHeight w:val="208"/>
          <w:jc w:val="center"/>
        </w:trPr>
        <w:tc>
          <w:tcPr>
            <w:tcW w:w="129" w:type="pct"/>
            <w:tcBorders>
              <w:bottom w:val="single" w:sz="4" w:space="0" w:color="auto"/>
            </w:tcBorders>
            <w:shd w:val="clear" w:color="auto" w:fill="F2F2F2"/>
            <w:vAlign w:val="center"/>
          </w:tcPr>
          <w:p w14:paraId="62C22D84"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4871" w:type="pct"/>
            <w:gridSpan w:val="2"/>
            <w:tcBorders>
              <w:bottom w:val="single" w:sz="4" w:space="0" w:color="auto"/>
            </w:tcBorders>
            <w:shd w:val="clear" w:color="auto" w:fill="F2F2F2"/>
            <w:vAlign w:val="center"/>
          </w:tcPr>
          <w:p w14:paraId="4E58FB17"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dosah na fungovanie trhu práce?</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aký?</w:t>
            </w:r>
          </w:p>
        </w:tc>
      </w:tr>
      <w:tr w:rsidR="002644DE" w:rsidRPr="002644DE" w14:paraId="607C4290" w14:textId="77777777" w:rsidTr="000800FC">
        <w:trPr>
          <w:trHeight w:val="794"/>
          <w:jc w:val="center"/>
        </w:trPr>
        <w:tc>
          <w:tcPr>
            <w:tcW w:w="129" w:type="pct"/>
            <w:tcBorders>
              <w:bottom w:val="single" w:sz="4" w:space="0" w:color="auto"/>
            </w:tcBorders>
            <w:shd w:val="clear" w:color="auto" w:fill="FFFFFF"/>
            <w:vAlign w:val="center"/>
          </w:tcPr>
          <w:p w14:paraId="5867FCD2"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h)</w:t>
            </w:r>
          </w:p>
        </w:tc>
        <w:tc>
          <w:tcPr>
            <w:tcW w:w="1838" w:type="pct"/>
            <w:tcBorders>
              <w:bottom w:val="single" w:sz="4" w:space="0" w:color="auto"/>
            </w:tcBorders>
            <w:shd w:val="clear" w:color="auto" w:fill="FFFFFF"/>
          </w:tcPr>
          <w:p w14:paraId="285AFA61"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Týka sa makroekonomických dosahov ako je napr. participácia na trhu práce, dlhodobá nezamestnanosť, regionálne rozdiely v mierach zamestnanosti.</w:t>
            </w:r>
            <w:r w:rsidRPr="002644DE">
              <w:rPr>
                <w:rFonts w:ascii="Times New Roman" w:eastAsia="Calibri" w:hAnsi="Times New Roman" w:cs="Times New Roman"/>
                <w:sz w:val="18"/>
                <w:szCs w:val="18"/>
              </w:rPr>
              <w:t xml:space="preserve"> </w:t>
            </w:r>
            <w:r w:rsidRPr="002644DE">
              <w:rPr>
                <w:rFonts w:ascii="Times New Roman" w:eastAsia="Calibri" w:hAnsi="Times New Roman" w:cs="Times New Roman"/>
                <w:i/>
                <w:sz w:val="18"/>
                <w:szCs w:val="18"/>
              </w:rPr>
              <w:t>Ponuka práce môže byť ovplyvnená rôznymi premennými napr. úrovňou miezd, inštitucionálnym nastavením (napr.  zosúladenie pracovného a súkromného života alebo uľahčovanie rôznych foriem mobility).</w:t>
            </w:r>
          </w:p>
        </w:tc>
        <w:tc>
          <w:tcPr>
            <w:tcW w:w="3032" w:type="pct"/>
            <w:tcBorders>
              <w:bottom w:val="single" w:sz="4" w:space="0" w:color="auto"/>
            </w:tcBorders>
            <w:shd w:val="clear" w:color="auto" w:fill="FFFFFF"/>
          </w:tcPr>
          <w:p w14:paraId="454418E7" w14:textId="77777777" w:rsidR="00663241" w:rsidRDefault="00000000">
            <w:pPr>
              <w:spacing w:after="0" w:line="240" w:lineRule="auto"/>
              <w:jc w:val="both"/>
            </w:pPr>
            <w:r>
              <w:rPr>
                <w:rFonts w:ascii="Times New Roman" w:hAnsi="Times New Roman"/>
                <w:sz w:val="18"/>
              </w:rPr>
              <w:t>Bez vplyvu. Návrh nemá priamy makroekonomický dosah na participáciu na trhu práce, nezamestnanosť ani regionálne miery zamestnanosti.</w:t>
            </w:r>
          </w:p>
        </w:tc>
      </w:tr>
      <w:tr w:rsidR="002644DE" w:rsidRPr="002644DE" w14:paraId="6EA25D48" w14:textId="77777777" w:rsidTr="000800FC">
        <w:trPr>
          <w:trHeight w:val="324"/>
          <w:jc w:val="center"/>
        </w:trPr>
        <w:tc>
          <w:tcPr>
            <w:tcW w:w="129" w:type="pct"/>
            <w:tcBorders>
              <w:bottom w:val="single" w:sz="4" w:space="0" w:color="auto"/>
            </w:tcBorders>
            <w:shd w:val="clear" w:color="auto" w:fill="F2F2F2"/>
            <w:vAlign w:val="center"/>
          </w:tcPr>
          <w:p w14:paraId="1A1276B1"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i)</w:t>
            </w:r>
          </w:p>
        </w:tc>
        <w:tc>
          <w:tcPr>
            <w:tcW w:w="4871" w:type="pct"/>
            <w:gridSpan w:val="2"/>
            <w:tcBorders>
              <w:bottom w:val="single" w:sz="4" w:space="0" w:color="auto"/>
            </w:tcBorders>
            <w:shd w:val="clear" w:color="auto" w:fill="F2F2F2"/>
            <w:vAlign w:val="center"/>
          </w:tcPr>
          <w:p w14:paraId="516018C0"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špecifické negatívne dôsledky pre isté skupiny profesií, skupín zamestnancov či živnostníkov?</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aké a pre ktoré skupiny?</w:t>
            </w:r>
          </w:p>
        </w:tc>
      </w:tr>
      <w:tr w:rsidR="002644DE" w:rsidRPr="002644DE" w14:paraId="7EC855CC" w14:textId="77777777" w:rsidTr="000800FC">
        <w:trPr>
          <w:trHeight w:val="216"/>
          <w:jc w:val="center"/>
        </w:trPr>
        <w:tc>
          <w:tcPr>
            <w:tcW w:w="129" w:type="pct"/>
            <w:tcBorders>
              <w:bottom w:val="single" w:sz="4" w:space="0" w:color="auto"/>
            </w:tcBorders>
            <w:shd w:val="clear" w:color="auto" w:fill="FFFFFF"/>
            <w:vAlign w:val="center"/>
          </w:tcPr>
          <w:p w14:paraId="65E183B2"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j)</w:t>
            </w:r>
          </w:p>
        </w:tc>
        <w:tc>
          <w:tcPr>
            <w:tcW w:w="1838" w:type="pct"/>
            <w:tcBorders>
              <w:bottom w:val="single" w:sz="4" w:space="0" w:color="auto"/>
            </w:tcBorders>
            <w:shd w:val="clear" w:color="auto" w:fill="FFFFFF"/>
          </w:tcPr>
          <w:p w14:paraId="17863D47"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Návrh môže ohrozovať napr. pracovníkov istých profesií favorizovaním špecifických aktivít či technológií.</w:t>
            </w:r>
          </w:p>
        </w:tc>
        <w:tc>
          <w:tcPr>
            <w:tcW w:w="3032" w:type="pct"/>
            <w:tcBorders>
              <w:bottom w:val="single" w:sz="4" w:space="0" w:color="auto"/>
            </w:tcBorders>
            <w:shd w:val="clear" w:color="auto" w:fill="FFFFFF"/>
          </w:tcPr>
          <w:p w14:paraId="13E978B4" w14:textId="77777777" w:rsidR="00663241" w:rsidRDefault="00000000">
            <w:pPr>
              <w:spacing w:after="0" w:line="240" w:lineRule="auto"/>
              <w:jc w:val="both"/>
            </w:pPr>
            <w:r>
              <w:rPr>
                <w:rFonts w:ascii="Times New Roman" w:hAnsi="Times New Roman"/>
                <w:sz w:val="18"/>
              </w:rPr>
              <w:t>Bez vplyvu. Neboli identifikované špecifické negatívne dôsledky pre konkrétne profesie, skupiny zamestnancov alebo živnostníkov.</w:t>
            </w:r>
          </w:p>
        </w:tc>
      </w:tr>
      <w:tr w:rsidR="002644DE" w:rsidRPr="002644DE" w14:paraId="5A3CD1C3" w14:textId="77777777" w:rsidTr="000800FC">
        <w:trPr>
          <w:trHeight w:val="219"/>
          <w:jc w:val="center"/>
        </w:trPr>
        <w:tc>
          <w:tcPr>
            <w:tcW w:w="129" w:type="pct"/>
            <w:tcBorders>
              <w:bottom w:val="single" w:sz="4" w:space="0" w:color="auto"/>
            </w:tcBorders>
            <w:shd w:val="clear" w:color="auto" w:fill="F2F2F2"/>
            <w:vAlign w:val="center"/>
          </w:tcPr>
          <w:p w14:paraId="66906D17"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k)</w:t>
            </w:r>
          </w:p>
        </w:tc>
        <w:tc>
          <w:tcPr>
            <w:tcW w:w="4871" w:type="pct"/>
            <w:gridSpan w:val="2"/>
            <w:tcBorders>
              <w:bottom w:val="single" w:sz="4" w:space="0" w:color="auto"/>
            </w:tcBorders>
            <w:shd w:val="clear" w:color="auto" w:fill="F2F2F2"/>
            <w:vAlign w:val="center"/>
          </w:tcPr>
          <w:p w14:paraId="4DB60078"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špecifické vekové skupiny zamestnancov? Ak áno, aké? Akým spôsobom?</w:t>
            </w:r>
          </w:p>
        </w:tc>
      </w:tr>
      <w:tr w:rsidR="002644DE" w:rsidRPr="002644DE" w14:paraId="4E74FE3D" w14:textId="77777777" w:rsidTr="000800FC">
        <w:trPr>
          <w:trHeight w:val="497"/>
          <w:jc w:val="center"/>
        </w:trPr>
        <w:tc>
          <w:tcPr>
            <w:tcW w:w="129" w:type="pct"/>
            <w:tcBorders>
              <w:bottom w:val="single" w:sz="4" w:space="0" w:color="auto"/>
            </w:tcBorders>
            <w:shd w:val="clear" w:color="auto" w:fill="FFFFFF"/>
            <w:vAlign w:val="center"/>
          </w:tcPr>
          <w:p w14:paraId="6A47FB55"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l)</w:t>
            </w:r>
          </w:p>
        </w:tc>
        <w:tc>
          <w:tcPr>
            <w:tcW w:w="1838" w:type="pct"/>
            <w:tcBorders>
              <w:bottom w:val="single" w:sz="4" w:space="0" w:color="auto"/>
            </w:tcBorders>
            <w:shd w:val="clear" w:color="auto" w:fill="FFFFFF"/>
          </w:tcPr>
          <w:p w14:paraId="6681CF62"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či návrh môže ovplyvniť rozhodnutia zamestnancov alebo zamestnávateľov a môže byť zdrojom neskoršieho vstupu na trh práce alebo predčasného odchodu z trhu práce jednotlivcov.</w:t>
            </w:r>
          </w:p>
        </w:tc>
        <w:tc>
          <w:tcPr>
            <w:tcW w:w="3032" w:type="pct"/>
            <w:tcBorders>
              <w:bottom w:val="single" w:sz="4" w:space="0" w:color="auto"/>
            </w:tcBorders>
            <w:shd w:val="clear" w:color="auto" w:fill="FFFFFF"/>
          </w:tcPr>
          <w:p w14:paraId="1CFDC4D6" w14:textId="77777777" w:rsidR="00663241" w:rsidRDefault="00000000">
            <w:pPr>
              <w:spacing w:after="0" w:line="240" w:lineRule="auto"/>
              <w:jc w:val="both"/>
            </w:pPr>
            <w:r>
              <w:rPr>
                <w:rFonts w:ascii="Times New Roman" w:hAnsi="Times New Roman"/>
                <w:sz w:val="18"/>
              </w:rPr>
              <w:t>Bez vplyvu. Návrh neovplyvňuje rozhodnutia zamestnancov alebo zamestnávateľov o vstupe na trh práce ani o predčasnom odchode z trhu práce a nemá osobitný priamy vplyv na konkrétne vekové skupiny zamestnancov.</w:t>
            </w:r>
          </w:p>
        </w:tc>
      </w:tr>
    </w:tbl>
    <w:p w14:paraId="35D97C56" w14:textId="77777777" w:rsidR="009411E3" w:rsidRDefault="009411E3" w:rsidP="00810DE8"/>
    <w:sectPr w:rsidR="009411E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60C423" w14:textId="77777777" w:rsidR="00452029" w:rsidRDefault="00452029" w:rsidP="002644DE">
      <w:pPr>
        <w:spacing w:after="0" w:line="240" w:lineRule="auto"/>
      </w:pPr>
      <w:r>
        <w:separator/>
      </w:r>
    </w:p>
  </w:endnote>
  <w:endnote w:type="continuationSeparator" w:id="0">
    <w:p w14:paraId="31039D77" w14:textId="77777777" w:rsidR="00452029" w:rsidRDefault="00452029" w:rsidP="00264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9628070"/>
      <w:docPartObj>
        <w:docPartGallery w:val="Page Numbers (Bottom of Page)"/>
        <w:docPartUnique/>
      </w:docPartObj>
    </w:sdtPr>
    <w:sdtEndPr>
      <w:rPr>
        <w:rFonts w:ascii="Times New Roman" w:hAnsi="Times New Roman" w:cs="Times New Roman"/>
      </w:rPr>
    </w:sdtEndPr>
    <w:sdtContent>
      <w:p w14:paraId="6D4323FD" w14:textId="77777777" w:rsidR="002644DE" w:rsidRPr="001D6749" w:rsidRDefault="002644DE">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9F098A">
          <w:rPr>
            <w:rFonts w:ascii="Times New Roman" w:hAnsi="Times New Roman" w:cs="Times New Roman"/>
            <w:noProof/>
          </w:rPr>
          <w:t>1</w:t>
        </w:r>
        <w:r w:rsidRPr="001D6749">
          <w:rPr>
            <w:rFonts w:ascii="Times New Roman" w:hAnsi="Times New Roman" w:cs="Times New Roman"/>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8902475"/>
      <w:docPartObj>
        <w:docPartGallery w:val="Page Numbers (Bottom of Page)"/>
        <w:docPartUnique/>
      </w:docPartObj>
    </w:sdtPr>
    <w:sdtEndPr>
      <w:rPr>
        <w:rFonts w:ascii="Times New Roman" w:hAnsi="Times New Roman" w:cs="Times New Roman"/>
      </w:rPr>
    </w:sdtEndPr>
    <w:sdtContent>
      <w:p w14:paraId="6FF3622B" w14:textId="77777777" w:rsidR="002644DE" w:rsidRPr="001D6749" w:rsidRDefault="002644DE">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9F098A">
          <w:rPr>
            <w:rFonts w:ascii="Times New Roman" w:hAnsi="Times New Roman" w:cs="Times New Roman"/>
            <w:noProof/>
          </w:rPr>
          <w:t>1</w:t>
        </w:r>
        <w:r w:rsidR="009F098A">
          <w:rPr>
            <w:rFonts w:ascii="Times New Roman" w:hAnsi="Times New Roman" w:cs="Times New Roman"/>
            <w:noProof/>
          </w:rPr>
          <w:t>6</w:t>
        </w:r>
        <w:r w:rsidRPr="001D6749">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5CE74" w14:textId="77777777" w:rsidR="00452029" w:rsidRDefault="00452029" w:rsidP="002644DE">
      <w:pPr>
        <w:spacing w:after="0" w:line="240" w:lineRule="auto"/>
      </w:pPr>
      <w:r>
        <w:separator/>
      </w:r>
    </w:p>
  </w:footnote>
  <w:footnote w:type="continuationSeparator" w:id="0">
    <w:p w14:paraId="12DA363E" w14:textId="77777777" w:rsidR="00452029" w:rsidRDefault="00452029" w:rsidP="002644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208579" w14:textId="77777777" w:rsidR="002644DE" w:rsidRPr="00CD4982" w:rsidRDefault="0040256B" w:rsidP="00670684">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Príloha č. 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3B79D1" w14:textId="77777777" w:rsidR="00433C47" w:rsidRPr="00CD4982" w:rsidRDefault="0040256B" w:rsidP="00433C47">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Príloha č. 4</w:t>
    </w:r>
  </w:p>
  <w:p w14:paraId="1BBCFE3A" w14:textId="77777777" w:rsidR="002644DE" w:rsidRPr="00433C47" w:rsidRDefault="002644DE" w:rsidP="00433C4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239F7"/>
    <w:multiLevelType w:val="hybridMultilevel"/>
    <w:tmpl w:val="F2822772"/>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 w15:restartNumberingAfterBreak="0">
    <w:nsid w:val="31CF1B48"/>
    <w:multiLevelType w:val="hybridMultilevel"/>
    <w:tmpl w:val="05B67866"/>
    <w:lvl w:ilvl="0" w:tplc="08C4A0DC">
      <w:start w:val="1"/>
      <w:numFmt w:val="bullet"/>
      <w:lvlText w:val="-"/>
      <w:lvlJc w:val="left"/>
      <w:pPr>
        <w:tabs>
          <w:tab w:val="num" w:pos="900"/>
        </w:tabs>
        <w:ind w:left="900" w:hanging="360"/>
      </w:pPr>
      <w:rPr>
        <w:rFonts w:ascii="Courier New" w:hAnsi="Courier New" w:hint="default"/>
      </w:rPr>
    </w:lvl>
    <w:lvl w:ilvl="1" w:tplc="041B0001">
      <w:start w:val="1"/>
      <w:numFmt w:val="bullet"/>
      <w:lvlText w:val=""/>
      <w:lvlJc w:val="left"/>
      <w:pPr>
        <w:tabs>
          <w:tab w:val="num" w:pos="1620"/>
        </w:tabs>
        <w:ind w:left="1620" w:hanging="360"/>
      </w:pPr>
      <w:rPr>
        <w:rFonts w:ascii="Symbol" w:hAnsi="Symbol" w:hint="default"/>
      </w:rPr>
    </w:lvl>
    <w:lvl w:ilvl="2" w:tplc="04050005" w:tentative="1">
      <w:start w:val="1"/>
      <w:numFmt w:val="bullet"/>
      <w:lvlText w:val=""/>
      <w:lvlJc w:val="left"/>
      <w:pPr>
        <w:tabs>
          <w:tab w:val="num" w:pos="2340"/>
        </w:tabs>
        <w:ind w:left="2340" w:hanging="360"/>
      </w:pPr>
      <w:rPr>
        <w:rFonts w:ascii="Wingdings" w:hAnsi="Wingdings" w:hint="default"/>
      </w:rPr>
    </w:lvl>
    <w:lvl w:ilvl="3" w:tplc="04050001" w:tentative="1">
      <w:start w:val="1"/>
      <w:numFmt w:val="bullet"/>
      <w:lvlText w:val=""/>
      <w:lvlJc w:val="left"/>
      <w:pPr>
        <w:tabs>
          <w:tab w:val="num" w:pos="3060"/>
        </w:tabs>
        <w:ind w:left="3060" w:hanging="360"/>
      </w:pPr>
      <w:rPr>
        <w:rFonts w:ascii="Symbol" w:hAnsi="Symbol" w:hint="default"/>
      </w:rPr>
    </w:lvl>
    <w:lvl w:ilvl="4" w:tplc="04050003" w:tentative="1">
      <w:start w:val="1"/>
      <w:numFmt w:val="bullet"/>
      <w:lvlText w:val="o"/>
      <w:lvlJc w:val="left"/>
      <w:pPr>
        <w:tabs>
          <w:tab w:val="num" w:pos="3780"/>
        </w:tabs>
        <w:ind w:left="3780" w:hanging="360"/>
      </w:pPr>
      <w:rPr>
        <w:rFonts w:ascii="Courier New" w:hAnsi="Courier New" w:cs="Courier New" w:hint="default"/>
      </w:rPr>
    </w:lvl>
    <w:lvl w:ilvl="5" w:tplc="04050005" w:tentative="1">
      <w:start w:val="1"/>
      <w:numFmt w:val="bullet"/>
      <w:lvlText w:val=""/>
      <w:lvlJc w:val="left"/>
      <w:pPr>
        <w:tabs>
          <w:tab w:val="num" w:pos="4500"/>
        </w:tabs>
        <w:ind w:left="4500" w:hanging="360"/>
      </w:pPr>
      <w:rPr>
        <w:rFonts w:ascii="Wingdings" w:hAnsi="Wingdings" w:hint="default"/>
      </w:rPr>
    </w:lvl>
    <w:lvl w:ilvl="6" w:tplc="04050001" w:tentative="1">
      <w:start w:val="1"/>
      <w:numFmt w:val="bullet"/>
      <w:lvlText w:val=""/>
      <w:lvlJc w:val="left"/>
      <w:pPr>
        <w:tabs>
          <w:tab w:val="num" w:pos="5220"/>
        </w:tabs>
        <w:ind w:left="5220" w:hanging="360"/>
      </w:pPr>
      <w:rPr>
        <w:rFonts w:ascii="Symbol" w:hAnsi="Symbol" w:hint="default"/>
      </w:rPr>
    </w:lvl>
    <w:lvl w:ilvl="7" w:tplc="04050003" w:tentative="1">
      <w:start w:val="1"/>
      <w:numFmt w:val="bullet"/>
      <w:lvlText w:val="o"/>
      <w:lvlJc w:val="left"/>
      <w:pPr>
        <w:tabs>
          <w:tab w:val="num" w:pos="5940"/>
        </w:tabs>
        <w:ind w:left="5940" w:hanging="360"/>
      </w:pPr>
      <w:rPr>
        <w:rFonts w:ascii="Courier New" w:hAnsi="Courier New" w:cs="Courier New" w:hint="default"/>
      </w:rPr>
    </w:lvl>
    <w:lvl w:ilvl="8" w:tplc="04050005" w:tentative="1">
      <w:start w:val="1"/>
      <w:numFmt w:val="bullet"/>
      <w:lvlText w:val=""/>
      <w:lvlJc w:val="left"/>
      <w:pPr>
        <w:tabs>
          <w:tab w:val="num" w:pos="6660"/>
        </w:tabs>
        <w:ind w:left="6660" w:hanging="360"/>
      </w:pPr>
      <w:rPr>
        <w:rFonts w:ascii="Wingdings" w:hAnsi="Wingdings" w:hint="default"/>
      </w:rPr>
    </w:lvl>
  </w:abstractNum>
  <w:abstractNum w:abstractNumId="2" w15:restartNumberingAfterBreak="0">
    <w:nsid w:val="408A277C"/>
    <w:multiLevelType w:val="hybridMultilevel"/>
    <w:tmpl w:val="330494FA"/>
    <w:lvl w:ilvl="0" w:tplc="04050001">
      <w:start w:val="1"/>
      <w:numFmt w:val="bullet"/>
      <w:lvlText w:val=""/>
      <w:lvlJc w:val="left"/>
      <w:pPr>
        <w:tabs>
          <w:tab w:val="num" w:pos="720"/>
        </w:tabs>
        <w:ind w:left="720" w:hanging="360"/>
      </w:pPr>
      <w:rPr>
        <w:rFonts w:ascii="Symbol" w:hAnsi="Symbol" w:hint="default"/>
      </w:rPr>
    </w:lvl>
    <w:lvl w:ilvl="1" w:tplc="B42690CA">
      <w:start w:val="1"/>
      <w:numFmt w:val="bullet"/>
      <w:lvlText w:val=""/>
      <w:lvlJc w:val="left"/>
      <w:pPr>
        <w:tabs>
          <w:tab w:val="num" w:pos="1440"/>
        </w:tabs>
        <w:ind w:left="1440" w:hanging="360"/>
      </w:pPr>
      <w:rPr>
        <w:rFonts w:ascii="Wingdings" w:hAnsi="Wingdings" w:hint="default"/>
        <w:sz w:val="24"/>
        <w:szCs w:val="24"/>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0EF56C5"/>
    <w:multiLevelType w:val="hybridMultilevel"/>
    <w:tmpl w:val="0B4CBB66"/>
    <w:lvl w:ilvl="0" w:tplc="041B000F">
      <w:start w:val="1"/>
      <w:numFmt w:val="decimal"/>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43042DBC"/>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15:restartNumberingAfterBreak="0">
    <w:nsid w:val="451F6C06"/>
    <w:multiLevelType w:val="hybridMultilevel"/>
    <w:tmpl w:val="3230AAE6"/>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6" w15:restartNumberingAfterBreak="0">
    <w:nsid w:val="49EC3870"/>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15:restartNumberingAfterBreak="0">
    <w:nsid w:val="5D5C610D"/>
    <w:multiLevelType w:val="multilevel"/>
    <w:tmpl w:val="AB9AAB6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69DD167D"/>
    <w:multiLevelType w:val="hybridMultilevel"/>
    <w:tmpl w:val="DE0AB0E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6FDF0B12"/>
    <w:multiLevelType w:val="hybridMultilevel"/>
    <w:tmpl w:val="B45824F4"/>
    <w:lvl w:ilvl="0" w:tplc="CCC099DA">
      <w:start w:val="4"/>
      <w:numFmt w:val="bullet"/>
      <w:lvlText w:val="-"/>
      <w:lvlJc w:val="left"/>
      <w:pPr>
        <w:ind w:left="170" w:hanging="17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0" w15:restartNumberingAfterBreak="0">
    <w:nsid w:val="6FEA37F4"/>
    <w:multiLevelType w:val="hybridMultilevel"/>
    <w:tmpl w:val="AACE54B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700E2636"/>
    <w:multiLevelType w:val="hybridMultilevel"/>
    <w:tmpl w:val="1B94678C"/>
    <w:lvl w:ilvl="0" w:tplc="7CD443D8">
      <w:start w:val="1"/>
      <w:numFmt w:val="bullet"/>
      <w:lvlText w:val="-"/>
      <w:lvlJc w:val="left"/>
      <w:pPr>
        <w:tabs>
          <w:tab w:val="num" w:pos="720"/>
        </w:tabs>
        <w:ind w:left="720" w:hanging="360"/>
      </w:pPr>
      <w:rPr>
        <w:rFonts w:ascii="Courier New" w:hAnsi="Courier New"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A8D4073"/>
    <w:multiLevelType w:val="hybridMultilevel"/>
    <w:tmpl w:val="70A4D57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16cid:durableId="4669931">
    <w:abstractNumId w:val="2"/>
  </w:num>
  <w:num w:numId="2" w16cid:durableId="248586441">
    <w:abstractNumId w:val="4"/>
  </w:num>
  <w:num w:numId="3" w16cid:durableId="1266961480">
    <w:abstractNumId w:val="1"/>
  </w:num>
  <w:num w:numId="4" w16cid:durableId="2137602447">
    <w:abstractNumId w:val="11"/>
  </w:num>
  <w:num w:numId="5" w16cid:durableId="1484354762">
    <w:abstractNumId w:val="7"/>
  </w:num>
  <w:num w:numId="6" w16cid:durableId="1801485732">
    <w:abstractNumId w:val="8"/>
  </w:num>
  <w:num w:numId="7" w16cid:durableId="1942109065">
    <w:abstractNumId w:val="3"/>
  </w:num>
  <w:num w:numId="8" w16cid:durableId="1898199902">
    <w:abstractNumId w:val="6"/>
  </w:num>
  <w:num w:numId="9" w16cid:durableId="1306277668">
    <w:abstractNumId w:val="5"/>
  </w:num>
  <w:num w:numId="10" w16cid:durableId="109671941">
    <w:abstractNumId w:val="0"/>
  </w:num>
  <w:num w:numId="11" w16cid:durableId="471097037">
    <w:abstractNumId w:val="9"/>
  </w:num>
  <w:num w:numId="12" w16cid:durableId="1159997590">
    <w:abstractNumId w:val="10"/>
  </w:num>
  <w:num w:numId="13" w16cid:durableId="13546955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4DE"/>
    <w:rsid w:val="00060EEC"/>
    <w:rsid w:val="00100A42"/>
    <w:rsid w:val="00220F8D"/>
    <w:rsid w:val="00221E44"/>
    <w:rsid w:val="00246AC8"/>
    <w:rsid w:val="002644DE"/>
    <w:rsid w:val="00382021"/>
    <w:rsid w:val="003B744A"/>
    <w:rsid w:val="00401560"/>
    <w:rsid w:val="0040256B"/>
    <w:rsid w:val="00433C47"/>
    <w:rsid w:val="00447D43"/>
    <w:rsid w:val="00452029"/>
    <w:rsid w:val="00636449"/>
    <w:rsid w:val="00663241"/>
    <w:rsid w:val="007E57E7"/>
    <w:rsid w:val="007F58AE"/>
    <w:rsid w:val="007F6319"/>
    <w:rsid w:val="00810DE8"/>
    <w:rsid w:val="008520B6"/>
    <w:rsid w:val="008801B5"/>
    <w:rsid w:val="008B2834"/>
    <w:rsid w:val="009411E3"/>
    <w:rsid w:val="0095188C"/>
    <w:rsid w:val="009C24CF"/>
    <w:rsid w:val="009E09F7"/>
    <w:rsid w:val="009F098A"/>
    <w:rsid w:val="00A5133F"/>
    <w:rsid w:val="00A9062A"/>
    <w:rsid w:val="00B100B3"/>
    <w:rsid w:val="00B779CA"/>
    <w:rsid w:val="00BB4279"/>
    <w:rsid w:val="00BC0320"/>
    <w:rsid w:val="00BD141A"/>
    <w:rsid w:val="00C82C1C"/>
    <w:rsid w:val="00CE07D4"/>
    <w:rsid w:val="00CE43F0"/>
    <w:rsid w:val="00D1701B"/>
    <w:rsid w:val="00DD3CE8"/>
    <w:rsid w:val="00EC3204"/>
    <w:rsid w:val="00F13929"/>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C7382"/>
  <w15:chartTrackingRefBased/>
  <w15:docId w15:val="{4D538BF1-EDC8-4160-A2B9-73079E67C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poznmkypodiarou">
    <w:name w:val="footnote text"/>
    <w:basedOn w:val="Normlny"/>
    <w:link w:val="TextpoznmkypodiarouChar"/>
    <w:uiPriority w:val="99"/>
    <w:semiHidden/>
    <w:unhideWhenUsed/>
    <w:rsid w:val="002644D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2644DE"/>
    <w:rPr>
      <w:sz w:val="20"/>
      <w:szCs w:val="20"/>
    </w:rPr>
  </w:style>
  <w:style w:type="paragraph" w:styleId="Pta">
    <w:name w:val="footer"/>
    <w:basedOn w:val="Normlny"/>
    <w:link w:val="PtaChar"/>
    <w:uiPriority w:val="99"/>
    <w:unhideWhenUsed/>
    <w:rsid w:val="002644DE"/>
    <w:pPr>
      <w:tabs>
        <w:tab w:val="center" w:pos="4536"/>
        <w:tab w:val="right" w:pos="9072"/>
      </w:tabs>
      <w:spacing w:after="0" w:line="240" w:lineRule="auto"/>
    </w:pPr>
  </w:style>
  <w:style w:type="character" w:customStyle="1" w:styleId="PtaChar">
    <w:name w:val="Päta Char"/>
    <w:basedOn w:val="Predvolenpsmoodseku"/>
    <w:link w:val="Pta"/>
    <w:uiPriority w:val="99"/>
    <w:rsid w:val="002644DE"/>
  </w:style>
  <w:style w:type="character" w:styleId="Odkaznapoznmkupodiarou">
    <w:name w:val="footnote reference"/>
    <w:aliases w:val="Footnote symbol,Footnote reference number"/>
    <w:semiHidden/>
    <w:unhideWhenUsed/>
    <w:rsid w:val="002644DE"/>
    <w:rPr>
      <w:vertAlign w:val="superscript"/>
    </w:rPr>
  </w:style>
  <w:style w:type="paragraph" w:styleId="Hlavika">
    <w:name w:val="header"/>
    <w:basedOn w:val="Normlny"/>
    <w:link w:val="HlavikaChar"/>
    <w:uiPriority w:val="99"/>
    <w:unhideWhenUsed/>
    <w:rsid w:val="0095188C"/>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95188C"/>
  </w:style>
  <w:style w:type="paragraph" w:styleId="Textbubliny">
    <w:name w:val="Balloon Text"/>
    <w:basedOn w:val="Normlny"/>
    <w:link w:val="TextbublinyChar"/>
    <w:uiPriority w:val="99"/>
    <w:semiHidden/>
    <w:unhideWhenUsed/>
    <w:rsid w:val="009F098A"/>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9F098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Vlastný-materiál,-príloha-č.-4"/>
    <f:field ref="objsubject" par="" edit="true" text=""/>
    <f:field ref="objcreatedby" par="" text="Drieniková, Kristína"/>
    <f:field ref="objcreatedat" par="" text="3.11.2020 15:32:03"/>
    <f:field ref="objchangedby" par="" text="Matúšek, Miloš, JUDr."/>
    <f:field ref="objmodifiedat" par="" text="4.11.2020 13:20:03"/>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7</Pages>
  <Words>2871</Words>
  <Characters>16369</Characters>
  <Application>Microsoft Office Word</Application>
  <DocSecurity>0</DocSecurity>
  <Lines>136</Lines>
  <Paragraphs>38</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19202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Kyjaci Martina</cp:lastModifiedBy>
  <cp:revision>8</cp:revision>
  <cp:lastPrinted>2025-06-06T10:06:00Z</cp:lastPrinted>
  <dcterms:created xsi:type="dcterms:W3CDTF">2026-10-04T17:42:00Z</dcterms:created>
  <dcterms:modified xsi:type="dcterms:W3CDTF">2026-11-02T12:41:00Z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3. 11. 2020</vt:lpwstr>
  </property>
  <property fmtid="{D5CDD505-2E9C-101B-9397-08002B2CF9AE}" pid="151" name="FSC#COOSYSTEM@1.1:Container">
    <vt:lpwstr>COO.2145.1000.3.4079702</vt:lpwstr>
  </property>
  <property fmtid="{D5CDD505-2E9C-101B-9397-08002B2CF9AE}" pid="152" name="FSC#FSCFOLIO@1.1001:docpropproject">
    <vt:lpwstr/>
  </property>
</Properties>
</file>