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sz w:val="22"/>
        </w:rPr>
        <w:t>Príloha č. 4</w:t>
        <w:br/>
        <w:t>k legislatívnym pravidlám</w:t>
      </w:r>
    </w:p>
    <w:p>
      <w:pPr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sz w:val="24"/>
        </w:rPr>
        <w:t>SPRÁVA O ÚČASTI VEREJNOSTI NA TVORBE PRÁVNEHO PREDPISU</w:t>
      </w:r>
    </w:p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1.</w:t>
        <w:tab/>
        <w:t>Spôsob zapojenia verejnosti do tvorby právneho predpisu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Informovanie – vyplnia sa body 2 a 3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Prerokovanie – vyplnia sa body 2 až 11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</w:tbl>
    <w:p>
      <w:pPr>
        <w:spacing w:before="0" w:after="8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Odôvodnenie:</w:t>
      </w:r>
      <w:r>
        <w:rPr>
          <w:rFonts w:ascii="Times New Roman" w:hAnsi="Times New Roman" w:eastAsia="Times New Roman"/>
          <w:b w:val="0"/>
          <w:i w:val="0"/>
          <w:sz w:val="16"/>
          <w:vertAlign w:val="superscript"/>
        </w:rPr>
        <w:t>1</w:t>
      </w:r>
      <w:r>
        <w:rPr>
          <w:rFonts w:ascii="Times New Roman" w:hAnsi="Times New Roman" w:eastAsia="Times New Roman"/>
          <w:b w:val="0"/>
          <w:i w:val="0"/>
          <w:sz w:val="22"/>
        </w:rPr>
        <w:t xml:space="preserve"> Verejnosť bola zapojená formou konzultácií k pripravovanému návrhu vyhlášky. Konzultácie prebiehali od 1. 6. 2026 do 29. 6. 2026; počas ich trvania sa neozval žiadny subjekt.</w:t>
      </w:r>
    </w:p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2.</w:t>
        <w:tab/>
        <w:t>Spôsob informovania verejnosti o začatí tvorby právneho predpisu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Predbežná informácia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Legislatívny zámer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 zverejnenie oznámenia o začatí konzultácií na webovom sídle Ministerstva hospodárstva SR a Úradu pre normalizáciu, metrológiu a skúšobníctvo SR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</w:tbl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3.</w:t>
        <w:tab/>
        <w:t>Informácie poskytnuté verejnosti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 probléme, ktorý má právny predpis riešiť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 spôsobe zapojenia verejnosti do tvorby právneho predpisu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 časovom rámci tvorby právneho predpisu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 procese tvorby právneho predpisu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 spôsobe naloženia s vyjadreniami a návrhmi verejnosti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</w:tbl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4.</w:t>
        <w:tab/>
        <w:t>Forma prerokovania s verejnosťou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Osobne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Ústne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Písomne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Inou formou: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</w:tbl>
    <w:p>
      <w:pPr>
        <w:spacing w:before="0" w:after="8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Odôvodnenie:</w:t>
      </w:r>
      <w:r>
        <w:rPr>
          <w:rFonts w:ascii="Times New Roman" w:hAnsi="Times New Roman" w:eastAsia="Times New Roman"/>
          <w:b w:val="0"/>
          <w:i w:val="0"/>
          <w:sz w:val="16"/>
          <w:vertAlign w:val="superscript"/>
        </w:rPr>
        <w:t>1</w:t>
      </w:r>
      <w:r>
        <w:rPr>
          <w:rFonts w:ascii="Times New Roman" w:hAnsi="Times New Roman" w:eastAsia="Times New Roman"/>
          <w:b w:val="0"/>
          <w:i w:val="0"/>
          <w:sz w:val="22"/>
        </w:rPr>
        <w:t xml:space="preserve"> Prerokovanie sa uskutočnilo písomne a elektronicky formou konzultácií; osobné ani ústne prerokovanie sa neuskutočnilo.</w:t>
      </w:r>
    </w:p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5.</w:t>
        <w:tab/>
        <w:t>Spôsoby prerokovania s verejnosťou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Pracovná skupina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Konferencia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Diskusia k legislatívnemu procesu²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Konzultácia³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☒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Pripomienkovanie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856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56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</w:tbl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6.</w:t>
        <w:tab/>
        <w:t>Okruhy subjektov predkladateľom adresne vyzvané na účasť na tvorbe právneho</w:t>
        <w:br/>
        <w:t>predpisu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Okruh subjektov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Počet subjektov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Záujmové združenia subjektov územnej samosprávy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Podnikatelia a záujmové združenia podnikateľov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Mimovládne neziskové organizácie⁴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Akademická a vedecká obec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Cirkvi a náboženské spoločnosti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</w:tbl>
    <w:p>
      <w:pPr>
        <w:spacing w:before="0" w:after="8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Odôvodnenie:</w:t>
      </w:r>
      <w:r>
        <w:rPr>
          <w:rFonts w:ascii="Times New Roman" w:hAnsi="Times New Roman" w:eastAsia="Times New Roman"/>
          <w:b w:val="0"/>
          <w:i w:val="0"/>
          <w:sz w:val="16"/>
          <w:vertAlign w:val="superscript"/>
        </w:rPr>
        <w:t>1</w:t>
      </w:r>
      <w:r>
        <w:rPr>
          <w:rFonts w:ascii="Times New Roman" w:hAnsi="Times New Roman" w:eastAsia="Times New Roman"/>
          <w:b w:val="0"/>
          <w:i w:val="0"/>
          <w:sz w:val="22"/>
        </w:rPr>
        <w:t xml:space="preserve"> Informovanie bolo uskutočnené zverejnením oznámenia o začatí konzultácií; predkladateľ neeviduje adresné vyzvanie konkrétnych subjektov na účasť na tvorbe právneho predpisu.</w:t>
      </w:r>
    </w:p>
    <w:p>
      <w:r>
        <w:br w:type="page"/>
      </w:r>
    </w:p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7.</w:t>
        <w:tab/>
        <w:t>Okruhy adresne vyzvaných subjektov aktívne zúčastnených na tvorbe právneho</w:t>
        <w:br/>
        <w:t>predpisu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Okruh subjektov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Počet subjektov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Záujmové združenia subjektov územnej samosprávy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Podnikatelia a záujmové združenia podnikateľov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Mimovládne neziskové organizácie⁴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Akademická a vedecká obec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Cirkvi a náboženské spoločnosti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</w:tbl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8.</w:t>
        <w:tab/>
        <w:t>Okruhy subjektov, ktoré prejavili záujem zúčastniť sa na tvorbe právneho predpisu</w:t>
        <w:br/>
        <w:t>z vlastnej iniciatívy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Okruh subjektov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Počet subjektov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Záujmové združenia subjektov územnej samosprávy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Podnikatelia a záujmové združenia podnikateľov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Mimovládne neziskové organizácie⁴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Akademická a vedecká obec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Cirkvi a náboženské spoločnosti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</w:tbl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9.</w:t>
        <w:tab/>
        <w:t>Okruhy iniciatívnych subjektov aktívne zúčastnených na tvorbe právneho predpisu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Okruh subjektov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Počet subjektov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Záujmové združenia subjektov územnej samosprávy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Podnikatelia a záujmové združenia podnikateľov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Mimovládne neziskové organizácie⁴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Akademická a vedecká obec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Cirkvi a náboženské spoločnosti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  <w:tr>
        <w:trPr>
          <w:cantSplit/>
        </w:trPr>
        <w:tc>
          <w:tcPr>
            <w:tcW w:type="dxa" w:w="6577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255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0</w:t>
            </w:r>
          </w:p>
        </w:tc>
      </w:tr>
    </w:tbl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10.</w:t>
        <w:tab/>
        <w:t>Spôsob naloženia s vyjadreniami a návrhmi zapojených subjektov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Okruh subjektov</w:t>
            </w:r>
          </w:p>
        </w:tc>
        <w:tc>
          <w:tcPr>
            <w:tcW w:type="dxa" w:w="3402"/>
            <w:gridSpan w:val="2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Prevažne</w:t>
              <w:br/>
              <w:t>akceptované/neakceptované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Orgány verejnej správy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Záujmové združenia subjektov územnej samosprávy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Podnikatelia a záujmové združenia podnikateľov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Mimovládne neziskové organizácie⁴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Akademická a vedecká obec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Cirkvi a náboženské spoločnosti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  <w:tr>
        <w:trPr>
          <w:cantSplit/>
        </w:trPr>
        <w:tc>
          <w:tcPr>
            <w:tcW w:type="dxa" w:w="5783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21"/>
              </w:rPr>
              <w:t>Iné: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  <w:tc>
          <w:tcPr>
            <w:tcW w:type="dxa" w:w="1701"/>
            <w:tcBorders>
              <w:top w:sz="6" w:val="single" w:color="000000" w:space="0"/>
              <w:left w:sz="6" w:val="single" w:color="000000" w:space="0"/>
              <w:bottom w:sz="6" w:val="single" w:color="000000" w:space="0"/>
              <w:right w:sz="6" w:val="single" w:color="000000" w:space="0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sz w:val="22"/>
              </w:rPr>
              <w:t>☐</w:t>
            </w:r>
          </w:p>
        </w:tc>
      </w:tr>
    </w:tbl>
    <w:p>
      <w:pPr>
        <w:spacing w:before="0" w:after="8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Odôvodnenie:</w:t>
      </w:r>
      <w:r>
        <w:rPr>
          <w:rFonts w:ascii="Times New Roman" w:hAnsi="Times New Roman" w:eastAsia="Times New Roman"/>
          <w:b w:val="0"/>
          <w:i w:val="0"/>
          <w:sz w:val="16"/>
          <w:vertAlign w:val="superscript"/>
        </w:rPr>
        <w:t>1</w:t>
      </w:r>
      <w:r>
        <w:rPr>
          <w:rFonts w:ascii="Times New Roman" w:hAnsi="Times New Roman" w:eastAsia="Times New Roman"/>
          <w:b w:val="0"/>
          <w:i w:val="0"/>
          <w:sz w:val="22"/>
        </w:rPr>
        <w:t xml:space="preserve"> Počas trvania konzultácií neboli predkladateľovi doručené vyjadrenia ani návrhy verejnosti; spôsob naloženia s vyjadreniami a návrhmi sa preto neuplatňuje.</w:t>
      </w:r>
    </w:p>
    <w:p>
      <w:pPr>
        <w:spacing w:before="120" w:after="40" w:line="240" w:lineRule="auto"/>
      </w:pPr>
      <w:r>
        <w:rPr>
          <w:rFonts w:ascii="Times New Roman" w:hAnsi="Times New Roman" w:eastAsia="Times New Roman"/>
          <w:b/>
          <w:i w:val="0"/>
          <w:sz w:val="22"/>
        </w:rPr>
        <w:t>11.</w:t>
        <w:tab/>
        <w:t>Vyhodnotenie účasti verejnosti na tvorbe právneho predpisu predkladateľom:¹</w:t>
      </w:r>
    </w:p>
    <w:p>
      <w:pPr>
        <w:spacing w:before="0" w:after="120" w:line="240" w:lineRule="auto"/>
      </w:pPr>
      <w:r>
        <w:rPr>
          <w:rFonts w:ascii="Times New Roman" w:hAnsi="Times New Roman" w:eastAsia="Times New Roman"/>
          <w:b w:val="0"/>
          <w:i w:val="0"/>
          <w:sz w:val="21"/>
        </w:rPr>
        <w:t>Konzultácie s verejnosťou prebiehali v období od 1. 6. 2026 do 29. 6. 2026. Počas trvania konzultácií sa neozval žiadny subjekt, neboli doručené žiadne vyjadrenia, návrhy ani podnety a neboli predložené alternatívne návrhy riešenia. Predkladateľ preto neeviduje pripomienky verejnosti, ktoré by bolo potrebné vyhodnotiť alebo zapracovať do návrhu právneho predpisu.</w:t>
      </w:r>
    </w:p>
    <w:p>
      <w:pPr>
        <w:spacing w:before="80" w:after="80" w:line="240" w:lineRule="auto"/>
      </w:pPr>
    </w:p>
    <w:p>
      <w:pPr>
        <w:spacing w:before="120" w:after="0" w:line="240" w:lineRule="auto"/>
      </w:pPr>
      <w:r>
        <w:rPr>
          <w:rFonts w:ascii="Times New Roman" w:hAnsi="Times New Roman" w:eastAsia="Times New Roman"/>
          <w:b/>
          <w:i w:val="0"/>
          <w:sz w:val="20"/>
        </w:rPr>
        <w:t>Vysvetlivky:</w:t>
      </w:r>
    </w:p>
    <w:p>
      <w:pPr>
        <w:spacing w:before="0" w:after="0" w:line="240" w:lineRule="auto"/>
      </w:pPr>
      <w:r>
        <w:rPr>
          <w:rFonts w:ascii="Times New Roman" w:hAnsi="Times New Roman" w:eastAsia="Times New Roman"/>
          <w:b w:val="0"/>
          <w:i w:val="0"/>
          <w:sz w:val="19"/>
        </w:rPr>
        <w:t>1 Vypĺňa sa nepovinne, ak sa predkladateľ rozhodne nepovinné údaje vyplniť, uvedie ich slovne.</w:t>
      </w:r>
    </w:p>
    <w:p>
      <w:pPr>
        <w:spacing w:before="0" w:after="0" w:line="240" w:lineRule="auto"/>
      </w:pPr>
      <w:r>
        <w:rPr>
          <w:rFonts w:ascii="Times New Roman" w:hAnsi="Times New Roman" w:eastAsia="Times New Roman"/>
          <w:b w:val="0"/>
          <w:i w:val="0"/>
          <w:sz w:val="19"/>
        </w:rPr>
        <w:t>2 Prostredníctvom právneho a informačného portálu Slov-Lex.</w:t>
      </w:r>
    </w:p>
    <w:p>
      <w:pPr>
        <w:spacing w:before="0" w:after="0" w:line="240" w:lineRule="auto"/>
      </w:pPr>
      <w:r>
        <w:rPr>
          <w:rFonts w:ascii="Times New Roman" w:hAnsi="Times New Roman" w:eastAsia="Times New Roman"/>
          <w:b w:val="0"/>
          <w:i w:val="0"/>
          <w:sz w:val="19"/>
        </w:rPr>
        <w:t>3 Podľa Jednotnej metodiky na posudzovanie vybraných vplyvov a podľa § 2 zákona o tripartite.</w:t>
      </w:r>
    </w:p>
    <w:p>
      <w:pPr>
        <w:spacing w:before="0" w:after="0" w:line="240" w:lineRule="auto"/>
      </w:pPr>
      <w:r>
        <w:rPr>
          <w:rFonts w:ascii="Times New Roman" w:hAnsi="Times New Roman" w:eastAsia="Times New Roman"/>
          <w:b w:val="0"/>
          <w:i w:val="0"/>
          <w:sz w:val="19"/>
        </w:rPr>
        <w:t>4 Vrátane odborových organizácií a ich združení.</w:t>
      </w:r>
    </w:p>
    <w:sectPr w:rsidR="00FC693F" w:rsidRPr="0006063C" w:rsidSect="00034616">
      <w:pgSz w:w="12240" w:h="15840"/>
      <w:pgMar w:top="850" w:right="964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Správa o účasti verejnosti na tvorbe právneho predpisu</dc:title>
  <dc:subject/>
  <dc:creator>Úrad pre normalizáciu, metrológiu a skúšobníctvo SR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