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048" w:rsidRPr="00150048" w:rsidRDefault="00150048" w:rsidP="00150048">
      <w:pPr>
        <w:spacing w:after="0" w:line="240" w:lineRule="auto"/>
        <w:contextualSpacing/>
        <w:jc w:val="center"/>
        <w:rPr>
          <w:rFonts w:ascii="Times New Roman" w:eastAsia="Times New Roman" w:hAnsi="Times New Roman" w:cs="Times New Roman"/>
          <w:b/>
          <w:bCs/>
          <w:sz w:val="28"/>
          <w:szCs w:val="28"/>
          <w:lang w:eastAsia="sk-SK"/>
        </w:rPr>
      </w:pPr>
      <w:r w:rsidRPr="00150048">
        <w:rPr>
          <w:rFonts w:ascii="Times New Roman" w:eastAsia="Times New Roman" w:hAnsi="Times New Roman" w:cs="Times New Roman"/>
          <w:b/>
          <w:bCs/>
          <w:sz w:val="28"/>
          <w:szCs w:val="28"/>
          <w:lang w:eastAsia="sk-SK"/>
        </w:rPr>
        <w:t>Analýza vplyvov na rozpočet verejnej správy,</w:t>
      </w:r>
    </w:p>
    <w:p w:rsidR="00150048" w:rsidRPr="00150048" w:rsidRDefault="00150048" w:rsidP="00150048">
      <w:pPr>
        <w:spacing w:after="0" w:line="240" w:lineRule="auto"/>
        <w:contextualSpacing/>
        <w:jc w:val="center"/>
        <w:rPr>
          <w:rFonts w:ascii="Times New Roman" w:eastAsia="Times New Roman" w:hAnsi="Times New Roman" w:cs="Times New Roman"/>
          <w:b/>
          <w:bCs/>
          <w:sz w:val="28"/>
          <w:szCs w:val="28"/>
          <w:lang w:eastAsia="sk-SK"/>
        </w:rPr>
      </w:pPr>
      <w:r w:rsidRPr="00150048">
        <w:rPr>
          <w:rFonts w:ascii="Times New Roman" w:eastAsia="Times New Roman" w:hAnsi="Times New Roman" w:cs="Times New Roman"/>
          <w:b/>
          <w:bCs/>
          <w:sz w:val="28"/>
          <w:szCs w:val="28"/>
          <w:lang w:eastAsia="sk-SK"/>
        </w:rPr>
        <w:t>na zamestnanosť vo verejnej správe a financovanie návrhu</w:t>
      </w: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2.1 Zhrnutie vplyvov na rozpočet verejnej správy v návrhu</w:t>
      </w:r>
    </w:p>
    <w:p w:rsidR="00150048" w:rsidRPr="00150048" w:rsidRDefault="00150048" w:rsidP="00150048">
      <w:pPr>
        <w:spacing w:after="0" w:line="240" w:lineRule="auto"/>
        <w:contextualSpacing/>
        <w:jc w:val="right"/>
        <w:rPr>
          <w:rFonts w:ascii="Times New Roman" w:eastAsia="Times New Roman" w:hAnsi="Times New Roman" w:cs="Times New Roman"/>
          <w:sz w:val="20"/>
          <w:szCs w:val="20"/>
          <w:lang w:eastAsia="sk-SK"/>
        </w:rPr>
      </w:pPr>
    </w:p>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xml:space="preserve">Tabuľka č. 1/A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1"/>
        <w:gridCol w:w="1267"/>
        <w:gridCol w:w="1267"/>
        <w:gridCol w:w="1267"/>
        <w:gridCol w:w="1267"/>
      </w:tblGrid>
      <w:tr w:rsidR="00150048" w:rsidRPr="00150048" w:rsidTr="00150048">
        <w:trPr>
          <w:cantSplit/>
          <w:trHeight w:val="194"/>
          <w:jc w:val="center"/>
        </w:trPr>
        <w:tc>
          <w:tcPr>
            <w:tcW w:w="4661"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Vplyvy na rozpočet verejnej správy</w:t>
            </w:r>
          </w:p>
        </w:tc>
        <w:tc>
          <w:tcPr>
            <w:tcW w:w="5068"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Vplyv na rozpočet verejnej správy (v eurách)</w:t>
            </w:r>
          </w:p>
        </w:tc>
      </w:tr>
      <w:tr w:rsidR="00150048" w:rsidRPr="00150048" w:rsidTr="00150048">
        <w:trPr>
          <w:cantSplit/>
          <w:trHeight w:val="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2025</w:t>
            </w: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2026</w:t>
            </w: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2027</w:t>
            </w: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2028</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bCs/>
                <w:sz w:val="24"/>
                <w:szCs w:val="24"/>
                <w:lang w:eastAsia="sk-SK"/>
              </w:rPr>
              <w:t>Príjmy verejnej správy celkom</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900 000</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r>
      <w:tr w:rsidR="00150048" w:rsidRPr="00150048" w:rsidTr="0085568D">
        <w:trPr>
          <w:trHeight w:val="132"/>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v tom: za každý subjekt verejnej správy zvlášť</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xml:space="preserve">z toho:  </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ŠR</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900 000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1 800 000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1 800 000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1 800 000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ind w:left="259"/>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Cs/>
                <w:i/>
                <w:iCs/>
                <w:sz w:val="24"/>
                <w:szCs w:val="24"/>
                <w:lang w:eastAsia="sk-SK"/>
              </w:rPr>
              <w:t>Rozpočtové prostriedky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900 000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1 800 000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1 800 000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1 800 000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ind w:left="259"/>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EÚ zdroje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obce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vyššie územné celky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ostatné subjekty verejnej správy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Výdavky verejnej správy celkom</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8 275 422</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9 913 843</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4 080 000</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xml:space="preserve">360 000   </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Ministerstvo vnútra SR</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xml:space="preserve">z toho: </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ŠR</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sz w:val="24"/>
                <w:szCs w:val="24"/>
                <w:lang w:eastAsia="sk-SK"/>
              </w:rPr>
              <w:t>8 275 422</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sz w:val="24"/>
                <w:szCs w:val="24"/>
                <w:lang w:eastAsia="sk-SK"/>
              </w:rPr>
              <w:t>9 913 843</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sz w:val="24"/>
                <w:szCs w:val="24"/>
                <w:lang w:eastAsia="sk-SK"/>
              </w:rPr>
              <w:t>4 080 000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360 000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ind w:left="259"/>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Cs/>
                <w:i/>
                <w:iCs/>
                <w:sz w:val="24"/>
                <w:szCs w:val="24"/>
                <w:lang w:eastAsia="sk-SK"/>
              </w:rPr>
              <w:t>Rozpočtové prostriedky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sz w:val="24"/>
                <w:szCs w:val="24"/>
                <w:lang w:eastAsia="sk-SK"/>
              </w:rPr>
              <w:t>8 275 422</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sz w:val="24"/>
                <w:szCs w:val="24"/>
                <w:lang w:eastAsia="sk-SK"/>
              </w:rPr>
              <w:t>9 913 843</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sz w:val="24"/>
                <w:szCs w:val="24"/>
                <w:lang w:eastAsia="sk-SK"/>
              </w:rPr>
              <w:t>4 080 000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360 000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 xml:space="preserve">    EÚ zdroje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 xml:space="preserve">    spolufinancovanie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obce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ind w:left="209"/>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 xml:space="preserve">z toho vplyv nových úloh v zmysle ods. 2 Čl. </w:t>
            </w:r>
          </w:p>
          <w:p w:rsidR="00150048" w:rsidRPr="00150048" w:rsidRDefault="00150048" w:rsidP="00150048">
            <w:pPr>
              <w:spacing w:after="0" w:line="240" w:lineRule="auto"/>
              <w:ind w:left="209"/>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 xml:space="preserve">6 ústavného zákona č. 493/2011 Z. z. </w:t>
            </w:r>
          </w:p>
          <w:p w:rsidR="00150048" w:rsidRPr="00150048" w:rsidRDefault="00150048" w:rsidP="00150048">
            <w:pPr>
              <w:spacing w:after="0" w:line="240" w:lineRule="auto"/>
              <w:ind w:left="209"/>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o rozpočtovej zodpovednosti</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vyššie územné celky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ind w:left="209"/>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 xml:space="preserve">z toho vplyv nových úloh v zmysle ods. 2 Čl. </w:t>
            </w:r>
          </w:p>
          <w:p w:rsidR="00150048" w:rsidRPr="00150048" w:rsidRDefault="00150048" w:rsidP="00150048">
            <w:pPr>
              <w:spacing w:after="0" w:line="240" w:lineRule="auto"/>
              <w:ind w:left="209"/>
              <w:contextualSpacing/>
              <w:rPr>
                <w:rFonts w:ascii="Times New Roman" w:eastAsia="Times New Roman" w:hAnsi="Times New Roman" w:cs="Times New Roman"/>
                <w:bCs/>
                <w:i/>
                <w:iCs/>
                <w:sz w:val="24"/>
                <w:szCs w:val="24"/>
                <w:lang w:eastAsia="sk-SK"/>
              </w:rPr>
            </w:pPr>
            <w:r w:rsidRPr="00150048">
              <w:rPr>
                <w:rFonts w:ascii="Times New Roman" w:eastAsia="Times New Roman" w:hAnsi="Times New Roman" w:cs="Times New Roman"/>
                <w:bCs/>
                <w:i/>
                <w:iCs/>
                <w:sz w:val="24"/>
                <w:szCs w:val="24"/>
                <w:lang w:eastAsia="sk-SK"/>
              </w:rPr>
              <w:t xml:space="preserve">6 ústavného zákona č. 493/2011 Z. z. </w:t>
            </w:r>
          </w:p>
          <w:p w:rsidR="00150048" w:rsidRPr="00150048" w:rsidRDefault="00150048" w:rsidP="00150048">
            <w:pPr>
              <w:spacing w:after="0" w:line="240" w:lineRule="auto"/>
              <w:ind w:left="209"/>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Cs/>
                <w:i/>
                <w:iCs/>
                <w:sz w:val="24"/>
                <w:szCs w:val="24"/>
                <w:lang w:eastAsia="sk-SK"/>
              </w:rPr>
              <w:t>o rozpočtovej zodpovednosti</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i/>
                <w:iCs/>
                <w:sz w:val="24"/>
                <w:szCs w:val="24"/>
                <w:lang w:eastAsia="sk-SK"/>
              </w:rPr>
              <w:t>- vplyv na ostatné subjekty verejnej správy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15004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xml:space="preserve">Vplyv na počet zamestnancov </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ŠR</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obce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vyššie územné celky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ostatné subjekty verejnej správy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15004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Vplyv na mzdové výdavky</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ŠR</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obce</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vplyv na vyššie územné celky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i/>
                <w:iCs/>
                <w:sz w:val="24"/>
                <w:szCs w:val="24"/>
                <w:lang w:eastAsia="sk-SK"/>
              </w:rPr>
              <w:t>- vplyv na ostatné subjekty verejnej správy</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Financovanie zabezpečené v rozpočte</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8 275 422</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9 913 843</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4 080 000</w:t>
            </w:r>
          </w:p>
        </w:tc>
        <w:tc>
          <w:tcPr>
            <w:tcW w:w="1267"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360 000</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Ministerstvo vnútra SR</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8 275 422</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9 913 843</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4 080 000</w:t>
            </w:r>
          </w:p>
        </w:tc>
        <w:tc>
          <w:tcPr>
            <w:tcW w:w="1267"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360 000</w:t>
            </w:r>
          </w:p>
        </w:tc>
      </w:tr>
      <w:tr w:rsidR="00150048" w:rsidRPr="00150048" w:rsidTr="0015004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Iné ako rozpočtové zdroje</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r>
      <w:tr w:rsidR="00150048" w:rsidRPr="00150048" w:rsidTr="00150048">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Rozpočtovo nekrytý vplyv / úspora</w:t>
            </w:r>
          </w:p>
        </w:tc>
        <w:tc>
          <w:tcPr>
            <w:tcW w:w="1267"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267" w:type="dxa"/>
            <w:tcBorders>
              <w:top w:val="single" w:sz="4" w:space="0" w:color="auto"/>
              <w:left w:val="single" w:sz="4" w:space="0" w:color="auto"/>
              <w:bottom w:val="single" w:sz="4" w:space="0" w:color="auto"/>
              <w:right w:val="single" w:sz="4" w:space="0" w:color="auto"/>
            </w:tcBorders>
            <w:shd w:val="clear" w:color="auto" w:fill="A6A6A6"/>
            <w:noWrap/>
            <w:vAlign w:val="center"/>
            <w:hideMark/>
          </w:tcPr>
          <w:p w:rsidR="00150048" w:rsidRPr="00150048" w:rsidRDefault="00150048" w:rsidP="00150048">
            <w:pPr>
              <w:spacing w:after="0" w:line="240" w:lineRule="auto"/>
              <w:contextualSpacing/>
              <w:jc w:val="right"/>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r>
    </w:tbl>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p w:rsidR="00150048" w:rsidRPr="00150048" w:rsidRDefault="00150048" w:rsidP="00150048">
      <w:pPr>
        <w:spacing w:after="0" w:line="240" w:lineRule="auto"/>
        <w:contextualSpacing/>
        <w:jc w:val="both"/>
        <w:rPr>
          <w:rFonts w:ascii="Times New Roman" w:eastAsia="Calibri" w:hAnsi="Times New Roman" w:cs="Times New Roman"/>
          <w:sz w:val="24"/>
          <w:szCs w:val="24"/>
        </w:rPr>
      </w:pPr>
    </w:p>
    <w:p w:rsidR="00150048" w:rsidRPr="00150048" w:rsidRDefault="00150048" w:rsidP="00150048">
      <w:pPr>
        <w:spacing w:after="0" w:line="240" w:lineRule="auto"/>
        <w:contextualSpacing/>
        <w:jc w:val="right"/>
        <w:rPr>
          <w:rFonts w:ascii="Times New Roman" w:eastAsia="Times New Roman" w:hAnsi="Times New Roman" w:cs="Times New Roman"/>
          <w:sz w:val="20"/>
          <w:szCs w:val="20"/>
          <w:lang w:eastAsia="sk-SK"/>
        </w:rPr>
      </w:pPr>
    </w:p>
    <w:p w:rsidR="00150048" w:rsidRPr="00150048" w:rsidRDefault="00150048" w:rsidP="00150048">
      <w:pPr>
        <w:spacing w:after="0" w:line="240" w:lineRule="auto"/>
        <w:contextualSpacing/>
        <w:jc w:val="right"/>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xml:space="preserve">Tabuľka č. 1/B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1"/>
        <w:gridCol w:w="1267"/>
        <w:gridCol w:w="1267"/>
        <w:gridCol w:w="1267"/>
        <w:gridCol w:w="1267"/>
      </w:tblGrid>
      <w:tr w:rsidR="00150048" w:rsidRPr="00150048" w:rsidTr="00150048">
        <w:trPr>
          <w:cantSplit/>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2025</w:t>
            </w: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2026</w:t>
            </w: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2027</w:t>
            </w:r>
          </w:p>
        </w:tc>
        <w:tc>
          <w:tcPr>
            <w:tcW w:w="126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2028</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shd w:val="clear" w:color="auto" w:fill="C0C0C0"/>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 xml:space="preserve">Vplyvy na limit verejných výdavkov verejnej </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sz w:val="24"/>
                <w:szCs w:val="24"/>
                <w:lang w:eastAsia="sk-SK"/>
              </w:rPr>
              <w:t>správy celkom (v metodike ESA 2010)</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shd w:val="clear" w:color="auto" w:fill="C0C0C0"/>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r>
      <w:tr w:rsidR="00150048" w:rsidRPr="00150048" w:rsidTr="0085568D">
        <w:trPr>
          <w:trHeight w:val="132"/>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v tom: za každý subjekt verejnej správy zvlášť</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r>
      <w:tr w:rsidR="00150048" w:rsidRPr="00150048" w:rsidTr="0085568D">
        <w:trPr>
          <w:trHeight w:val="70"/>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bCs/>
                <w:i/>
                <w:iCs/>
                <w:sz w:val="24"/>
                <w:szCs w:val="24"/>
                <w:lang w:eastAsia="sk-SK"/>
              </w:rPr>
              <w:t xml:space="preserve">z toho:  </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
                <w:iCs/>
                <w:sz w:val="24"/>
                <w:szCs w:val="24"/>
                <w:lang w:eastAsia="sk-SK"/>
              </w:rPr>
            </w:pPr>
            <w:r w:rsidRPr="00150048">
              <w:rPr>
                <w:rFonts w:ascii="Times New Roman" w:eastAsia="Times New Roman" w:hAnsi="Times New Roman" w:cs="Times New Roman"/>
                <w:b/>
                <w:sz w:val="24"/>
                <w:szCs w:val="24"/>
                <w:lang w:eastAsia="sk-SK"/>
              </w:rPr>
              <w:t>vplyv na limit verejných výdavkov ŠR</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sz w:val="24"/>
                <w:szCs w:val="24"/>
                <w:lang w:eastAsia="sk-SK"/>
              </w:rPr>
              <w:t>vplyv na limit verejných výdavkov ostatných subjekty verejnej správy</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b/>
                <w:bCs/>
                <w:iCs/>
                <w:sz w:val="24"/>
                <w:szCs w:val="24"/>
                <w:lang w:eastAsia="sk-SK"/>
              </w:rPr>
            </w:pPr>
            <w:r w:rsidRPr="00150048">
              <w:rPr>
                <w:rFonts w:ascii="Times New Roman" w:eastAsia="Times New Roman" w:hAnsi="Times New Roman" w:cs="Times New Roman"/>
                <w:b/>
                <w:bCs/>
                <w:iCs/>
                <w:sz w:val="24"/>
                <w:szCs w:val="24"/>
                <w:lang w:eastAsia="sk-SK"/>
              </w:rPr>
              <w:t>-</w:t>
            </w:r>
          </w:p>
        </w:tc>
      </w:tr>
      <w:tr w:rsidR="00150048" w:rsidRPr="00150048" w:rsidTr="0085568D">
        <w:trPr>
          <w:trHeight w:val="125"/>
          <w:jc w:val="center"/>
        </w:trPr>
        <w:tc>
          <w:tcPr>
            <w:tcW w:w="4661"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rPr>
                <w:rFonts w:ascii="Times New Roman" w:eastAsia="Times New Roman" w:hAnsi="Times New Roman" w:cs="Times New Roman"/>
                <w:bCs/>
                <w:iCs/>
                <w:sz w:val="24"/>
                <w:szCs w:val="24"/>
                <w:lang w:eastAsia="sk-SK"/>
              </w:rPr>
            </w:pPr>
            <w:r w:rsidRPr="00150048">
              <w:rPr>
                <w:rFonts w:ascii="Times New Roman" w:eastAsia="Times New Roman" w:hAnsi="Times New Roman" w:cs="Times New Roman"/>
                <w:b/>
                <w:sz w:val="24"/>
                <w:szCs w:val="24"/>
                <w:lang w:eastAsia="sk-SK"/>
              </w:rPr>
              <w:t>vplyv na limit verejných výdavkov ďalších súčastí rozpočtu verejnej správy</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267" w:type="dxa"/>
            <w:tcBorders>
              <w:top w:val="single" w:sz="4" w:space="0" w:color="auto"/>
              <w:left w:val="single" w:sz="4" w:space="0" w:color="auto"/>
              <w:bottom w:val="single" w:sz="4" w:space="0" w:color="auto"/>
              <w:right w:val="single" w:sz="4" w:space="0" w:color="auto"/>
            </w:tcBorders>
            <w:noWrap/>
            <w:vAlign w:val="center"/>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r>
    </w:tbl>
    <w:p w:rsidR="00150048" w:rsidRPr="00150048" w:rsidRDefault="00150048" w:rsidP="00150048">
      <w:pPr>
        <w:spacing w:after="0" w:line="240" w:lineRule="auto"/>
        <w:contextualSpacing/>
        <w:jc w:val="both"/>
        <w:rPr>
          <w:rFonts w:ascii="Times New Roman" w:eastAsia="Calibri" w:hAnsi="Times New Roman" w:cs="Times New Roman"/>
          <w:sz w:val="24"/>
          <w:szCs w:val="24"/>
        </w:rPr>
      </w:pPr>
    </w:p>
    <w:p w:rsidR="00150048" w:rsidRPr="00150048" w:rsidRDefault="00150048" w:rsidP="00150048">
      <w:pPr>
        <w:spacing w:after="0" w:line="240" w:lineRule="auto"/>
        <w:contextualSpacing/>
        <w:jc w:val="both"/>
        <w:rPr>
          <w:rFonts w:ascii="Times New Roman" w:eastAsia="Calibri" w:hAnsi="Times New Roman" w:cs="Times New Roman"/>
          <w:sz w:val="24"/>
          <w:szCs w:val="24"/>
        </w:rPr>
      </w:pPr>
      <w:r w:rsidRPr="00150048">
        <w:rPr>
          <w:rFonts w:ascii="Times New Roman" w:eastAsia="Calibri" w:hAnsi="Times New Roman" w:cs="Times New Roman"/>
          <w:sz w:val="24"/>
          <w:szCs w:val="24"/>
        </w:rPr>
        <w:t>V tabuľke sú uvedené výpočty za rok 2025 s predpokladom účinnosti zákona od 1. júla 2025 a s predpokladom výdaja tabuliek so zvláštnym evidenčným číslom v počte 180 000 kusov za obdobie 2. polroka 2025;  v nasledovných rokoch v počte 360 000 kusov ročne.</w:t>
      </w:r>
    </w:p>
    <w:p w:rsidR="00150048" w:rsidRPr="00150048" w:rsidRDefault="00150048" w:rsidP="00150048">
      <w:pPr>
        <w:spacing w:after="0" w:line="240" w:lineRule="auto"/>
        <w:contextualSpacing/>
        <w:jc w:val="both"/>
        <w:rPr>
          <w:rFonts w:ascii="Times New Roman" w:eastAsia="Times New Roman" w:hAnsi="Times New Roman" w:cs="Times New Roman"/>
          <w:b/>
          <w:bCs/>
          <w:sz w:val="24"/>
          <w:szCs w:val="24"/>
          <w:lang w:eastAsia="sk-SK"/>
        </w:rPr>
      </w:pPr>
    </w:p>
    <w:p w:rsidR="00150048" w:rsidRPr="00150048" w:rsidRDefault="00150048" w:rsidP="00150048">
      <w:pPr>
        <w:spacing w:after="0" w:line="240" w:lineRule="auto"/>
        <w:contextualSpacing/>
        <w:jc w:val="both"/>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150048" w:rsidRPr="00150048" w:rsidRDefault="00150048" w:rsidP="00150048">
      <w:pPr>
        <w:spacing w:after="0" w:line="240" w:lineRule="auto"/>
        <w:contextualSpacing/>
        <w:jc w:val="both"/>
        <w:rPr>
          <w:rFonts w:ascii="Calibri" w:eastAsia="Times New Roman" w:hAnsi="Calibri" w:cs="Times New Roman"/>
          <w:b/>
          <w:bCs/>
          <w:lang w:eastAsia="sk-SK"/>
        </w:rPr>
      </w:pPr>
    </w:p>
    <w:p w:rsidR="00150048" w:rsidRPr="00150048" w:rsidRDefault="00150048" w:rsidP="00150048">
      <w:pPr>
        <w:pBdr>
          <w:top w:val="single" w:sz="4" w:space="1" w:color="auto"/>
          <w:left w:val="single" w:sz="4" w:space="4" w:color="auto"/>
          <w:bottom w:val="single" w:sz="4" w:space="0" w:color="auto"/>
          <w:right w:val="single" w:sz="4" w:space="4" w:color="auto"/>
        </w:pBdr>
        <w:spacing w:after="0" w:line="240" w:lineRule="auto"/>
        <w:contextualSpacing/>
        <w:jc w:val="both"/>
        <w:rPr>
          <w:rFonts w:ascii="Times New Roman" w:eastAsia="Times New Roman" w:hAnsi="Times New Roman" w:cs="Times New Roman"/>
          <w:b/>
          <w:bCs/>
          <w:sz w:val="24"/>
          <w:szCs w:val="24"/>
          <w:lang w:eastAsia="sk-SK"/>
        </w:rPr>
      </w:pPr>
      <w:r w:rsidRPr="00150048">
        <w:rPr>
          <w:rFonts w:ascii="Times New Roman" w:eastAsia="Calibri" w:hAnsi="Times New Roman" w:cs="Times New Roman"/>
          <w:sz w:val="24"/>
          <w:szCs w:val="24"/>
        </w:rPr>
        <w:t>Finančné prostriedky budú zabezpečené v rámci schváleného limitu výdavkov kapitoly Ministerstva vnútra Slovenskej republiky.</w:t>
      </w: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2.2. Popis a charakteristika návrhu</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p w:rsidR="00150048" w:rsidRPr="00150048" w:rsidRDefault="00150048" w:rsidP="00150048">
      <w:pPr>
        <w:spacing w:after="0" w:line="240" w:lineRule="auto"/>
        <w:contextualSpacing/>
        <w:jc w:val="both"/>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2.2.1. Popis návrhu:</w:t>
      </w:r>
    </w:p>
    <w:p w:rsidR="00150048" w:rsidRPr="00150048" w:rsidRDefault="00150048" w:rsidP="00150048">
      <w:pPr>
        <w:spacing w:after="0" w:line="240" w:lineRule="auto"/>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rPr>
        <w:tab/>
        <w:t xml:space="preserve">Cieľom je </w:t>
      </w:r>
      <w:r w:rsidRPr="00150048">
        <w:rPr>
          <w:rFonts w:ascii="Times New Roman" w:eastAsia="Calibri" w:hAnsi="Times New Roman" w:cs="Times New Roman"/>
          <w:sz w:val="24"/>
          <w:szCs w:val="24"/>
          <w:lang w:eastAsia="sk-SK"/>
        </w:rPr>
        <w:t>prijať novelu zákona o cestnej premávke, ktorou budú okrem iného zavedené jednorazové tabuľky so zvláštnym evidenčným číslom obsahujúcim písmeno C a M a zároveň u tabuliek so zvláštnym evidenčným číslom obsahujúcim písmeno C sa navrhuje, aby ich mohli vydávať len okresné úrady po podaní žiadosti o schválenie alebo uznanie technickej spôsobilosti na konkrétne vozidlá. Na financovanie nových jednorazových tabuliek so zvláštnym evidenčným číslom sa navrhuje zavedenie nového správneho poplatku 5 eur za pridelenie 1 kusu tabuľky so zvláštnym evidenčným číslom obsahujúcim písmeno C a M. Na základe počtov novopredaných vozidiel a vozidiel jednotlivo dovezených z cudziny sa predpokladá ročný objem 200 000 kusov tabuliek so zvláštnym evidenčným číslom obsahujúce písmeno M a 120 000 až 160 000 kusov takýchto tabuliek obsahujúcich písmeno C. Celkovo sa predpokladá ročný objem 320 000 až 360 000 kusov tabuliek.</w:t>
      </w:r>
    </w:p>
    <w:p w:rsidR="00150048" w:rsidRPr="00150048" w:rsidRDefault="00150048" w:rsidP="00150048">
      <w:pPr>
        <w:spacing w:after="0" w:line="240" w:lineRule="auto"/>
        <w:contextualSpacing/>
        <w:jc w:val="both"/>
        <w:rPr>
          <w:rFonts w:ascii="Times New Roman" w:eastAsia="Calibri" w:hAnsi="Times New Roman" w:cs="Times New Roman"/>
          <w:sz w:val="24"/>
          <w:szCs w:val="24"/>
          <w:lang w:eastAsia="sk-SK"/>
        </w:rPr>
      </w:pPr>
    </w:p>
    <w:p w:rsidR="00150048" w:rsidRPr="00150048" w:rsidRDefault="00150048" w:rsidP="00150048">
      <w:pPr>
        <w:spacing w:after="0" w:line="240" w:lineRule="auto"/>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ab/>
        <w:t>Pri predpokladaných ročných počtoch vydaných jednorazových tabuliek so zvláštnym evidenčným číslom v počte 360 000 ks a pri zavedení správneho poplatku 5 eur za 1 kus tabuľky vychádza ročný výnos na správnych poplatkoch vo výške 1 800 000 eur. Súčasťou finančného vplyvu novely zákona je 1 000 000 eur, ktoré budú potrebné na vykonanie úprav v informačnom systéme evidencia vozidiel a v súvisiacich elektronických službách. Táto suma by bola vynaložená len v roku 2025. Uvedená výška nákladov by nebola len na zavedenie samotných jednorazových tabuliek so zvláštnym evidenčným číslom, ale aj na ďalšie činnosti smerujúce k zlepšeniu podmienok pre verejnosť, ako aj pre podnikateľské prostredie, najmä</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umožnenie prihlasovania novozakúpených vozidiel, jednotlivo dovezených vozidiel do Slovenskej republiky a podania žiadostí o oznámenie vývozu vozidla do cudziny na ktoromkoľvek dopravnom inšpektoráte bez ohľadu na adresu trvalého pobytu alebo sídla držiteľa vozidla, podobne ako je tomu už v súčasnosti pri vykonávaní zmien držby vozidiel,</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lastRenderedPageBreak/>
        <w:t>zavedenie jednorazových prevozných tabuliek s evidenčným číslom, v dôsledku čoho nebude potrebné predajcom vozidiel vracať súčasné tabuľky v plechovom vyhotovení,</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pri vykonávaní zmeny držby vozidla z fyzickej osoby – podnikateľa na rovnakú fyzickú osobu a naopak sa za takúto zmenu nebude vyberať správny poplatok za štandardnú zmenu držby, len správny poplatok za vydanie nových dokladov od vozidla,</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pri elektronických službách vypustenie podmienky mať vydané elektronické osvedčenie o evidencii časť I,</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pri zmenách držby vozidiel autobazármi sa umožňuje za predávajúceho namiesto zmluvy o sprostredkovaní predaja vozidla predložiť kúpnu zmluvu k vozidlu,</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najmä pri zmenách držby autobazármi neplatí povinnosť priloženia písomného plnomocenstva alebo dokladu o nadobudnutí vlastníctva vozidla s osvedčeným podpisom osoby, na ktorú sa držba vozidla previedla, ak sa vozidlo prevádza na osobu, ktorá podľa prvej vety podpísala žiadosť o prevod držby vozidla,</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vypustenie vykonávania kontrol originality vozidiel pred ich oznámením na vývoz do cudziny, ktoré boli prvý krát prihlásené do evidencie vozidiel Slovenskej republiky najviac pred 60 dňami. V prípadoch jednotlivého dovozu vozidiel do Slovenskej republiky sa doterajší systém, vrátane povinnosti vykonávania kontrol originality vozidiel nemení,</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zavedenie novej elektronickej služby pre subjekty, ktorých predmetom činnosti je vykonávanie vývozov vozidiel do cudziny, čo doterajšia právna úprava neumožňovala. Zavedením takejto elektronickej služby bude eliminovaná potreba osobnej návštevy pracovníkov autobazárov na dopravných inšpektorátoch, čo napomôže k celkovému zlepšeniu podmienok prihlasovania vozidiel a vykonávania zmien pre občanov, ako aj pracovníkov dopravných inšpektorátoch,</w:t>
      </w:r>
    </w:p>
    <w:p w:rsidR="00150048" w:rsidRPr="00150048" w:rsidRDefault="00150048" w:rsidP="00150048">
      <w:pPr>
        <w:numPr>
          <w:ilvl w:val="0"/>
          <w:numId w:val="1"/>
        </w:numPr>
        <w:spacing w:after="0" w:line="240" w:lineRule="auto"/>
        <w:ind w:left="284" w:hanging="284"/>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zjednotenie vizuálu všetkých tabuliek so zvláštnym evidenčným číslom, kedy už nebude potrebné na nich uvádzať dvojicu písmen (pôvodne skratku okresu ich evidovania).</w:t>
      </w: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V súčasnosti dopravné inšpektoráty zapožičiavajú predajcom nových vozidiel plechové tabuľky so zvláštnym evidenčným číslom obsahujúcim písmeno M predajcom nových vozidiel, ktorí ich následne zapožičiavajú vlastníkom novozakúpených vozidiel. Vzhľadom na obmedzený počet takýchto tabuliek je v mnohých prípadoch problematické zo strany zákazníkov tieto tabuľky vrátiť späť predajcovi. Po zavedení jednorazových tabuliek so zvláštnym evidenčným číslom obsahujúcim písmeno M, na ktorých by predajcovia vyznačovali dobu ich platnosti, by už vlastníci vozidiel nemuseli tieto tabuľky vracať späť predajcom vozidiel. Zároveň zostáva zachovaná možnosť prideľovania plechových tabuliek so zvláštnym evidenčným číslom pre subjekty predávajúce najmä úžitkové vozidlá, ktoré môžu mať k takejto tabuľke vydané napr. mýtne jednotky.</w:t>
      </w: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Ďalšou významnou skutočnosťou zavedenia vydávania jednorazových tabuliek so zvláštnym evidenčným číslom s časovo obmedzenou platnosťou je obmedzenie priestoru na zneužívanie takýchto tabuliek, kedy boli vo viacerých prípadoch zaznamenané neoprávnené používanie najmä prevozných tabuliek obsahujúcim písmeno C, ktoré zapožičiavali občanom subjekty zabezpečujúce predaj vozidiel evidovaných v Slovenskej republike alebo v inom štáte. Takéto používanie tabuliek so zvláštnym evidenčným číslom bez vydania riadnych registračných dokladov osvedčenie o evidencii časť I a časť II je v rozpore s § 130 ods. 1 zákona o cestnej premávke.</w:t>
      </w: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Z uvedených skutočností vyplýva, že zavedenie jednorazových tabuliek so zvláštnym evidenčným číslom, ktorých vydanie sa navrhuje spoplatniť správnym poplatkom za vydane jedného kusu tabuľky vo výške 5 eur, by bolo samofinancovateľné a blízkej dobe by boli príjmy štátu zo správnych poplatkov vyššie ako vynaložené náklady.</w:t>
      </w: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lastRenderedPageBreak/>
        <w:t xml:space="preserve">Prvá fáza riešenia dokladov v mobile (na báze aplikácie MOU) umožní  každému držiteľovi občianskeho preukazu alebo vodičského preukazu SR preukázať sa eDokladmi na Slovensku ako alternatívou k použitiu týchto dokladov vo forme plastových kartičiek. </w:t>
      </w: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Vydávanie digitálnych preukazov od 1. januára 2025 nebude meniť zaužívané procesy vydávania fyzických preukazov v gescii MV SR. Fyzická osoba bude musieť stále byť držiteľom fyzickej podoby dokladu (plastovej kartičky) vydanej za podmienok príslušnej legislatívy, ktorá sa vzťahuje na konkrétny preukaz.</w:t>
      </w:r>
    </w:p>
    <w:p w:rsidR="00150048" w:rsidRPr="00150048" w:rsidRDefault="00150048" w:rsidP="00150048">
      <w:pPr>
        <w:spacing w:after="0" w:line="240" w:lineRule="auto"/>
        <w:ind w:firstLine="709"/>
        <w:contextualSpacing/>
        <w:jc w:val="both"/>
        <w:rPr>
          <w:rFonts w:ascii="Times New Roman" w:eastAsia="Calibri" w:hAnsi="Times New Roman" w:cs="Times New Roman"/>
          <w:sz w:val="24"/>
          <w:szCs w:val="24"/>
          <w:lang w:eastAsia="sk-SK"/>
        </w:rPr>
      </w:pPr>
      <w:r w:rsidRPr="00150048">
        <w:rPr>
          <w:rFonts w:ascii="Times New Roman" w:eastAsia="Calibri" w:hAnsi="Times New Roman" w:cs="Times New Roman"/>
          <w:sz w:val="24"/>
          <w:szCs w:val="24"/>
          <w:lang w:eastAsia="sk-SK"/>
        </w:rPr>
        <w:t>Podľa návrhu zákona bude možné od 1. januára 2025 digitálny občiansky preukaz a digitálny vodičský preukaz predložiť len príslušníkovi Policajného zboru alebo orgánu Policajného zboru pri plnení ich úloh okrem hraničnej kontroly (týka sa to najmä hliadok poriadkovej polície, dopravnej polície a železničnej polície).</w:t>
      </w:r>
    </w:p>
    <w:p w:rsidR="00150048" w:rsidRPr="00150048" w:rsidRDefault="00150048" w:rsidP="00150048">
      <w:pPr>
        <w:spacing w:after="0" w:line="240" w:lineRule="auto"/>
        <w:jc w:val="both"/>
        <w:rPr>
          <w:rFonts w:ascii="Times New Roman" w:eastAsia="Calibri" w:hAnsi="Times New Roman" w:cs="Times New Roman"/>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2.2.2. Charakteristika návrhu:</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sz w:val="24"/>
          <w:szCs w:val="24"/>
          <w:bdr w:val="single" w:sz="4" w:space="0" w:color="auto" w:frame="1"/>
          <w:lang w:eastAsia="sk-SK"/>
        </w:rPr>
        <w:t xml:space="preserve"> x  </w:t>
      </w:r>
      <w:r w:rsidRPr="00150048">
        <w:rPr>
          <w:rFonts w:ascii="Times New Roman" w:eastAsia="Times New Roman" w:hAnsi="Times New Roman" w:cs="Times New Roman"/>
          <w:b/>
          <w:sz w:val="24"/>
          <w:szCs w:val="24"/>
          <w:lang w:eastAsia="sk-SK"/>
        </w:rPr>
        <w:t xml:space="preserve">  </w:t>
      </w:r>
      <w:r w:rsidRPr="00150048">
        <w:rPr>
          <w:rFonts w:ascii="Times New Roman" w:eastAsia="Times New Roman" w:hAnsi="Times New Roman" w:cs="Times New Roman"/>
          <w:sz w:val="24"/>
          <w:szCs w:val="24"/>
          <w:lang w:eastAsia="sk-SK"/>
        </w:rPr>
        <w:t>zmena sadzby</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bdr w:val="single" w:sz="4" w:space="0" w:color="auto" w:frame="1"/>
          <w:lang w:eastAsia="sk-SK"/>
        </w:rPr>
        <w:t xml:space="preserve">     </w:t>
      </w:r>
      <w:r w:rsidRPr="00150048">
        <w:rPr>
          <w:rFonts w:ascii="Times New Roman" w:eastAsia="Times New Roman" w:hAnsi="Times New Roman" w:cs="Times New Roman"/>
          <w:sz w:val="24"/>
          <w:szCs w:val="24"/>
          <w:lang w:eastAsia="sk-SK"/>
        </w:rPr>
        <w:t xml:space="preserve">  zmena v nároku</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bdr w:val="single" w:sz="4" w:space="0" w:color="auto" w:frame="1"/>
          <w:lang w:eastAsia="sk-SK"/>
        </w:rPr>
        <w:t xml:space="preserve"> </w:t>
      </w:r>
      <w:r w:rsidRPr="00150048">
        <w:rPr>
          <w:rFonts w:ascii="Times New Roman" w:eastAsia="Times New Roman" w:hAnsi="Times New Roman" w:cs="Times New Roman"/>
          <w:b/>
          <w:sz w:val="24"/>
          <w:szCs w:val="24"/>
          <w:bdr w:val="single" w:sz="4" w:space="0" w:color="auto" w:frame="1"/>
          <w:lang w:eastAsia="sk-SK"/>
        </w:rPr>
        <w:t>x</w:t>
      </w:r>
      <w:r w:rsidRPr="00150048">
        <w:rPr>
          <w:rFonts w:ascii="Times New Roman" w:eastAsia="Times New Roman" w:hAnsi="Times New Roman" w:cs="Times New Roman"/>
          <w:sz w:val="24"/>
          <w:szCs w:val="24"/>
          <w:bdr w:val="single" w:sz="4" w:space="0" w:color="auto" w:frame="1"/>
          <w:lang w:eastAsia="sk-SK"/>
        </w:rPr>
        <w:t xml:space="preserve">  </w:t>
      </w:r>
      <w:r w:rsidRPr="00150048">
        <w:rPr>
          <w:rFonts w:ascii="Times New Roman" w:eastAsia="Times New Roman" w:hAnsi="Times New Roman" w:cs="Times New Roman"/>
          <w:sz w:val="24"/>
          <w:szCs w:val="24"/>
          <w:lang w:eastAsia="sk-SK"/>
        </w:rPr>
        <w:t xml:space="preserve">  nová služba alebo nariadenie (alebo ich zrušenie)</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bdr w:val="single" w:sz="4" w:space="0" w:color="auto" w:frame="1"/>
          <w:lang w:eastAsia="sk-SK"/>
        </w:rPr>
        <w:t xml:space="preserve">     </w:t>
      </w:r>
      <w:r w:rsidRPr="00150048">
        <w:rPr>
          <w:rFonts w:ascii="Times New Roman" w:eastAsia="Times New Roman" w:hAnsi="Times New Roman" w:cs="Times New Roman"/>
          <w:sz w:val="24"/>
          <w:szCs w:val="24"/>
          <w:lang w:eastAsia="sk-SK"/>
        </w:rPr>
        <w:t xml:space="preserve">  kombinovaný návrh</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bdr w:val="single" w:sz="4" w:space="0" w:color="auto" w:frame="1"/>
          <w:lang w:eastAsia="sk-SK"/>
        </w:rPr>
        <w:t xml:space="preserve">     </w:t>
      </w:r>
      <w:r w:rsidRPr="00150048">
        <w:rPr>
          <w:rFonts w:ascii="Times New Roman" w:eastAsia="Times New Roman" w:hAnsi="Times New Roman" w:cs="Times New Roman"/>
          <w:sz w:val="24"/>
          <w:szCs w:val="24"/>
          <w:lang w:eastAsia="sk-SK"/>
        </w:rPr>
        <w:t xml:space="preserve">  iné </w:t>
      </w: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bCs/>
          <w:sz w:val="24"/>
          <w:szCs w:val="24"/>
          <w:lang w:eastAsia="sk-SK"/>
        </w:rPr>
        <w:t>2.2.3. Predpoklady vývoja objemu aktivít:</w:t>
      </w:r>
    </w:p>
    <w:p w:rsidR="00150048" w:rsidRPr="00150048" w:rsidRDefault="00150048" w:rsidP="00150048">
      <w:pPr>
        <w:spacing w:after="0" w:line="240" w:lineRule="auto"/>
        <w:contextualSpacing/>
        <w:jc w:val="right"/>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0"/>
        <w:gridCol w:w="1134"/>
        <w:gridCol w:w="1134"/>
        <w:gridCol w:w="1134"/>
        <w:gridCol w:w="1134"/>
      </w:tblGrid>
      <w:tr w:rsidR="00150048" w:rsidRPr="00150048" w:rsidTr="00150048">
        <w:trPr>
          <w:cantSplit/>
          <w:trHeight w:val="70"/>
        </w:trPr>
        <w:tc>
          <w:tcPr>
            <w:tcW w:w="453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Objem aktivít</w:t>
            </w:r>
          </w:p>
        </w:tc>
        <w:tc>
          <w:tcPr>
            <w:tcW w:w="4536" w:type="dxa"/>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Odhadované objemy</w:t>
            </w:r>
          </w:p>
        </w:tc>
      </w:tr>
      <w:tr w:rsidR="00150048" w:rsidRPr="00150048" w:rsidTr="00150048">
        <w:trPr>
          <w:cantSplit/>
          <w:trHeight w:val="70"/>
        </w:trPr>
        <w:tc>
          <w:tcPr>
            <w:tcW w:w="4530" w:type="dxa"/>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2025</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2026</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2027</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2028</w:t>
            </w:r>
          </w:p>
        </w:tc>
      </w:tr>
      <w:tr w:rsidR="00150048" w:rsidRPr="00150048" w:rsidTr="0085568D">
        <w:trPr>
          <w:trHeight w:val="70"/>
        </w:trPr>
        <w:tc>
          <w:tcPr>
            <w:tcW w:w="4530" w:type="dxa"/>
            <w:tcBorders>
              <w:top w:val="single" w:sz="4" w:space="0" w:color="auto"/>
              <w:left w:val="single" w:sz="4" w:space="0" w:color="auto"/>
              <w:bottom w:val="single" w:sz="4" w:space="0" w:color="auto"/>
              <w:right w:val="single" w:sz="4" w:space="0" w:color="auto"/>
            </w:tcBorders>
            <w:hideMark/>
          </w:tcPr>
          <w:p w:rsidR="00150048" w:rsidRPr="00150048" w:rsidRDefault="00150048" w:rsidP="00150048">
            <w:pPr>
              <w:autoSpaceDE w:val="0"/>
              <w:autoSpaceDN w:val="0"/>
              <w:adjustRightInd w:val="0"/>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Indikátor ABC</w:t>
            </w: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r>
      <w:tr w:rsidR="00150048" w:rsidRPr="00150048" w:rsidTr="0085568D">
        <w:trPr>
          <w:trHeight w:val="70"/>
        </w:trPr>
        <w:tc>
          <w:tcPr>
            <w:tcW w:w="4530" w:type="dxa"/>
            <w:tcBorders>
              <w:top w:val="single" w:sz="4" w:space="0" w:color="auto"/>
              <w:left w:val="single" w:sz="4" w:space="0" w:color="auto"/>
              <w:bottom w:val="single" w:sz="4" w:space="0" w:color="auto"/>
              <w:right w:val="single" w:sz="4" w:space="0" w:color="auto"/>
            </w:tcBorders>
            <w:hideMark/>
          </w:tcPr>
          <w:p w:rsidR="00150048" w:rsidRPr="00150048" w:rsidRDefault="00150048" w:rsidP="00150048">
            <w:pPr>
              <w:autoSpaceDE w:val="0"/>
              <w:autoSpaceDN w:val="0"/>
              <w:adjustRightInd w:val="0"/>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Indikátor KLM</w:t>
            </w: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r>
      <w:tr w:rsidR="00150048" w:rsidRPr="00150048" w:rsidTr="0085568D">
        <w:trPr>
          <w:trHeight w:val="70"/>
        </w:trPr>
        <w:tc>
          <w:tcPr>
            <w:tcW w:w="4530" w:type="dxa"/>
            <w:tcBorders>
              <w:top w:val="single" w:sz="4" w:space="0" w:color="auto"/>
              <w:left w:val="single" w:sz="4" w:space="0" w:color="auto"/>
              <w:bottom w:val="single" w:sz="4" w:space="0" w:color="auto"/>
              <w:right w:val="single" w:sz="4" w:space="0" w:color="auto"/>
            </w:tcBorders>
            <w:hideMark/>
          </w:tcPr>
          <w:p w:rsidR="00150048" w:rsidRPr="00150048" w:rsidRDefault="00150048" w:rsidP="00150048">
            <w:pPr>
              <w:autoSpaceDE w:val="0"/>
              <w:autoSpaceDN w:val="0"/>
              <w:adjustRightInd w:val="0"/>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Indikátor XYZ</w:t>
            </w: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c>
          <w:tcPr>
            <w:tcW w:w="1134" w:type="dxa"/>
            <w:tcBorders>
              <w:top w:val="single" w:sz="4" w:space="0" w:color="auto"/>
              <w:left w:val="single" w:sz="4" w:space="0" w:color="auto"/>
              <w:bottom w:val="single" w:sz="4" w:space="0" w:color="auto"/>
              <w:right w:val="single" w:sz="4" w:space="0" w:color="auto"/>
            </w:tcBorders>
          </w:tcPr>
          <w:p w:rsidR="00150048" w:rsidRPr="00150048" w:rsidRDefault="00150048" w:rsidP="00150048">
            <w:pPr>
              <w:autoSpaceDE w:val="0"/>
              <w:autoSpaceDN w:val="0"/>
              <w:adjustRightInd w:val="0"/>
              <w:spacing w:after="0" w:line="240" w:lineRule="auto"/>
              <w:contextualSpacing/>
              <w:jc w:val="right"/>
              <w:rPr>
                <w:rFonts w:ascii="Times New Roman" w:eastAsia="Times New Roman" w:hAnsi="Times New Roman" w:cs="Times New Roman"/>
                <w:sz w:val="24"/>
                <w:szCs w:val="24"/>
                <w:lang w:eastAsia="sk-SK"/>
              </w:rPr>
            </w:pPr>
          </w:p>
        </w:tc>
      </w:tr>
    </w:tbl>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2.2.4. Výpočty vplyvov na verejné financie</w:t>
      </w:r>
    </w:p>
    <w:p w:rsidR="00150048" w:rsidRPr="00150048" w:rsidRDefault="00150048" w:rsidP="00150048">
      <w:pPr>
        <w:spacing w:after="0" w:line="240" w:lineRule="auto"/>
        <w:ind w:left="426"/>
        <w:contextualSpacing/>
        <w:jc w:val="both"/>
        <w:rPr>
          <w:rFonts w:ascii="Times New Roman" w:eastAsia="Calibri" w:hAnsi="Times New Roman" w:cs="Times New Roman"/>
          <w:sz w:val="24"/>
          <w:szCs w:val="24"/>
        </w:rPr>
      </w:pPr>
      <w:r w:rsidRPr="00150048">
        <w:rPr>
          <w:rFonts w:ascii="Times New Roman" w:eastAsia="Calibri" w:hAnsi="Times New Roman" w:cs="Times New Roman"/>
          <w:sz w:val="24"/>
          <w:szCs w:val="24"/>
        </w:rPr>
        <w:t xml:space="preserve">Návrh novely zákona má pozitívny vplyv na rozpočet verejnej správy. </w:t>
      </w:r>
    </w:p>
    <w:p w:rsidR="00150048" w:rsidRPr="00150048" w:rsidRDefault="00150048" w:rsidP="00150048">
      <w:pPr>
        <w:spacing w:after="0" w:line="240" w:lineRule="auto"/>
        <w:ind w:left="426"/>
        <w:contextualSpacing/>
        <w:jc w:val="both"/>
        <w:rPr>
          <w:rFonts w:ascii="Times New Roman" w:eastAsia="Calibri" w:hAnsi="Times New Roman" w:cs="Times New Roman"/>
        </w:rPr>
      </w:pPr>
    </w:p>
    <w:p w:rsidR="00150048" w:rsidRPr="00150048" w:rsidRDefault="00150048" w:rsidP="00150048">
      <w:pPr>
        <w:spacing w:after="0" w:line="240" w:lineRule="auto"/>
        <w:ind w:firstLine="426"/>
        <w:contextualSpacing/>
        <w:jc w:val="both"/>
        <w:rPr>
          <w:rFonts w:ascii="Times New Roman" w:eastAsia="Calibri" w:hAnsi="Times New Roman" w:cs="Times New Roman"/>
          <w:sz w:val="24"/>
          <w:szCs w:val="24"/>
        </w:rPr>
      </w:pPr>
      <w:r w:rsidRPr="00150048">
        <w:rPr>
          <w:rFonts w:ascii="Times New Roman" w:eastAsia="Calibri" w:hAnsi="Times New Roman" w:cs="Times New Roman"/>
          <w:sz w:val="24"/>
          <w:szCs w:val="24"/>
        </w:rPr>
        <w:t xml:space="preserve">Za predpokladu výdaja tabuliek so zvláštnym evidenčným číslom v nasledovných rokoch v počte 360 000 kusov a zavedenia správneho poplatku 5 eur za 1 kus sa očakáva príjem štátneho rozpočtu 1 800 000 eur ročne. Náklady na vyhotovenie tabuľky so zvláštnym evidenčným predstavujú cca 1 euro za 1 kus, náklady ročne predstavujú 360 000 eur. </w:t>
      </w:r>
    </w:p>
    <w:p w:rsidR="00150048" w:rsidRPr="00150048" w:rsidRDefault="00150048" w:rsidP="00150048">
      <w:pPr>
        <w:spacing w:after="0" w:line="240" w:lineRule="auto"/>
        <w:ind w:firstLine="426"/>
        <w:contextualSpacing/>
        <w:jc w:val="both"/>
        <w:rPr>
          <w:rFonts w:ascii="Times New Roman" w:eastAsia="Calibri" w:hAnsi="Times New Roman" w:cs="Times New Roman"/>
          <w:sz w:val="24"/>
          <w:szCs w:val="24"/>
        </w:rPr>
      </w:pPr>
    </w:p>
    <w:p w:rsidR="00150048" w:rsidRPr="00150048" w:rsidRDefault="00150048" w:rsidP="00150048">
      <w:pPr>
        <w:spacing w:after="0" w:line="240" w:lineRule="auto"/>
        <w:ind w:firstLine="426"/>
        <w:contextualSpacing/>
        <w:jc w:val="both"/>
        <w:rPr>
          <w:rFonts w:ascii="Times New Roman" w:eastAsia="Calibri" w:hAnsi="Times New Roman" w:cs="Times New Roman"/>
          <w:sz w:val="24"/>
          <w:szCs w:val="24"/>
        </w:rPr>
      </w:pPr>
      <w:r w:rsidRPr="00150048">
        <w:rPr>
          <w:rFonts w:ascii="Times New Roman" w:eastAsia="Calibri" w:hAnsi="Times New Roman" w:cs="Times New Roman"/>
          <w:sz w:val="24"/>
          <w:szCs w:val="24"/>
        </w:rPr>
        <w:t xml:space="preserve">Do vplyvov na verejné financie bolo potrebné pripočítať náklady na úpravy systému evidencia vozidiel a súvisiacich elektronických služieb, čo bolo vyčíslené na 1 000 000 eur s DPH. Tento náklad bude uplatnený len v roku 2025. </w:t>
      </w:r>
    </w:p>
    <w:p w:rsidR="00150048" w:rsidRPr="00150048" w:rsidRDefault="00150048" w:rsidP="00150048">
      <w:pPr>
        <w:spacing w:after="0" w:line="240" w:lineRule="auto"/>
        <w:ind w:firstLine="426"/>
        <w:contextualSpacing/>
        <w:jc w:val="both"/>
        <w:rPr>
          <w:rFonts w:ascii="Times New Roman" w:eastAsia="Calibri" w:hAnsi="Times New Roman" w:cs="Times New Roman"/>
          <w:sz w:val="24"/>
          <w:szCs w:val="24"/>
        </w:rPr>
      </w:pPr>
    </w:p>
    <w:p w:rsidR="00150048" w:rsidRPr="00150048" w:rsidRDefault="00150048" w:rsidP="00150048">
      <w:pPr>
        <w:spacing w:after="0" w:line="240" w:lineRule="auto"/>
        <w:ind w:firstLine="426"/>
        <w:contextualSpacing/>
        <w:jc w:val="both"/>
        <w:rPr>
          <w:rFonts w:ascii="Times New Roman" w:eastAsia="Calibri" w:hAnsi="Times New Roman" w:cs="Times New Roman"/>
          <w:sz w:val="24"/>
          <w:szCs w:val="24"/>
        </w:rPr>
      </w:pPr>
      <w:r w:rsidRPr="00150048">
        <w:rPr>
          <w:rFonts w:ascii="Times New Roman" w:eastAsia="Calibri" w:hAnsi="Times New Roman" w:cs="Times New Roman"/>
          <w:sz w:val="24"/>
          <w:szCs w:val="24"/>
        </w:rPr>
        <w:t>V rámci čl. III sa v nadväznosti na zmeny v čl. I vypúšťa písmeno e) v položke 76 sadzobníka správnych poplatkov, t. j. správny poplatok za pridelenie evidenčného čísla a vydanie tabuľky s evidenčným číslom vyrobenej zo zmesi polykarbonátu a polyesteru vyžarujúcej svetlo pri zapnutom osvetlení vozidla pri zápise vozidla do evidencie alebo pridelenie evidenčného čísla a vydanie takejto tabuľky s evidenčným číslom za stratenú, zničenú, poškodenú, odcudzenú alebo neupotrebiteľnú tabuľku alebo vydanie duplikátu takejto tabuľky s pôvodne prideleným evidenčným číslom</w:t>
      </w:r>
      <w:r w:rsidRPr="00150048">
        <w:rPr>
          <w:rFonts w:ascii="Calibri" w:eastAsia="Calibri" w:hAnsi="Calibri" w:cs="Times New Roman"/>
        </w:rPr>
        <w:t xml:space="preserve"> </w:t>
      </w:r>
      <w:r w:rsidRPr="00150048">
        <w:rPr>
          <w:rFonts w:ascii="Times New Roman" w:eastAsia="Calibri" w:hAnsi="Times New Roman" w:cs="Times New Roman"/>
          <w:sz w:val="24"/>
          <w:szCs w:val="24"/>
        </w:rPr>
        <w:t xml:space="preserve">alebo s evidenčným číslom vytvoreným na základe požiadavky držiteľa vozidla. Takéto tabuľky s evidenčným číslom sa prestali vyrábať od 1. januára 2022 po ukončení  zmluvného vzťahu s pôvodným dodávateľom. Odvtedy sa už </w:t>
      </w:r>
      <w:r w:rsidRPr="00150048">
        <w:rPr>
          <w:rFonts w:ascii="Times New Roman" w:eastAsia="Calibri" w:hAnsi="Times New Roman" w:cs="Times New Roman"/>
          <w:sz w:val="24"/>
          <w:szCs w:val="24"/>
        </w:rPr>
        <w:lastRenderedPageBreak/>
        <w:t>takéto tabuľky nevyrábajú. Z uvedeného dôvodu nedochádza k negatívnemu vplyvu na štátny rozpočet, keďže sa všetky tabuľky vyrábajú zo zliatin ľahkých kovov.</w:t>
      </w:r>
    </w:p>
    <w:p w:rsidR="00150048" w:rsidRPr="00150048" w:rsidRDefault="00150048" w:rsidP="00150048">
      <w:pPr>
        <w:tabs>
          <w:tab w:val="num" w:pos="1080"/>
        </w:tabs>
        <w:spacing w:after="0" w:line="240" w:lineRule="auto"/>
        <w:contextualSpacing/>
        <w:jc w:val="both"/>
        <w:rPr>
          <w:rFonts w:ascii="Times New Roman" w:eastAsia="Times New Roman" w:hAnsi="Times New Roman" w:cs="Times New Roman"/>
          <w:bCs/>
          <w:sz w:val="24"/>
          <w:szCs w:val="24"/>
          <w:lang w:eastAsia="sk-SK"/>
        </w:rPr>
      </w:pPr>
    </w:p>
    <w:p w:rsidR="00150048" w:rsidRPr="00150048" w:rsidRDefault="00150048" w:rsidP="00150048">
      <w:pPr>
        <w:spacing w:after="0" w:line="240" w:lineRule="auto"/>
        <w:contextualSpacing/>
        <w:rPr>
          <w:rFonts w:ascii="Times New Roman" w:eastAsia="Times New Roman" w:hAnsi="Times New Roman" w:cs="Times New Roman"/>
          <w:bCs/>
          <w:sz w:val="24"/>
          <w:szCs w:val="20"/>
          <w:lang w:eastAsia="sk-SK"/>
        </w:rPr>
        <w:sectPr w:rsidR="00150048" w:rsidRPr="00150048" w:rsidSect="00F21A9F">
          <w:footerReference w:type="default" r:id="rId5"/>
          <w:pgSz w:w="11906" w:h="16838"/>
          <w:pgMar w:top="1417" w:right="1417" w:bottom="1276" w:left="1417" w:header="708" w:footer="708" w:gutter="0"/>
          <w:cols w:space="708"/>
        </w:sectPr>
      </w:pPr>
    </w:p>
    <w:p w:rsidR="00150048" w:rsidRPr="00150048" w:rsidRDefault="00150048" w:rsidP="00150048">
      <w:pPr>
        <w:tabs>
          <w:tab w:val="num" w:pos="1080"/>
        </w:tabs>
        <w:spacing w:after="0" w:line="240" w:lineRule="auto"/>
        <w:contextualSpacing/>
        <w:jc w:val="right"/>
        <w:rPr>
          <w:rFonts w:ascii="Times New Roman" w:eastAsia="Times New Roman" w:hAnsi="Times New Roman" w:cs="Times New Roman"/>
          <w:bCs/>
          <w:sz w:val="24"/>
          <w:szCs w:val="24"/>
          <w:lang w:eastAsia="sk-SK"/>
        </w:rPr>
      </w:pPr>
      <w:r w:rsidRPr="00150048">
        <w:rPr>
          <w:rFonts w:ascii="Times New Roman" w:eastAsia="Times New Roman" w:hAnsi="Times New Roman" w:cs="Times New Roman"/>
          <w:bCs/>
          <w:sz w:val="24"/>
          <w:szCs w:val="24"/>
          <w:lang w:eastAsia="sk-SK"/>
        </w:rPr>
        <w:lastRenderedPageBreak/>
        <w:t xml:space="preserve">Tabuľka č. 3 </w:t>
      </w:r>
    </w:p>
    <w:p w:rsidR="00150048" w:rsidRPr="00150048" w:rsidRDefault="00150048" w:rsidP="00150048">
      <w:pPr>
        <w:tabs>
          <w:tab w:val="num" w:pos="1080"/>
        </w:tabs>
        <w:spacing w:after="0" w:line="240" w:lineRule="auto"/>
        <w:contextualSpacing/>
        <w:jc w:val="both"/>
        <w:rPr>
          <w:rFonts w:ascii="Times New Roman" w:eastAsia="Times New Roman" w:hAnsi="Times New Roman" w:cs="Times New Roman"/>
          <w:bCs/>
          <w:sz w:val="24"/>
          <w:szCs w:val="20"/>
          <w:lang w:eastAsia="sk-SK"/>
        </w:rPr>
      </w:pPr>
    </w:p>
    <w:tbl>
      <w:tblPr>
        <w:tblpPr w:leftFromText="141" w:rightFromText="141" w:bottomFromText="200" w:horzAnchor="margin" w:tblpXSpec="center" w:tblpY="533"/>
        <w:tblW w:w="13950" w:type="dxa"/>
        <w:tblCellMar>
          <w:left w:w="70" w:type="dxa"/>
          <w:right w:w="70" w:type="dxa"/>
        </w:tblCellMar>
        <w:tblLook w:val="04A0" w:firstRow="1" w:lastRow="0" w:firstColumn="1" w:lastColumn="0" w:noHBand="0" w:noVBand="1"/>
      </w:tblPr>
      <w:tblGrid>
        <w:gridCol w:w="4950"/>
        <w:gridCol w:w="1500"/>
        <w:gridCol w:w="1500"/>
        <w:gridCol w:w="1500"/>
        <w:gridCol w:w="1500"/>
        <w:gridCol w:w="3000"/>
      </w:tblGrid>
      <w:tr w:rsidR="00150048" w:rsidRPr="00150048" w:rsidTr="00150048">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poznámka</w:t>
            </w:r>
          </w:p>
        </w:tc>
      </w:tr>
      <w:tr w:rsidR="00150048" w:rsidRPr="00150048" w:rsidTr="00150048">
        <w:trPr>
          <w:cantSplit/>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r>
      <w:tr w:rsidR="00150048" w:rsidRPr="00150048" w:rsidTr="0085568D">
        <w:trPr>
          <w:trHeight w:val="255"/>
        </w:trPr>
        <w:tc>
          <w:tcPr>
            <w:tcW w:w="495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vertAlign w:val="superscript"/>
                <w:lang w:eastAsia="sk-SK"/>
              </w:rPr>
            </w:pPr>
            <w:r w:rsidRPr="00150048">
              <w:rPr>
                <w:rFonts w:ascii="Times New Roman" w:eastAsia="Times New Roman" w:hAnsi="Times New Roman" w:cs="Times New Roman"/>
                <w:b/>
                <w:bCs/>
                <w:sz w:val="24"/>
                <w:szCs w:val="24"/>
                <w:lang w:eastAsia="sk-SK"/>
              </w:rPr>
              <w:t>Daňové príjmy (100)</w:t>
            </w:r>
            <w:r w:rsidRPr="00150048">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300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495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Nedaňové príjmy (200)</w:t>
            </w:r>
            <w:r w:rsidRPr="00150048">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900 000</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300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495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Granty a transfery (300)</w:t>
            </w:r>
            <w:r w:rsidRPr="00150048">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50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300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495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495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150048">
        <w:trPr>
          <w:trHeight w:val="255"/>
        </w:trPr>
        <w:tc>
          <w:tcPr>
            <w:tcW w:w="4950" w:type="dxa"/>
            <w:tcBorders>
              <w:top w:val="nil"/>
              <w:left w:val="single" w:sz="4" w:space="0" w:color="auto"/>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Dopad na príjmy verejnej správy celkom</w:t>
            </w:r>
          </w:p>
        </w:tc>
        <w:tc>
          <w:tcPr>
            <w:tcW w:w="150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900 000</w:t>
            </w:r>
          </w:p>
        </w:tc>
        <w:tc>
          <w:tcPr>
            <w:tcW w:w="150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150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150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1 800 000</w:t>
            </w:r>
          </w:p>
        </w:tc>
        <w:tc>
          <w:tcPr>
            <w:tcW w:w="3000" w:type="dxa"/>
            <w:tcBorders>
              <w:top w:val="nil"/>
              <w:left w:val="nil"/>
              <w:bottom w:val="single" w:sz="4" w:space="0" w:color="auto"/>
              <w:right w:val="single" w:sz="4" w:space="0" w:color="auto"/>
            </w:tcBorders>
            <w:shd w:val="clear" w:color="auto" w:fill="BFBFBF"/>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bl>
    <w:p w:rsidR="00150048" w:rsidRPr="00150048" w:rsidRDefault="00150048" w:rsidP="00150048">
      <w:pPr>
        <w:tabs>
          <w:tab w:val="num" w:pos="1080"/>
        </w:tabs>
        <w:spacing w:after="0" w:line="240" w:lineRule="auto"/>
        <w:ind w:right="-32"/>
        <w:contextualSpacing/>
        <w:jc w:val="right"/>
        <w:rPr>
          <w:rFonts w:ascii="Times New Roman" w:eastAsia="Times New Roman" w:hAnsi="Times New Roman" w:cs="Times New Roman"/>
          <w:bCs/>
          <w:sz w:val="24"/>
          <w:szCs w:val="24"/>
          <w:lang w:eastAsia="sk-SK"/>
        </w:rPr>
      </w:pPr>
      <w:r w:rsidRPr="00150048">
        <w:rPr>
          <w:rFonts w:ascii="Times New Roman" w:eastAsia="Times New Roman" w:hAnsi="Times New Roman" w:cs="Times New Roman"/>
          <w:bCs/>
          <w:sz w:val="24"/>
          <w:szCs w:val="24"/>
          <w:lang w:eastAsia="sk-SK"/>
        </w:rPr>
        <w:t>Tabuľka č. 4/A</w:t>
      </w:r>
    </w:p>
    <w:tbl>
      <w:tblPr>
        <w:tblpPr w:leftFromText="141" w:rightFromText="141" w:bottomFromText="200" w:vertAnchor="text" w:horzAnchor="page" w:tblpX="629" w:tblpY="2"/>
        <w:tblW w:w="15450" w:type="dxa"/>
        <w:tblCellMar>
          <w:left w:w="70" w:type="dxa"/>
          <w:right w:w="70" w:type="dxa"/>
        </w:tblCellMar>
        <w:tblLook w:val="04A0" w:firstRow="1" w:lastRow="0" w:firstColumn="1" w:lastColumn="0" w:noHBand="0" w:noVBand="1"/>
      </w:tblPr>
      <w:tblGrid>
        <w:gridCol w:w="7070"/>
        <w:gridCol w:w="1540"/>
        <w:gridCol w:w="1540"/>
        <w:gridCol w:w="1540"/>
        <w:gridCol w:w="1540"/>
        <w:gridCol w:w="2220"/>
      </w:tblGrid>
      <w:tr w:rsidR="00150048" w:rsidRPr="00150048" w:rsidTr="00150048">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Vplyv na rozpočet verejnej správy</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poznámka</w:t>
            </w:r>
          </w:p>
        </w:tc>
      </w:tr>
      <w:tr w:rsidR="00150048" w:rsidRPr="00150048" w:rsidTr="00150048">
        <w:trPr>
          <w:cantSplit/>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Bežné výdavky (600)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180 000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360 000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360 000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0"/>
                <w:szCs w:val="24"/>
                <w:lang w:eastAsia="sk-SK"/>
              </w:rPr>
              <w:t>360 000</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Mzdy, platy, služobné príjmy a ostatné osobné vyrovnania (610)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vertAlign w:val="superscript"/>
                <w:lang w:eastAsia="sk-SK"/>
              </w:rPr>
            </w:pPr>
            <w:r w:rsidRPr="00150048">
              <w:rPr>
                <w:rFonts w:ascii="Times New Roman" w:eastAsia="Times New Roman" w:hAnsi="Times New Roman" w:cs="Times New Roman"/>
                <w:sz w:val="20"/>
                <w:szCs w:val="20"/>
                <w:lang w:eastAsia="sk-SK"/>
              </w:rPr>
              <w:t xml:space="preserve">  Poistné a príspevok do poisťovní (620)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vertAlign w:val="superscript"/>
                <w:lang w:eastAsia="sk-SK"/>
              </w:rPr>
            </w:pPr>
            <w:r w:rsidRPr="00150048">
              <w:rPr>
                <w:rFonts w:ascii="Times New Roman" w:eastAsia="Times New Roman" w:hAnsi="Times New Roman" w:cs="Times New Roman"/>
                <w:sz w:val="20"/>
                <w:szCs w:val="20"/>
                <w:lang w:eastAsia="sk-SK"/>
              </w:rPr>
              <w:t xml:space="preserve">  Tovary a služby (630)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180 000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360 000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360 000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360 000</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Bežné transfery (640)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Splácanie úrokov a ostatné platby súvisiace s </w:t>
            </w:r>
            <w:r w:rsidRPr="00150048">
              <w:rPr>
                <w:rFonts w:ascii="Calibri" w:eastAsia="Calibri" w:hAnsi="Calibri" w:cs="Times New Roman"/>
              </w:rPr>
              <w:t xml:space="preserve"> </w:t>
            </w:r>
            <w:r w:rsidRPr="00150048">
              <w:rPr>
                <w:rFonts w:ascii="Times New Roman" w:eastAsia="Times New Roman" w:hAnsi="Times New Roman" w:cs="Times New Roman"/>
                <w:sz w:val="20"/>
                <w:szCs w:val="20"/>
                <w:lang w:eastAsia="sk-SK"/>
              </w:rPr>
              <w:t>úverom, pôžičkou, návratnou finančnou výpomocou a finančným prenájmom (650)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Kapitálové výdavky (700)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8 275 422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9 553 843</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3 720 000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Obstarávanie kapitálových aktív (710)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8 275 422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bCs/>
                <w:sz w:val="20"/>
                <w:szCs w:val="20"/>
                <w:lang w:eastAsia="sk-SK"/>
              </w:rPr>
              <w:t>9 553 843</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3 720 000</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Kapitálové transfery (720)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Výdavky z transakcií s finančnými aktívami a finančnými pasívami (800)</w:t>
            </w:r>
          </w:p>
        </w:tc>
        <w:tc>
          <w:tcPr>
            <w:tcW w:w="154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FFFF99"/>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150048">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Dopad na výdavky verejnej správy celkom</w:t>
            </w:r>
          </w:p>
        </w:tc>
        <w:tc>
          <w:tcPr>
            <w:tcW w:w="1540" w:type="dxa"/>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8 455 422</w:t>
            </w:r>
          </w:p>
        </w:tc>
        <w:tc>
          <w:tcPr>
            <w:tcW w:w="1540" w:type="dxa"/>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9 913 843</w:t>
            </w:r>
          </w:p>
        </w:tc>
        <w:tc>
          <w:tcPr>
            <w:tcW w:w="1540" w:type="dxa"/>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4 080 000</w:t>
            </w:r>
          </w:p>
        </w:tc>
        <w:tc>
          <w:tcPr>
            <w:tcW w:w="1540" w:type="dxa"/>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0"/>
                <w:szCs w:val="24"/>
                <w:lang w:eastAsia="sk-SK"/>
              </w:rPr>
              <w:t>360 000</w:t>
            </w:r>
          </w:p>
        </w:tc>
        <w:tc>
          <w:tcPr>
            <w:tcW w:w="2220" w:type="dxa"/>
            <w:tcBorders>
              <w:top w:val="single" w:sz="4" w:space="0" w:color="auto"/>
              <w:left w:val="nil"/>
              <w:bottom w:val="single" w:sz="4" w:space="0" w:color="auto"/>
              <w:right w:val="single" w:sz="4" w:space="0" w:color="auto"/>
            </w:tcBorders>
            <w:shd w:val="clear" w:color="auto" w:fill="BFBFBF"/>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bl>
    <w:p w:rsidR="00150048" w:rsidRPr="00150048" w:rsidRDefault="00150048" w:rsidP="00150048">
      <w:pPr>
        <w:tabs>
          <w:tab w:val="num" w:pos="1080"/>
        </w:tabs>
        <w:spacing w:after="0" w:line="240" w:lineRule="auto"/>
        <w:ind w:left="-900"/>
        <w:contextualSpacing/>
        <w:jc w:val="both"/>
        <w:rPr>
          <w:rFonts w:ascii="Times New Roman" w:eastAsia="Times New Roman" w:hAnsi="Times New Roman" w:cs="Times New Roman"/>
          <w:bCs/>
          <w:sz w:val="20"/>
          <w:szCs w:val="20"/>
          <w:lang w:eastAsia="sk-SK"/>
        </w:rPr>
      </w:pPr>
      <w:r w:rsidRPr="00150048">
        <w:rPr>
          <w:rFonts w:ascii="Times New Roman" w:eastAsia="Times New Roman" w:hAnsi="Times New Roman" w:cs="Times New Roman"/>
          <w:bCs/>
          <w:sz w:val="20"/>
          <w:szCs w:val="20"/>
          <w:lang w:eastAsia="sk-SK"/>
        </w:rPr>
        <w:t>2 –  výdavky rozpísať až do položiek platnej ekonomickej klasifikácie</w:t>
      </w:r>
    </w:p>
    <w:p w:rsidR="00150048" w:rsidRPr="00150048" w:rsidRDefault="00150048" w:rsidP="00150048">
      <w:pPr>
        <w:tabs>
          <w:tab w:val="num" w:pos="1080"/>
        </w:tabs>
        <w:spacing w:after="0" w:line="240" w:lineRule="auto"/>
        <w:ind w:left="-900"/>
        <w:contextualSpacing/>
        <w:jc w:val="both"/>
        <w:rPr>
          <w:rFonts w:ascii="Times New Roman" w:eastAsia="Times New Roman" w:hAnsi="Times New Roman" w:cs="Times New Roman"/>
          <w:bCs/>
          <w:sz w:val="24"/>
          <w:szCs w:val="20"/>
          <w:lang w:eastAsia="sk-SK"/>
        </w:rPr>
      </w:pPr>
    </w:p>
    <w:p w:rsidR="00150048" w:rsidRPr="00150048" w:rsidRDefault="00150048" w:rsidP="00150048">
      <w:pPr>
        <w:tabs>
          <w:tab w:val="num" w:pos="1080"/>
        </w:tabs>
        <w:spacing w:after="0" w:line="240" w:lineRule="auto"/>
        <w:ind w:right="-32"/>
        <w:contextualSpacing/>
        <w:jc w:val="right"/>
        <w:rPr>
          <w:rFonts w:ascii="Times New Roman" w:eastAsia="Times New Roman" w:hAnsi="Times New Roman" w:cs="Times New Roman"/>
          <w:bCs/>
          <w:sz w:val="24"/>
          <w:szCs w:val="24"/>
          <w:lang w:eastAsia="sk-SK"/>
        </w:rPr>
      </w:pPr>
    </w:p>
    <w:p w:rsidR="00150048" w:rsidRPr="00150048" w:rsidRDefault="00150048" w:rsidP="00150048">
      <w:pPr>
        <w:tabs>
          <w:tab w:val="num" w:pos="1080"/>
        </w:tabs>
        <w:spacing w:after="0" w:line="240" w:lineRule="auto"/>
        <w:ind w:right="-32"/>
        <w:contextualSpacing/>
        <w:jc w:val="right"/>
        <w:rPr>
          <w:rFonts w:ascii="Times New Roman" w:eastAsia="Times New Roman" w:hAnsi="Times New Roman" w:cs="Times New Roman"/>
          <w:bCs/>
          <w:sz w:val="24"/>
          <w:szCs w:val="24"/>
          <w:lang w:eastAsia="sk-SK"/>
        </w:rPr>
      </w:pPr>
      <w:r w:rsidRPr="00150048">
        <w:rPr>
          <w:rFonts w:ascii="Times New Roman" w:eastAsia="Times New Roman" w:hAnsi="Times New Roman" w:cs="Times New Roman"/>
          <w:bCs/>
          <w:sz w:val="24"/>
          <w:szCs w:val="24"/>
          <w:lang w:eastAsia="sk-SK"/>
        </w:rPr>
        <w:lastRenderedPageBreak/>
        <w:t>Tabuľka č. 4/B</w:t>
      </w:r>
    </w:p>
    <w:tbl>
      <w:tblPr>
        <w:tblpPr w:leftFromText="141" w:rightFromText="141" w:bottomFromText="200" w:vertAnchor="text" w:horzAnchor="page" w:tblpX="629" w:tblpY="2"/>
        <w:tblW w:w="15450" w:type="dxa"/>
        <w:tblCellMar>
          <w:left w:w="70" w:type="dxa"/>
          <w:right w:w="70" w:type="dxa"/>
        </w:tblCellMar>
        <w:tblLook w:val="04A0" w:firstRow="1" w:lastRow="0" w:firstColumn="1" w:lastColumn="0" w:noHBand="0" w:noVBand="1"/>
      </w:tblPr>
      <w:tblGrid>
        <w:gridCol w:w="7070"/>
        <w:gridCol w:w="1540"/>
        <w:gridCol w:w="1540"/>
        <w:gridCol w:w="1540"/>
        <w:gridCol w:w="1540"/>
        <w:gridCol w:w="2220"/>
      </w:tblGrid>
      <w:tr w:rsidR="00150048" w:rsidRPr="00150048" w:rsidTr="00150048">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Vplyv na rozpočet verejnej správy</w:t>
            </w:r>
          </w:p>
        </w:tc>
        <w:tc>
          <w:tcPr>
            <w:tcW w:w="222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poznámka</w:t>
            </w:r>
          </w:p>
        </w:tc>
      </w:tr>
      <w:tr w:rsidR="00150048" w:rsidRPr="00150048" w:rsidTr="00150048">
        <w:trPr>
          <w:cantSplit/>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2025</w:t>
            </w: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2028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Kapitálové výdavky (230)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Bežné výdavky (600)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4"/>
                <w:lang w:eastAsia="sk-SK"/>
              </w:rPr>
            </w:pPr>
            <w:r w:rsidRPr="00150048">
              <w:rPr>
                <w:rFonts w:ascii="Times New Roman" w:eastAsia="Times New Roman" w:hAnsi="Times New Roman" w:cs="Times New Roman"/>
                <w:b/>
                <w:bCs/>
                <w:sz w:val="20"/>
                <w:szCs w:val="24"/>
                <w:lang w:eastAsia="sk-SK"/>
              </w:rPr>
              <w:t>-</w:t>
            </w:r>
          </w:p>
        </w:tc>
        <w:tc>
          <w:tcPr>
            <w:tcW w:w="2220" w:type="dxa"/>
            <w:tcBorders>
              <w:top w:val="nil"/>
              <w:left w:val="nil"/>
              <w:bottom w:val="single" w:sz="4" w:space="0" w:color="auto"/>
              <w:right w:val="single" w:sz="4" w:space="0" w:color="auto"/>
            </w:tcBorders>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Mzdy, platy, služobné príjmy a ostatné osobné vyrovnania (610)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vertAlign w:val="superscript"/>
                <w:lang w:eastAsia="sk-SK"/>
              </w:rPr>
            </w:pPr>
            <w:r w:rsidRPr="00150048">
              <w:rPr>
                <w:rFonts w:ascii="Times New Roman" w:eastAsia="Times New Roman" w:hAnsi="Times New Roman" w:cs="Times New Roman"/>
                <w:sz w:val="20"/>
                <w:szCs w:val="20"/>
                <w:lang w:eastAsia="sk-SK"/>
              </w:rPr>
              <w:t xml:space="preserve">  Poistné a príspevok do poisťovní (620)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vertAlign w:val="superscript"/>
                <w:lang w:eastAsia="sk-SK"/>
              </w:rPr>
            </w:pPr>
            <w:r w:rsidRPr="00150048">
              <w:rPr>
                <w:rFonts w:ascii="Times New Roman" w:eastAsia="Times New Roman" w:hAnsi="Times New Roman" w:cs="Times New Roman"/>
                <w:sz w:val="20"/>
                <w:szCs w:val="20"/>
                <w:lang w:eastAsia="sk-SK"/>
              </w:rPr>
              <w:t xml:space="preserve">  Tovary a služby (630)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Bežné transfery (640)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Splácanie úrokov a ostatné platby súvisiace s </w:t>
            </w:r>
            <w:r w:rsidRPr="00150048">
              <w:rPr>
                <w:rFonts w:ascii="Calibri" w:eastAsia="Calibri" w:hAnsi="Calibri" w:cs="Times New Roman"/>
              </w:rPr>
              <w:t xml:space="preserve"> </w:t>
            </w:r>
            <w:r w:rsidRPr="00150048">
              <w:rPr>
                <w:rFonts w:ascii="Times New Roman" w:eastAsia="Times New Roman" w:hAnsi="Times New Roman" w:cs="Times New Roman"/>
                <w:sz w:val="20"/>
                <w:szCs w:val="20"/>
                <w:lang w:eastAsia="sk-SK"/>
              </w:rPr>
              <w:t>úverom, pôžičkou, návratnou finančnou výpomocou a finančným prenájmom (650)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p>
        </w:tc>
        <w:tc>
          <w:tcPr>
            <w:tcW w:w="2220" w:type="dxa"/>
            <w:tcBorders>
              <w:top w:val="nil"/>
              <w:left w:val="nil"/>
              <w:bottom w:val="single" w:sz="4" w:space="0" w:color="auto"/>
              <w:right w:val="single" w:sz="4" w:space="0" w:color="auto"/>
            </w:tcBorders>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Kapitálové výdavky (700)</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Obstarávanie kapitálových aktív (710)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7070"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 xml:space="preserve">  Kapitálové transfery (720)</w:t>
            </w:r>
            <w:r w:rsidRPr="00150048">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sz w:val="20"/>
                <w:szCs w:val="20"/>
                <w:lang w:eastAsia="sk-SK"/>
              </w:rPr>
            </w:pPr>
            <w:r w:rsidRPr="00150048">
              <w:rPr>
                <w:rFonts w:ascii="Times New Roman" w:eastAsia="Times New Roman" w:hAnsi="Times New Roman" w:cs="Times New Roman"/>
                <w:sz w:val="20"/>
                <w:szCs w:val="20"/>
                <w:lang w:eastAsia="sk-SK"/>
              </w:rPr>
              <w:t>-</w:t>
            </w:r>
          </w:p>
        </w:tc>
        <w:tc>
          <w:tcPr>
            <w:tcW w:w="1540" w:type="dxa"/>
            <w:tcBorders>
              <w:top w:val="nil"/>
              <w:left w:val="nil"/>
              <w:bottom w:val="single" w:sz="4" w:space="0" w:color="auto"/>
              <w:right w:val="single" w:sz="4" w:space="0" w:color="auto"/>
            </w:tcBorders>
          </w:tcPr>
          <w:p w:rsidR="00150048" w:rsidRPr="00150048" w:rsidRDefault="00150048" w:rsidP="00150048">
            <w:pPr>
              <w:spacing w:after="0" w:line="240" w:lineRule="auto"/>
              <w:contextualSpacing/>
              <w:jc w:val="center"/>
              <w:rPr>
                <w:rFonts w:ascii="Times New Roman" w:eastAsia="Times New Roman" w:hAnsi="Times New Roman" w:cs="Times New Roman"/>
                <w:b/>
                <w:sz w:val="24"/>
                <w:szCs w:val="24"/>
                <w:lang w:eastAsia="sk-SK"/>
              </w:rPr>
            </w:pPr>
            <w:r w:rsidRPr="00150048">
              <w:rPr>
                <w:rFonts w:ascii="Times New Roman" w:eastAsia="Times New Roman" w:hAnsi="Times New Roman" w:cs="Times New Roman"/>
                <w:b/>
                <w:sz w:val="24"/>
                <w:szCs w:val="24"/>
                <w:lang w:eastAsia="sk-SK"/>
              </w:rPr>
              <w:t>-</w:t>
            </w:r>
          </w:p>
        </w:tc>
        <w:tc>
          <w:tcPr>
            <w:tcW w:w="22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150048">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Vplyv na limit verejných výdavkov subjektu verejnej správy celkom</w:t>
            </w:r>
          </w:p>
        </w:tc>
        <w:tc>
          <w:tcPr>
            <w:tcW w:w="1540" w:type="dxa"/>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single" w:sz="4" w:space="0" w:color="auto"/>
              <w:left w:val="nil"/>
              <w:bottom w:val="single" w:sz="4" w:space="0" w:color="auto"/>
              <w:right w:val="single" w:sz="4" w:space="0" w:color="auto"/>
            </w:tcBorders>
            <w:shd w:val="clear" w:color="auto" w:fill="BFBFBF"/>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single" w:sz="4" w:space="0" w:color="auto"/>
              <w:left w:val="nil"/>
              <w:bottom w:val="single" w:sz="4" w:space="0" w:color="auto"/>
              <w:right w:val="single" w:sz="4" w:space="0" w:color="auto"/>
            </w:tcBorders>
            <w:shd w:val="clear" w:color="auto" w:fill="BFBFBF"/>
          </w:tcPr>
          <w:p w:rsidR="00150048" w:rsidRPr="00150048" w:rsidRDefault="00150048" w:rsidP="00150048">
            <w:pPr>
              <w:spacing w:after="0" w:line="240" w:lineRule="auto"/>
              <w:contextualSpacing/>
              <w:jc w:val="center"/>
              <w:rPr>
                <w:rFonts w:ascii="Times New Roman" w:eastAsia="Times New Roman" w:hAnsi="Times New Roman" w:cs="Times New Roman"/>
                <w:b/>
                <w:bCs/>
                <w:sz w:val="20"/>
                <w:szCs w:val="20"/>
                <w:lang w:eastAsia="sk-SK"/>
              </w:rPr>
            </w:pPr>
            <w:r w:rsidRPr="00150048">
              <w:rPr>
                <w:rFonts w:ascii="Times New Roman" w:eastAsia="Times New Roman" w:hAnsi="Times New Roman" w:cs="Times New Roman"/>
                <w:b/>
                <w:bCs/>
                <w:sz w:val="20"/>
                <w:szCs w:val="20"/>
                <w:lang w:eastAsia="sk-SK"/>
              </w:rPr>
              <w:t>-</w:t>
            </w:r>
          </w:p>
        </w:tc>
        <w:tc>
          <w:tcPr>
            <w:tcW w:w="1540" w:type="dxa"/>
            <w:tcBorders>
              <w:top w:val="single" w:sz="4" w:space="0" w:color="auto"/>
              <w:left w:val="nil"/>
              <w:bottom w:val="single" w:sz="4" w:space="0" w:color="auto"/>
              <w:right w:val="single" w:sz="4" w:space="0" w:color="auto"/>
            </w:tcBorders>
            <w:shd w:val="clear" w:color="auto" w:fill="BFBFBF"/>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220" w:type="dxa"/>
            <w:tcBorders>
              <w:top w:val="single" w:sz="4" w:space="0" w:color="auto"/>
              <w:left w:val="nil"/>
              <w:bottom w:val="single" w:sz="4" w:space="0" w:color="auto"/>
              <w:right w:val="single" w:sz="4" w:space="0" w:color="auto"/>
            </w:tcBorders>
            <w:shd w:val="clear" w:color="auto" w:fill="BFBFBF"/>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bl>
    <w:p w:rsidR="00150048" w:rsidRPr="00150048" w:rsidRDefault="00150048" w:rsidP="00150048">
      <w:pPr>
        <w:tabs>
          <w:tab w:val="num" w:pos="1080"/>
        </w:tabs>
        <w:spacing w:after="0" w:line="240" w:lineRule="auto"/>
        <w:ind w:left="-900"/>
        <w:contextualSpacing/>
        <w:jc w:val="both"/>
        <w:rPr>
          <w:rFonts w:ascii="Times New Roman" w:eastAsia="Times New Roman" w:hAnsi="Times New Roman" w:cs="Times New Roman"/>
          <w:bCs/>
          <w:sz w:val="20"/>
          <w:szCs w:val="20"/>
          <w:lang w:eastAsia="sk-SK"/>
        </w:rPr>
      </w:pPr>
      <w:r w:rsidRPr="00150048">
        <w:rPr>
          <w:rFonts w:ascii="Times New Roman" w:eastAsia="Times New Roman" w:hAnsi="Times New Roman" w:cs="Times New Roman"/>
          <w:bCs/>
          <w:sz w:val="20"/>
          <w:szCs w:val="20"/>
          <w:lang w:eastAsia="sk-SK"/>
        </w:rPr>
        <w:t>2 –  výdavky rozpísať až do položiek platnej ekonomickej klasifikácie</w:t>
      </w:r>
    </w:p>
    <w:p w:rsidR="00150048" w:rsidRPr="00150048" w:rsidRDefault="00150048" w:rsidP="00150048">
      <w:pPr>
        <w:tabs>
          <w:tab w:val="num" w:pos="1080"/>
        </w:tabs>
        <w:spacing w:after="0" w:line="240" w:lineRule="auto"/>
        <w:contextualSpacing/>
        <w:jc w:val="both"/>
        <w:rPr>
          <w:rFonts w:ascii="Times New Roman" w:eastAsia="Times New Roman" w:hAnsi="Times New Roman" w:cs="Times New Roman"/>
          <w:bCs/>
          <w:sz w:val="20"/>
          <w:szCs w:val="20"/>
          <w:lang w:eastAsia="sk-SK"/>
        </w:rPr>
      </w:pPr>
    </w:p>
    <w:p w:rsidR="00150048" w:rsidRPr="00150048" w:rsidRDefault="00150048" w:rsidP="00150048">
      <w:pPr>
        <w:tabs>
          <w:tab w:val="num" w:pos="1080"/>
        </w:tabs>
        <w:spacing w:after="0" w:line="240" w:lineRule="auto"/>
        <w:contextualSpacing/>
        <w:jc w:val="right"/>
        <w:rPr>
          <w:rFonts w:ascii="Times New Roman" w:eastAsia="Times New Roman" w:hAnsi="Times New Roman" w:cs="Times New Roman"/>
          <w:bCs/>
          <w:sz w:val="24"/>
          <w:szCs w:val="24"/>
          <w:lang w:eastAsia="sk-SK"/>
        </w:rPr>
      </w:pPr>
      <w:r w:rsidRPr="00150048">
        <w:rPr>
          <w:rFonts w:ascii="Times New Roman" w:eastAsia="Times New Roman" w:hAnsi="Times New Roman" w:cs="Times New Roman"/>
          <w:bCs/>
          <w:sz w:val="24"/>
          <w:szCs w:val="24"/>
          <w:lang w:eastAsia="sk-SK"/>
        </w:rPr>
        <w:t xml:space="preserve">                 Tabuľka č. 5 </w:t>
      </w:r>
    </w:p>
    <w:tbl>
      <w:tblPr>
        <w:tblW w:w="15434" w:type="dxa"/>
        <w:tblInd w:w="-784" w:type="dxa"/>
        <w:tblCellMar>
          <w:left w:w="70" w:type="dxa"/>
          <w:right w:w="70" w:type="dxa"/>
        </w:tblCellMar>
        <w:tblLook w:val="04A0" w:firstRow="1" w:lastRow="0" w:firstColumn="1" w:lastColumn="0" w:noHBand="0" w:noVBand="1"/>
      </w:tblPr>
      <w:tblGrid>
        <w:gridCol w:w="6188"/>
        <w:gridCol w:w="1698"/>
        <w:gridCol w:w="1788"/>
        <w:gridCol w:w="2418"/>
        <w:gridCol w:w="1722"/>
        <w:gridCol w:w="1620"/>
      </w:tblGrid>
      <w:tr w:rsidR="00150048" w:rsidRPr="00150048" w:rsidTr="00150048">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Zamestnanosť</w:t>
            </w:r>
          </w:p>
        </w:tc>
        <w:tc>
          <w:tcPr>
            <w:tcW w:w="7626" w:type="dxa"/>
            <w:gridSpan w:val="4"/>
            <w:tcBorders>
              <w:top w:val="single" w:sz="4" w:space="0" w:color="auto"/>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Vplyv na rozpočet verejnej správy</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poznámka</w:t>
            </w:r>
          </w:p>
        </w:tc>
      </w:tr>
      <w:tr w:rsidR="00150048" w:rsidRPr="00150048" w:rsidTr="00150048">
        <w:trPr>
          <w:cantSplit/>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2026</w:t>
            </w:r>
          </w:p>
        </w:tc>
        <w:tc>
          <w:tcPr>
            <w:tcW w:w="2418" w:type="dxa"/>
            <w:tcBorders>
              <w:top w:val="nil"/>
              <w:left w:val="nil"/>
              <w:bottom w:val="single" w:sz="4" w:space="0" w:color="auto"/>
              <w:right w:val="single" w:sz="4" w:space="0" w:color="auto"/>
            </w:tcBorders>
            <w:shd w:val="clear" w:color="auto" w:fill="BFBFBF"/>
            <w:vAlign w:val="center"/>
            <w:hideMark/>
          </w:tcPr>
          <w:p w:rsidR="00150048" w:rsidRPr="00150048" w:rsidRDefault="00150048" w:rsidP="00150048">
            <w:pPr>
              <w:autoSpaceDE w:val="0"/>
              <w:autoSpaceDN w:val="0"/>
              <w:adjustRightInd w:val="0"/>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2027</w:t>
            </w:r>
          </w:p>
        </w:tc>
        <w:tc>
          <w:tcPr>
            <w:tcW w:w="1722"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2028</w:t>
            </w:r>
          </w:p>
        </w:tc>
        <w:tc>
          <w:tcPr>
            <w:tcW w:w="0" w:type="auto"/>
            <w:vMerge/>
            <w:tcBorders>
              <w:top w:val="nil"/>
              <w:left w:val="nil"/>
              <w:bottom w:val="single" w:sz="4" w:space="0" w:color="auto"/>
              <w:right w:val="single" w:sz="4" w:space="0" w:color="auto"/>
            </w:tcBorders>
            <w:vAlign w:val="center"/>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8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41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22"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8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41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22"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620" w:type="dxa"/>
            <w:tcBorders>
              <w:top w:val="nil"/>
              <w:left w:val="nil"/>
              <w:bottom w:val="single" w:sz="4" w:space="0" w:color="auto"/>
              <w:right w:val="single" w:sz="4" w:space="0" w:color="auto"/>
            </w:tcBorders>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8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41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22"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c>
          <w:tcPr>
            <w:tcW w:w="2418"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c>
          <w:tcPr>
            <w:tcW w:w="1722" w:type="dxa"/>
            <w:tcBorders>
              <w:top w:val="single" w:sz="4" w:space="0" w:color="auto"/>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150048">
        <w:trPr>
          <w:trHeight w:val="255"/>
        </w:trPr>
        <w:tc>
          <w:tcPr>
            <w:tcW w:w="6188" w:type="dxa"/>
            <w:tcBorders>
              <w:top w:val="nil"/>
              <w:left w:val="single" w:sz="4" w:space="0" w:color="auto"/>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2418"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722" w:type="dxa"/>
            <w:tcBorders>
              <w:top w:val="nil"/>
              <w:left w:val="nil"/>
              <w:bottom w:val="single" w:sz="4" w:space="0" w:color="auto"/>
              <w:right w:val="single" w:sz="4" w:space="0" w:color="auto"/>
            </w:tcBorders>
            <w:shd w:val="clear" w:color="auto" w:fill="BFBFBF"/>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0</w:t>
            </w:r>
          </w:p>
        </w:tc>
        <w:tc>
          <w:tcPr>
            <w:tcW w:w="1620" w:type="dxa"/>
            <w:tcBorders>
              <w:top w:val="nil"/>
              <w:left w:val="nil"/>
              <w:bottom w:val="single" w:sz="4" w:space="0" w:color="auto"/>
              <w:right w:val="single" w:sz="4" w:space="0" w:color="auto"/>
            </w:tcBorders>
            <w:shd w:val="clear" w:color="auto" w:fill="BFBFBF"/>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8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41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22"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78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241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722"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8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241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722"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b/>
                <w:bCs/>
                <w:sz w:val="24"/>
                <w:szCs w:val="24"/>
                <w:lang w:eastAsia="sk-SK"/>
              </w:rPr>
            </w:pPr>
            <w:r w:rsidRPr="00150048">
              <w:rPr>
                <w:rFonts w:ascii="Times New Roman" w:eastAsia="Times New Roman" w:hAnsi="Times New Roman" w:cs="Times New Roman"/>
                <w:b/>
                <w:bCs/>
                <w:sz w:val="24"/>
                <w:szCs w:val="24"/>
                <w:lang w:eastAsia="sk-SK"/>
              </w:rPr>
              <w:t> </w:t>
            </w:r>
          </w:p>
        </w:tc>
      </w:tr>
      <w:tr w:rsidR="00150048" w:rsidRPr="00150048" w:rsidTr="0085568D">
        <w:trPr>
          <w:trHeight w:val="255"/>
        </w:trPr>
        <w:tc>
          <w:tcPr>
            <w:tcW w:w="6188" w:type="dxa"/>
            <w:tcBorders>
              <w:top w:val="nil"/>
              <w:left w:val="single" w:sz="4" w:space="0" w:color="auto"/>
              <w:bottom w:val="single" w:sz="4" w:space="0" w:color="auto"/>
              <w:right w:val="single" w:sz="4" w:space="0" w:color="auto"/>
            </w:tcBorders>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78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2418"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722" w:type="dxa"/>
            <w:tcBorders>
              <w:top w:val="nil"/>
              <w:left w:val="nil"/>
              <w:bottom w:val="single" w:sz="4" w:space="0" w:color="auto"/>
              <w:right w:val="single" w:sz="4" w:space="0" w:color="auto"/>
            </w:tcBorders>
            <w:hideMark/>
          </w:tcPr>
          <w:p w:rsidR="00150048" w:rsidRPr="00150048" w:rsidRDefault="00150048" w:rsidP="00150048">
            <w:pPr>
              <w:spacing w:after="0" w:line="240" w:lineRule="auto"/>
              <w:contextualSpacing/>
              <w:jc w:val="center"/>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w:t>
            </w:r>
          </w:p>
        </w:tc>
        <w:tc>
          <w:tcPr>
            <w:tcW w:w="1620" w:type="dxa"/>
            <w:tcBorders>
              <w:top w:val="nil"/>
              <w:left w:val="nil"/>
              <w:bottom w:val="single" w:sz="4" w:space="0" w:color="auto"/>
              <w:right w:val="single" w:sz="4" w:space="0" w:color="auto"/>
            </w:tcBorders>
            <w:noWrap/>
            <w:vAlign w:val="bottom"/>
            <w:hideMark/>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r w:rsidRPr="00150048">
              <w:rPr>
                <w:rFonts w:ascii="Times New Roman" w:eastAsia="Times New Roman" w:hAnsi="Times New Roman" w:cs="Times New Roman"/>
                <w:sz w:val="24"/>
                <w:szCs w:val="24"/>
                <w:lang w:eastAsia="sk-SK"/>
              </w:rPr>
              <w:t> </w:t>
            </w:r>
          </w:p>
        </w:tc>
      </w:tr>
      <w:tr w:rsidR="00150048" w:rsidRPr="00150048" w:rsidTr="0085568D">
        <w:trPr>
          <w:trHeight w:val="255"/>
        </w:trPr>
        <w:tc>
          <w:tcPr>
            <w:tcW w:w="6188" w:type="dxa"/>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c>
          <w:tcPr>
            <w:tcW w:w="1698" w:type="dxa"/>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c>
          <w:tcPr>
            <w:tcW w:w="1788" w:type="dxa"/>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c>
          <w:tcPr>
            <w:tcW w:w="2418" w:type="dxa"/>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c>
          <w:tcPr>
            <w:tcW w:w="1722" w:type="dxa"/>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c>
          <w:tcPr>
            <w:tcW w:w="1620" w:type="dxa"/>
            <w:noWrap/>
            <w:vAlign w:val="bottom"/>
          </w:tcPr>
          <w:p w:rsidR="00150048" w:rsidRPr="00150048" w:rsidRDefault="00150048" w:rsidP="00150048">
            <w:pPr>
              <w:spacing w:after="0" w:line="240" w:lineRule="auto"/>
              <w:contextualSpacing/>
              <w:rPr>
                <w:rFonts w:ascii="Times New Roman" w:eastAsia="Times New Roman" w:hAnsi="Times New Roman" w:cs="Times New Roman"/>
                <w:sz w:val="24"/>
                <w:szCs w:val="24"/>
                <w:lang w:eastAsia="sk-SK"/>
              </w:rPr>
            </w:pPr>
          </w:p>
        </w:tc>
      </w:tr>
    </w:tbl>
    <w:p w:rsidR="00150048" w:rsidRPr="00150048" w:rsidRDefault="00150048" w:rsidP="00150048">
      <w:pPr>
        <w:spacing w:after="0" w:line="240" w:lineRule="auto"/>
        <w:contextualSpacing/>
        <w:rPr>
          <w:rFonts w:ascii="Calibri" w:eastAsia="Calibri" w:hAnsi="Calibri" w:cs="Times New Roman"/>
        </w:rPr>
        <w:sectPr w:rsidR="00150048" w:rsidRPr="00150048" w:rsidSect="00B61886">
          <w:headerReference w:type="even" r:id="rId6"/>
          <w:headerReference w:type="default" r:id="rId7"/>
          <w:footerReference w:type="even" r:id="rId8"/>
          <w:footerReference w:type="default" r:id="rId9"/>
          <w:headerReference w:type="first" r:id="rId10"/>
          <w:footerReference w:type="first" r:id="rId11"/>
          <w:pgSz w:w="16838" w:h="11906" w:orient="landscape"/>
          <w:pgMar w:top="1418" w:right="1418" w:bottom="1418" w:left="1418" w:header="709" w:footer="709" w:gutter="0"/>
          <w:cols w:space="708"/>
        </w:sectPr>
      </w:pPr>
    </w:p>
    <w:p w:rsidR="008360DC" w:rsidRDefault="00150048">
      <w:bookmarkStart w:id="0" w:name="_GoBack"/>
      <w:bookmarkEnd w:id="0"/>
    </w:p>
    <w:sectPr w:rsidR="008360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862360"/>
      <w:docPartObj>
        <w:docPartGallery w:val="Page Numbers (Bottom of Page)"/>
        <w:docPartUnique/>
      </w:docPartObj>
    </w:sdtPr>
    <w:sdtContent>
      <w:p w:rsidR="00150048" w:rsidRPr="00CE634D" w:rsidRDefault="00150048" w:rsidP="00F21A9F">
        <w:pPr>
          <w:pStyle w:val="Pta"/>
          <w:jc w:val="center"/>
        </w:pPr>
        <w:r w:rsidRPr="00026004">
          <w:rPr>
            <w:sz w:val="16"/>
            <w:szCs w:val="16"/>
          </w:rPr>
          <w:fldChar w:fldCharType="begin"/>
        </w:r>
        <w:r w:rsidRPr="00026004">
          <w:rPr>
            <w:sz w:val="16"/>
            <w:szCs w:val="16"/>
          </w:rPr>
          <w:instrText>PAGE   \* MERGEFORMAT</w:instrText>
        </w:r>
        <w:r w:rsidRPr="00026004">
          <w:rPr>
            <w:sz w:val="16"/>
            <w:szCs w:val="16"/>
          </w:rPr>
          <w:fldChar w:fldCharType="separate"/>
        </w:r>
        <w:r>
          <w:rPr>
            <w:noProof/>
            <w:sz w:val="16"/>
            <w:szCs w:val="16"/>
          </w:rPr>
          <w:t>2</w:t>
        </w:r>
        <w:r w:rsidRPr="00026004">
          <w:rPr>
            <w:sz w:val="16"/>
            <w:szCs w:val="16"/>
          </w:rPr>
          <w:fldChar w:fldCharType="end"/>
        </w:r>
      </w:p>
    </w:sdtContent>
  </w:sdt>
  <w:p w:rsidR="00150048" w:rsidRDefault="0015004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8" w:rsidRDefault="00150048">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150048" w:rsidRDefault="00150048">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8" w:rsidRPr="00026004" w:rsidRDefault="00150048" w:rsidP="00BB279B">
    <w:pPr>
      <w:pStyle w:val="Pta"/>
      <w:jc w:val="center"/>
      <w:rPr>
        <w:sz w:val="16"/>
        <w:szCs w:val="16"/>
      </w:rPr>
    </w:pPr>
    <w:r w:rsidRPr="00026004">
      <w:rPr>
        <w:sz w:val="16"/>
        <w:szCs w:val="16"/>
      </w:rPr>
      <w:fldChar w:fldCharType="begin"/>
    </w:r>
    <w:r w:rsidRPr="00026004">
      <w:rPr>
        <w:sz w:val="16"/>
        <w:szCs w:val="16"/>
      </w:rPr>
      <w:instrText>PAGE   \* MERGEFORMAT</w:instrText>
    </w:r>
    <w:r w:rsidRPr="00026004">
      <w:rPr>
        <w:sz w:val="16"/>
        <w:szCs w:val="16"/>
      </w:rPr>
      <w:fldChar w:fldCharType="separate"/>
    </w:r>
    <w:r>
      <w:rPr>
        <w:noProof/>
        <w:sz w:val="16"/>
        <w:szCs w:val="16"/>
      </w:rPr>
      <w:t>8</w:t>
    </w:r>
    <w:r w:rsidRPr="00026004">
      <w:rPr>
        <w:sz w:val="16"/>
        <w:szCs w:val="16"/>
      </w:rPr>
      <w:fldChar w:fldCharType="end"/>
    </w:r>
  </w:p>
  <w:p w:rsidR="00150048" w:rsidRDefault="00150048">
    <w:pPr>
      <w:pStyle w:val="Pt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8" w:rsidRDefault="00150048">
    <w:pPr>
      <w:pStyle w:val="Pta"/>
      <w:jc w:val="right"/>
    </w:pPr>
    <w:r>
      <w:fldChar w:fldCharType="begin"/>
    </w:r>
    <w:r>
      <w:instrText>PAGE   \* MERGEFORMAT</w:instrText>
    </w:r>
    <w:r>
      <w:fldChar w:fldCharType="separate"/>
    </w:r>
    <w:r>
      <w:rPr>
        <w:noProof/>
      </w:rPr>
      <w:t>0</w:t>
    </w:r>
    <w:r>
      <w:fldChar w:fldCharType="end"/>
    </w:r>
  </w:p>
  <w:p w:rsidR="00150048" w:rsidRDefault="00150048">
    <w:pPr>
      <w:pStyle w:val="Pt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8" w:rsidRDefault="00150048" w:rsidP="00542953">
    <w:pPr>
      <w:pStyle w:val="Hlavika"/>
      <w:jc w:val="right"/>
      <w:rPr>
        <w:sz w:val="24"/>
        <w:szCs w:val="24"/>
      </w:rPr>
    </w:pPr>
    <w:r>
      <w:rPr>
        <w:sz w:val="24"/>
        <w:szCs w:val="24"/>
      </w:rPr>
      <w:t>Príloha č. 2</w:t>
    </w:r>
  </w:p>
  <w:p w:rsidR="00150048" w:rsidRPr="00EB59C8" w:rsidRDefault="00150048" w:rsidP="00542953">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8" w:rsidRDefault="00150048" w:rsidP="00DA7046">
    <w:pPr>
      <w:pStyle w:val="Hlavika"/>
    </w:pPr>
  </w:p>
  <w:p w:rsidR="00150048" w:rsidRPr="00DA7046" w:rsidRDefault="00150048" w:rsidP="00DA7046">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048" w:rsidRPr="000A15AE" w:rsidRDefault="00150048" w:rsidP="00542953">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40182"/>
    <w:multiLevelType w:val="hybridMultilevel"/>
    <w:tmpl w:val="8A0A2224"/>
    <w:lvl w:ilvl="0" w:tplc="4F54AD36">
      <w:start w:val="2"/>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048"/>
    <w:rsid w:val="00150048"/>
    <w:rsid w:val="00947D93"/>
    <w:rsid w:val="00D2339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E04ECD-24DB-4147-99C6-B3AAC221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semiHidden/>
    <w:unhideWhenUsed/>
    <w:rsid w:val="00150048"/>
    <w:pPr>
      <w:tabs>
        <w:tab w:val="center" w:pos="4536"/>
        <w:tab w:val="right" w:pos="9072"/>
      </w:tabs>
      <w:spacing w:after="0" w:line="240" w:lineRule="auto"/>
    </w:pPr>
  </w:style>
  <w:style w:type="character" w:customStyle="1" w:styleId="HlavikaChar">
    <w:name w:val="Hlavička Char"/>
    <w:basedOn w:val="Predvolenpsmoodseku"/>
    <w:link w:val="Hlavika"/>
    <w:uiPriority w:val="99"/>
    <w:semiHidden/>
    <w:rsid w:val="00150048"/>
  </w:style>
  <w:style w:type="paragraph" w:styleId="Pta">
    <w:name w:val="footer"/>
    <w:basedOn w:val="Normlny"/>
    <w:link w:val="PtaChar"/>
    <w:uiPriority w:val="99"/>
    <w:semiHidden/>
    <w:unhideWhenUsed/>
    <w:rsid w:val="00150048"/>
    <w:pPr>
      <w:tabs>
        <w:tab w:val="center" w:pos="4536"/>
        <w:tab w:val="right" w:pos="9072"/>
      </w:tabs>
      <w:spacing w:after="0" w:line="240" w:lineRule="auto"/>
    </w:pPr>
  </w:style>
  <w:style w:type="character" w:customStyle="1" w:styleId="PtaChar">
    <w:name w:val="Päta Char"/>
    <w:basedOn w:val="Predvolenpsmoodseku"/>
    <w:link w:val="Pta"/>
    <w:uiPriority w:val="99"/>
    <w:semiHidden/>
    <w:rsid w:val="00150048"/>
  </w:style>
  <w:style w:type="character" w:styleId="slostrany">
    <w:name w:val="page number"/>
    <w:basedOn w:val="Predvolenpsmoodseku"/>
    <w:uiPriority w:val="99"/>
    <w:rsid w:val="0015004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footer" Target="footer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2127</Words>
  <Characters>12126</Characters>
  <Application>Microsoft Office Word</Application>
  <DocSecurity>0</DocSecurity>
  <Lines>101</Lines>
  <Paragraphs>28</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Birnstein</dc:creator>
  <cp:keywords/>
  <dc:description/>
  <cp:lastModifiedBy>Martin Birnstein</cp:lastModifiedBy>
  <cp:revision>1</cp:revision>
  <dcterms:created xsi:type="dcterms:W3CDTF">2024-10-10T08:19:00Z</dcterms:created>
  <dcterms:modified xsi:type="dcterms:W3CDTF">2024-10-10T08:20:00Z</dcterms:modified>
</cp:coreProperties>
</file>