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847C9" w14:textId="7777777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  <w:bCs/>
        </w:rPr>
      </w:pPr>
      <w:r w:rsidRPr="0003200D">
        <w:rPr>
          <w:rFonts w:asciiTheme="majorHAnsi" w:hAnsiTheme="majorHAnsi" w:cs="Times New Roman"/>
          <w:b/>
          <w:bCs/>
        </w:rPr>
        <w:t>P R E D B E Ž N Á  I N F O R M Á C I A</w:t>
      </w:r>
    </w:p>
    <w:p w14:paraId="3F86E92D" w14:textId="77777777" w:rsidR="004B4CE7" w:rsidRPr="0003200D" w:rsidRDefault="00310A75" w:rsidP="00310A75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  <w:bCs/>
        </w:rPr>
      </w:pPr>
      <w:r w:rsidRPr="0003200D">
        <w:rPr>
          <w:rFonts w:asciiTheme="majorHAnsi" w:hAnsiTheme="majorHAnsi" w:cs="Times New Roman"/>
          <w:b/>
          <w:bCs/>
        </w:rPr>
        <w:t xml:space="preserve">(podľa § 9 zákona č. 400/2015 Z. z. o tvorbe právnych predpisov </w:t>
      </w:r>
    </w:p>
    <w:p w14:paraId="35AC3732" w14:textId="7777777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  <w:bCs/>
        </w:rPr>
      </w:pPr>
      <w:r w:rsidRPr="0003200D">
        <w:rPr>
          <w:rFonts w:asciiTheme="majorHAnsi" w:hAnsiTheme="majorHAnsi" w:cs="Times New Roman"/>
          <w:b/>
          <w:bCs/>
        </w:rPr>
        <w:t>a o Zbierke zákonov Slovenskej republiky a o zmene a doplnení niektorých zákonov)</w:t>
      </w:r>
    </w:p>
    <w:p w14:paraId="2ACE3675" w14:textId="77777777" w:rsidR="001C204C" w:rsidRPr="0003200D" w:rsidRDefault="001C204C" w:rsidP="00310A75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  <w:bCs/>
        </w:rPr>
      </w:pPr>
    </w:p>
    <w:p w14:paraId="440BF04F" w14:textId="77777777" w:rsidR="001C204C" w:rsidRPr="0003200D" w:rsidRDefault="001C204C" w:rsidP="00310A75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"/>
          <w:b/>
          <w:bCs/>
        </w:rPr>
      </w:pPr>
    </w:p>
    <w:p w14:paraId="190EDD52" w14:textId="7777777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  <w:bCs/>
        </w:rPr>
      </w:pPr>
    </w:p>
    <w:p w14:paraId="6A4D455D" w14:textId="7777777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  <w:bCs/>
        </w:rPr>
      </w:pPr>
      <w:r w:rsidRPr="0003200D">
        <w:rPr>
          <w:rFonts w:asciiTheme="majorHAnsi" w:hAnsiTheme="majorHAnsi" w:cs="Times New Roman"/>
          <w:b/>
          <w:bCs/>
        </w:rPr>
        <w:t>1. Pripravovaný právny predpis:</w:t>
      </w:r>
    </w:p>
    <w:p w14:paraId="316AF1EE" w14:textId="7B881FB3" w:rsidR="002B0A06" w:rsidRPr="0003200D" w:rsidRDefault="00E97BE2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  <w:bCs/>
        </w:rPr>
      </w:pPr>
      <w:r w:rsidRPr="0003200D">
        <w:rPr>
          <w:rFonts w:asciiTheme="majorHAnsi" w:eastAsia="Times New Roman" w:hAnsiTheme="majorHAnsi" w:cs="Times New Roman"/>
          <w:lang w:eastAsia="sk-SK"/>
        </w:rPr>
        <w:t>Návrh opatrenia Národnej banky Slovenska z ... 202</w:t>
      </w:r>
      <w:r w:rsidR="000F0C3B" w:rsidRPr="0003200D">
        <w:rPr>
          <w:rFonts w:asciiTheme="majorHAnsi" w:eastAsia="Times New Roman" w:hAnsiTheme="majorHAnsi" w:cs="Times New Roman"/>
          <w:lang w:eastAsia="sk-SK"/>
        </w:rPr>
        <w:t>6</w:t>
      </w:r>
      <w:r w:rsidR="00566FA2" w:rsidRPr="0003200D">
        <w:rPr>
          <w:rFonts w:asciiTheme="majorHAnsi" w:eastAsia="Times New Roman" w:hAnsiTheme="majorHAnsi" w:cs="Times New Roman"/>
          <w:lang w:eastAsia="sk-SK"/>
        </w:rPr>
        <w:t xml:space="preserve"> č. ...</w:t>
      </w:r>
      <w:r w:rsidR="00C50780" w:rsidRPr="0003200D">
        <w:rPr>
          <w:rFonts w:asciiTheme="majorHAnsi" w:eastAsia="Times New Roman" w:hAnsiTheme="majorHAnsi" w:cs="Times New Roman"/>
          <w:lang w:eastAsia="sk-SK"/>
        </w:rPr>
        <w:t>/</w:t>
      </w:r>
      <w:r w:rsidR="00566FA2" w:rsidRPr="0003200D">
        <w:rPr>
          <w:rFonts w:asciiTheme="majorHAnsi" w:eastAsia="Times New Roman" w:hAnsiTheme="majorHAnsi" w:cs="Times New Roman"/>
          <w:lang w:eastAsia="sk-SK"/>
        </w:rPr>
        <w:t>202</w:t>
      </w:r>
      <w:r w:rsidR="000F0C3B" w:rsidRPr="0003200D">
        <w:rPr>
          <w:rFonts w:asciiTheme="majorHAnsi" w:eastAsia="Times New Roman" w:hAnsiTheme="majorHAnsi" w:cs="Times New Roman"/>
          <w:lang w:eastAsia="sk-SK"/>
        </w:rPr>
        <w:t>6</w:t>
      </w:r>
      <w:r w:rsidR="00A04B6D" w:rsidRPr="0003200D">
        <w:rPr>
          <w:rFonts w:asciiTheme="majorHAnsi" w:eastAsia="Times New Roman" w:hAnsiTheme="majorHAnsi" w:cs="Times New Roman"/>
          <w:lang w:eastAsia="sk-SK"/>
        </w:rPr>
        <w:t xml:space="preserve">, ktorým sa mení a dopĺňa opatrenie Národnej banky Slovenska </w:t>
      </w:r>
      <w:r w:rsidR="007A58A4">
        <w:rPr>
          <w:rFonts w:asciiTheme="majorHAnsi" w:eastAsia="Times New Roman" w:hAnsiTheme="majorHAnsi" w:cs="Times New Roman"/>
          <w:lang w:eastAsia="sk-SK"/>
        </w:rPr>
        <w:t xml:space="preserve">z 25. mája 2021 </w:t>
      </w:r>
      <w:r w:rsidR="00A04B6D" w:rsidRPr="0003200D">
        <w:rPr>
          <w:rFonts w:asciiTheme="majorHAnsi" w:eastAsia="Times New Roman" w:hAnsiTheme="majorHAnsi" w:cs="Times New Roman"/>
          <w:lang w:eastAsia="sk-SK"/>
        </w:rPr>
        <w:t>č. 5/2021</w:t>
      </w:r>
      <w:r w:rsidRPr="0003200D">
        <w:rPr>
          <w:rFonts w:asciiTheme="majorHAnsi" w:eastAsia="Times New Roman" w:hAnsiTheme="majorHAnsi" w:cs="Times New Roman"/>
          <w:lang w:eastAsia="sk-SK"/>
        </w:rPr>
        <w:t xml:space="preserve"> o poplatkoch za úkony Národnej banky Slovenska</w:t>
      </w:r>
      <w:r w:rsidR="000F0C3B" w:rsidRPr="0003200D">
        <w:rPr>
          <w:rFonts w:asciiTheme="majorHAnsi" w:eastAsia="Times New Roman" w:hAnsiTheme="majorHAnsi" w:cs="Times New Roman"/>
          <w:lang w:eastAsia="sk-SK"/>
        </w:rPr>
        <w:t xml:space="preserve"> v znení opatrenia </w:t>
      </w:r>
      <w:r w:rsidR="001901C5" w:rsidRPr="0003200D">
        <w:rPr>
          <w:rFonts w:asciiTheme="majorHAnsi" w:eastAsia="Times New Roman" w:hAnsiTheme="majorHAnsi" w:cs="Times New Roman"/>
          <w:lang w:eastAsia="sk-SK"/>
        </w:rPr>
        <w:t xml:space="preserve">z 3. decembra 2024 </w:t>
      </w:r>
      <w:r w:rsidR="000F0C3B" w:rsidRPr="0003200D">
        <w:rPr>
          <w:rFonts w:asciiTheme="majorHAnsi" w:eastAsia="Times New Roman" w:hAnsiTheme="majorHAnsi" w:cs="Times New Roman"/>
          <w:lang w:eastAsia="sk-SK"/>
        </w:rPr>
        <w:t>č. 8/2024</w:t>
      </w:r>
      <w:r w:rsidR="00AE2D54" w:rsidRPr="0003200D">
        <w:rPr>
          <w:rFonts w:asciiTheme="majorHAnsi" w:eastAsia="Times New Roman" w:hAnsiTheme="majorHAnsi" w:cs="Times New Roman"/>
          <w:lang w:eastAsia="sk-SK"/>
        </w:rPr>
        <w:t>.</w:t>
      </w:r>
    </w:p>
    <w:p w14:paraId="6ECFF593" w14:textId="77777777" w:rsidR="002B0A06" w:rsidRPr="0003200D" w:rsidRDefault="002B0A06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</w:p>
    <w:p w14:paraId="3B0CF87F" w14:textId="263A2E4C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</w:rPr>
      </w:pPr>
      <w:r w:rsidRPr="0003200D">
        <w:rPr>
          <w:rFonts w:asciiTheme="majorHAnsi" w:hAnsiTheme="majorHAnsi" w:cs="Times New Roman"/>
          <w:b/>
          <w:bCs/>
        </w:rPr>
        <w:t xml:space="preserve">2. Základné ciele </w:t>
      </w:r>
      <w:r w:rsidR="005878F2" w:rsidRPr="0003200D">
        <w:rPr>
          <w:rFonts w:asciiTheme="majorHAnsi" w:hAnsiTheme="majorHAnsi" w:cs="Times New Roman"/>
          <w:b/>
          <w:bCs/>
        </w:rPr>
        <w:t xml:space="preserve">a tézy </w:t>
      </w:r>
      <w:r w:rsidRPr="0003200D">
        <w:rPr>
          <w:rFonts w:asciiTheme="majorHAnsi" w:hAnsiTheme="majorHAnsi" w:cs="Times New Roman"/>
          <w:b/>
          <w:bCs/>
        </w:rPr>
        <w:t xml:space="preserve">právnej </w:t>
      </w:r>
      <w:r w:rsidRPr="0003200D">
        <w:rPr>
          <w:rFonts w:asciiTheme="majorHAnsi" w:hAnsiTheme="majorHAnsi" w:cs="Times New Roman"/>
          <w:b/>
        </w:rPr>
        <w:t>úpravy:</w:t>
      </w:r>
    </w:p>
    <w:p w14:paraId="25ADA3C2" w14:textId="1D3BE1F5" w:rsidR="008B37DA" w:rsidRPr="0003200D" w:rsidRDefault="00EA1A96" w:rsidP="003D7CD2">
      <w:pPr>
        <w:pStyle w:val="Default"/>
        <w:jc w:val="both"/>
        <w:rPr>
          <w:rFonts w:asciiTheme="majorHAnsi" w:hAnsiTheme="majorHAnsi" w:cs="Times New Roman"/>
          <w:bCs/>
          <w:color w:val="auto"/>
          <w:sz w:val="22"/>
          <w:szCs w:val="22"/>
        </w:rPr>
      </w:pPr>
      <w:r w:rsidRPr="0003200D">
        <w:rPr>
          <w:rFonts w:asciiTheme="majorHAnsi" w:hAnsiTheme="majorHAnsi" w:cs="Times New Roman"/>
          <w:bCs/>
          <w:color w:val="auto"/>
          <w:sz w:val="22"/>
          <w:szCs w:val="22"/>
        </w:rPr>
        <w:t>Cieľom</w:t>
      </w:r>
      <w:r w:rsidR="008B37DA" w:rsidRPr="0003200D">
        <w:rPr>
          <w:rFonts w:asciiTheme="majorHAnsi" w:hAnsiTheme="majorHAnsi" w:cs="Times New Roman"/>
          <w:bCs/>
          <w:color w:val="auto"/>
          <w:sz w:val="22"/>
          <w:szCs w:val="22"/>
        </w:rPr>
        <w:t xml:space="preserve"> návrhu opatrenia je aktualizácia prílohy k opatreniu Národnej banky Slovenska z 25.</w:t>
      </w:r>
      <w:r w:rsidR="00E63A29" w:rsidRPr="0003200D">
        <w:rPr>
          <w:rFonts w:asciiTheme="majorHAnsi" w:hAnsiTheme="majorHAnsi" w:cs="Times New Roman"/>
          <w:bCs/>
          <w:color w:val="auto"/>
          <w:sz w:val="22"/>
          <w:szCs w:val="22"/>
        </w:rPr>
        <w:t> </w:t>
      </w:r>
      <w:r w:rsidR="008B37DA" w:rsidRPr="0003200D">
        <w:rPr>
          <w:rFonts w:asciiTheme="majorHAnsi" w:hAnsiTheme="majorHAnsi" w:cs="Times New Roman"/>
          <w:bCs/>
          <w:color w:val="auto"/>
          <w:sz w:val="22"/>
          <w:szCs w:val="22"/>
        </w:rPr>
        <w:t xml:space="preserve">mája 2021 č. 5/2021 o poplatkoch za úkony Národnej banky Slovenska </w:t>
      </w:r>
      <w:r w:rsidR="007E2AE4" w:rsidRPr="0003200D">
        <w:rPr>
          <w:rFonts w:asciiTheme="majorHAnsi" w:hAnsiTheme="majorHAnsi" w:cs="Times New Roman"/>
          <w:bCs/>
          <w:color w:val="auto"/>
          <w:sz w:val="22"/>
          <w:szCs w:val="22"/>
        </w:rPr>
        <w:t>v znení opatrenia z 3.</w:t>
      </w:r>
      <w:r w:rsidR="00FF0698" w:rsidRPr="0003200D">
        <w:rPr>
          <w:rFonts w:asciiTheme="majorHAnsi" w:hAnsiTheme="majorHAnsi" w:cs="Times New Roman"/>
          <w:bCs/>
          <w:color w:val="auto"/>
          <w:sz w:val="22"/>
          <w:szCs w:val="22"/>
        </w:rPr>
        <w:t> </w:t>
      </w:r>
      <w:r w:rsidR="007E2AE4" w:rsidRPr="0003200D">
        <w:rPr>
          <w:rFonts w:asciiTheme="majorHAnsi" w:hAnsiTheme="majorHAnsi" w:cs="Times New Roman"/>
          <w:bCs/>
          <w:color w:val="auto"/>
          <w:sz w:val="22"/>
          <w:szCs w:val="22"/>
        </w:rPr>
        <w:t xml:space="preserve">decembra 2024 č. 8/2024 </w:t>
      </w:r>
      <w:r w:rsidR="008B37DA" w:rsidRPr="0003200D">
        <w:rPr>
          <w:rFonts w:asciiTheme="majorHAnsi" w:hAnsiTheme="majorHAnsi" w:cs="Times New Roman"/>
          <w:bCs/>
          <w:color w:val="auto"/>
          <w:sz w:val="22"/>
          <w:szCs w:val="22"/>
        </w:rPr>
        <w:t>(ďalej len „opatrenie č. 5/2021“), a to najmä v záujme zosúladenia jej obsahu s príslušnou legislatívou Európskej únie</w:t>
      </w:r>
      <w:r w:rsidR="00BF660E">
        <w:rPr>
          <w:rFonts w:asciiTheme="majorHAnsi" w:hAnsiTheme="majorHAnsi" w:cs="Times New Roman"/>
          <w:bCs/>
          <w:color w:val="auto"/>
          <w:sz w:val="22"/>
          <w:szCs w:val="22"/>
        </w:rPr>
        <w:t xml:space="preserve"> a </w:t>
      </w:r>
      <w:r w:rsidR="008B37DA" w:rsidRPr="0003200D">
        <w:rPr>
          <w:rFonts w:asciiTheme="majorHAnsi" w:hAnsiTheme="majorHAnsi" w:cs="Times New Roman"/>
          <w:bCs/>
          <w:color w:val="auto"/>
          <w:sz w:val="22"/>
          <w:szCs w:val="22"/>
        </w:rPr>
        <w:t xml:space="preserve">právnymi predpismi Slovenskej republiky, ako aj </w:t>
      </w:r>
      <w:r w:rsidR="007A58A4">
        <w:rPr>
          <w:rFonts w:asciiTheme="majorHAnsi" w:hAnsiTheme="majorHAnsi" w:cs="Times New Roman"/>
          <w:bCs/>
          <w:color w:val="auto"/>
          <w:sz w:val="22"/>
          <w:szCs w:val="22"/>
        </w:rPr>
        <w:t>na</w:t>
      </w:r>
      <w:r w:rsidRPr="0003200D">
        <w:rPr>
          <w:rFonts w:asciiTheme="majorHAnsi" w:hAnsiTheme="majorHAnsi" w:cs="Times New Roman"/>
          <w:bCs/>
          <w:color w:val="auto"/>
          <w:sz w:val="22"/>
          <w:szCs w:val="22"/>
        </w:rPr>
        <w:t xml:space="preserve"> účel</w:t>
      </w:r>
      <w:r w:rsidR="007A58A4">
        <w:rPr>
          <w:rFonts w:asciiTheme="majorHAnsi" w:hAnsiTheme="majorHAnsi" w:cs="Times New Roman"/>
          <w:bCs/>
          <w:color w:val="auto"/>
          <w:sz w:val="22"/>
          <w:szCs w:val="22"/>
        </w:rPr>
        <w:t>y</w:t>
      </w:r>
      <w:r w:rsidR="008B37DA" w:rsidRPr="0003200D">
        <w:rPr>
          <w:rFonts w:asciiTheme="majorHAnsi" w:hAnsiTheme="majorHAnsi" w:cs="Times New Roman"/>
          <w:bCs/>
          <w:color w:val="auto"/>
          <w:sz w:val="22"/>
          <w:szCs w:val="22"/>
        </w:rPr>
        <w:t xml:space="preserve"> reagovania na skutočnosti identifikované v praxi. V tejto súvislosti </w:t>
      </w:r>
      <w:r w:rsidR="00A878E3" w:rsidRPr="0003200D">
        <w:rPr>
          <w:rFonts w:asciiTheme="majorHAnsi" w:hAnsiTheme="majorHAnsi" w:cs="Times New Roman"/>
          <w:bCs/>
          <w:color w:val="auto"/>
          <w:sz w:val="22"/>
          <w:szCs w:val="22"/>
        </w:rPr>
        <w:t>návrh</w:t>
      </w:r>
      <w:r w:rsidR="008B37DA" w:rsidRPr="0003200D">
        <w:rPr>
          <w:rFonts w:asciiTheme="majorHAnsi" w:hAnsiTheme="majorHAnsi" w:cs="Times New Roman"/>
          <w:bCs/>
          <w:color w:val="auto"/>
          <w:sz w:val="22"/>
          <w:szCs w:val="22"/>
        </w:rPr>
        <w:t xml:space="preserve"> </w:t>
      </w:r>
      <w:r w:rsidR="00650BB2" w:rsidRPr="0003200D">
        <w:rPr>
          <w:rFonts w:asciiTheme="majorHAnsi" w:hAnsiTheme="majorHAnsi" w:cs="Times New Roman"/>
          <w:bCs/>
          <w:color w:val="auto"/>
          <w:sz w:val="22"/>
          <w:szCs w:val="22"/>
        </w:rPr>
        <w:t>predpokladá</w:t>
      </w:r>
      <w:r w:rsidR="008B37DA" w:rsidRPr="0003200D">
        <w:rPr>
          <w:rFonts w:asciiTheme="majorHAnsi" w:hAnsiTheme="majorHAnsi" w:cs="Times New Roman"/>
          <w:bCs/>
          <w:color w:val="auto"/>
          <w:sz w:val="22"/>
          <w:szCs w:val="22"/>
        </w:rPr>
        <w:t xml:space="preserve"> novelizáci</w:t>
      </w:r>
      <w:r w:rsidR="00A878E3" w:rsidRPr="0003200D">
        <w:rPr>
          <w:rFonts w:asciiTheme="majorHAnsi" w:hAnsiTheme="majorHAnsi" w:cs="Times New Roman"/>
          <w:bCs/>
          <w:color w:val="auto"/>
          <w:sz w:val="22"/>
          <w:szCs w:val="22"/>
        </w:rPr>
        <w:t>u</w:t>
      </w:r>
      <w:r w:rsidR="008B37DA" w:rsidRPr="0003200D">
        <w:rPr>
          <w:rFonts w:asciiTheme="majorHAnsi" w:hAnsiTheme="majorHAnsi" w:cs="Times New Roman"/>
          <w:bCs/>
          <w:color w:val="auto"/>
          <w:sz w:val="22"/>
          <w:szCs w:val="22"/>
        </w:rPr>
        <w:t xml:space="preserve"> častí prílohy k opatreniu upravujúcich poplatky za úkony Národnej banky Slovenska v sektor</w:t>
      </w:r>
      <w:r w:rsidR="00BF660E">
        <w:rPr>
          <w:rFonts w:asciiTheme="majorHAnsi" w:hAnsiTheme="majorHAnsi" w:cs="Times New Roman"/>
          <w:bCs/>
          <w:color w:val="auto"/>
          <w:sz w:val="22"/>
          <w:szCs w:val="22"/>
        </w:rPr>
        <w:t>och</w:t>
      </w:r>
      <w:r w:rsidR="008B37DA" w:rsidRPr="0003200D">
        <w:rPr>
          <w:rFonts w:asciiTheme="majorHAnsi" w:hAnsiTheme="majorHAnsi" w:cs="Times New Roman"/>
          <w:bCs/>
          <w:color w:val="auto"/>
          <w:sz w:val="22"/>
          <w:szCs w:val="22"/>
        </w:rPr>
        <w:t xml:space="preserve"> bankovníctva, kapitálového trhu, poisťovníctva, dôchodkového sporenia</w:t>
      </w:r>
      <w:r w:rsidR="007E2AE4" w:rsidRPr="0003200D">
        <w:rPr>
          <w:rFonts w:asciiTheme="majorHAnsi" w:hAnsiTheme="majorHAnsi" w:cs="Times New Roman"/>
          <w:bCs/>
          <w:color w:val="auto"/>
          <w:sz w:val="22"/>
          <w:szCs w:val="22"/>
        </w:rPr>
        <w:t>, finančného sprostredkovania a finančného poradenstva, poskytovania spotrebiteľských úverov a iných úverov a pôžičiek spotrebiteľom</w:t>
      </w:r>
      <w:r w:rsidR="008B37DA" w:rsidRPr="0003200D">
        <w:rPr>
          <w:rFonts w:asciiTheme="majorHAnsi" w:hAnsiTheme="majorHAnsi" w:cs="Times New Roman"/>
          <w:bCs/>
          <w:color w:val="auto"/>
          <w:sz w:val="22"/>
          <w:szCs w:val="22"/>
        </w:rPr>
        <w:t xml:space="preserve"> a</w:t>
      </w:r>
      <w:r w:rsidR="00BF660E">
        <w:rPr>
          <w:rFonts w:asciiTheme="majorHAnsi" w:hAnsiTheme="majorHAnsi" w:cs="Times New Roman"/>
          <w:bCs/>
          <w:color w:val="auto"/>
          <w:sz w:val="22"/>
          <w:szCs w:val="22"/>
        </w:rPr>
        <w:t xml:space="preserve"> v </w:t>
      </w:r>
      <w:r w:rsidR="008B37DA" w:rsidRPr="0003200D">
        <w:rPr>
          <w:rFonts w:asciiTheme="majorHAnsi" w:hAnsiTheme="majorHAnsi" w:cs="Times New Roman"/>
          <w:bCs/>
          <w:color w:val="auto"/>
          <w:sz w:val="22"/>
          <w:szCs w:val="22"/>
        </w:rPr>
        <w:t>oblasti platobných služieb.</w:t>
      </w:r>
    </w:p>
    <w:p w14:paraId="27ECCF15" w14:textId="77777777" w:rsidR="007B7725" w:rsidRPr="0003200D" w:rsidRDefault="007B772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  <w:bCs/>
        </w:rPr>
      </w:pPr>
    </w:p>
    <w:p w14:paraId="465A023B" w14:textId="1AF08CE1" w:rsidR="008B37DA" w:rsidRPr="0003200D" w:rsidRDefault="00310A75" w:rsidP="001D76F3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  <w:bCs/>
        </w:rPr>
      </w:pPr>
      <w:r w:rsidRPr="0003200D">
        <w:rPr>
          <w:rFonts w:asciiTheme="majorHAnsi" w:hAnsiTheme="majorHAnsi" w:cs="Times New Roman"/>
          <w:b/>
          <w:bCs/>
        </w:rPr>
        <w:t>3. Zhodnotenie súčasného stavu:</w:t>
      </w:r>
    </w:p>
    <w:p w14:paraId="5852EEE0" w14:textId="07216695" w:rsidR="008B37DA" w:rsidRPr="0003200D" w:rsidRDefault="008B37DA" w:rsidP="00A63AC3">
      <w:pPr>
        <w:spacing w:after="0" w:line="240" w:lineRule="auto"/>
        <w:jc w:val="both"/>
        <w:rPr>
          <w:rFonts w:asciiTheme="majorHAnsi" w:hAnsiTheme="majorHAnsi" w:cs="Times New Roman"/>
          <w:bCs/>
        </w:rPr>
      </w:pPr>
      <w:r w:rsidRPr="0003200D">
        <w:rPr>
          <w:rFonts w:asciiTheme="majorHAnsi" w:hAnsiTheme="majorHAnsi" w:cs="Times New Roman"/>
          <w:bCs/>
        </w:rPr>
        <w:t xml:space="preserve">Návrh opatrenia vychádza z opatrenia č. </w:t>
      </w:r>
      <w:r w:rsidR="0090650B" w:rsidRPr="0003200D">
        <w:rPr>
          <w:rFonts w:asciiTheme="majorHAnsi" w:hAnsiTheme="majorHAnsi" w:cs="Times New Roman"/>
          <w:bCs/>
        </w:rPr>
        <w:t>5</w:t>
      </w:r>
      <w:r w:rsidRPr="0003200D">
        <w:rPr>
          <w:rFonts w:asciiTheme="majorHAnsi" w:hAnsiTheme="majorHAnsi" w:cs="Times New Roman"/>
          <w:bCs/>
        </w:rPr>
        <w:t>/202</w:t>
      </w:r>
      <w:r w:rsidR="0090650B" w:rsidRPr="0003200D">
        <w:rPr>
          <w:rFonts w:asciiTheme="majorHAnsi" w:hAnsiTheme="majorHAnsi" w:cs="Times New Roman"/>
          <w:bCs/>
        </w:rPr>
        <w:t>1</w:t>
      </w:r>
      <w:r w:rsidRPr="0003200D">
        <w:rPr>
          <w:rFonts w:asciiTheme="majorHAnsi" w:hAnsiTheme="majorHAnsi" w:cs="Times New Roman"/>
          <w:bCs/>
        </w:rPr>
        <w:t xml:space="preserve">. Aktualizácia prílohy k spomínanému opatreniu, stanovujúcej poplatky za úkony Národnej banky Slovenska </w:t>
      </w:r>
      <w:r w:rsidR="00B56806" w:rsidRPr="0003200D">
        <w:rPr>
          <w:rFonts w:asciiTheme="majorHAnsi" w:hAnsiTheme="majorHAnsi" w:cs="Times New Roman"/>
          <w:bCs/>
        </w:rPr>
        <w:t xml:space="preserve">pri dohľade </w:t>
      </w:r>
      <w:r w:rsidRPr="0003200D">
        <w:rPr>
          <w:rFonts w:asciiTheme="majorHAnsi" w:hAnsiTheme="majorHAnsi" w:cs="Times New Roman"/>
          <w:bCs/>
        </w:rPr>
        <w:t xml:space="preserve">v jednotlivých sektoroch finančného trhu, sa navrhuje </w:t>
      </w:r>
      <w:r w:rsidR="003103DB" w:rsidRPr="0003200D">
        <w:rPr>
          <w:rFonts w:asciiTheme="majorHAnsi" w:hAnsiTheme="majorHAnsi" w:cs="Times New Roman"/>
          <w:bCs/>
        </w:rPr>
        <w:t>predovšetkým</w:t>
      </w:r>
      <w:r w:rsidR="00A878E3" w:rsidRPr="0003200D">
        <w:rPr>
          <w:rFonts w:asciiTheme="majorHAnsi" w:hAnsiTheme="majorHAnsi" w:cs="Times New Roman"/>
          <w:bCs/>
        </w:rPr>
        <w:t xml:space="preserve"> </w:t>
      </w:r>
      <w:r w:rsidRPr="0003200D">
        <w:rPr>
          <w:rFonts w:asciiTheme="majorHAnsi" w:hAnsiTheme="majorHAnsi" w:cs="Times New Roman"/>
          <w:bCs/>
        </w:rPr>
        <w:t>v kontexte potreby reflektovania skutočností vyplývajúcich z príslušnej legislatívy Európskej únie</w:t>
      </w:r>
      <w:r w:rsidR="00E63A29" w:rsidRPr="0003200D">
        <w:rPr>
          <w:rFonts w:asciiTheme="majorHAnsi" w:hAnsiTheme="majorHAnsi" w:cs="Times New Roman"/>
          <w:bCs/>
        </w:rPr>
        <w:t xml:space="preserve"> </w:t>
      </w:r>
      <w:r w:rsidRPr="0003200D">
        <w:rPr>
          <w:rFonts w:asciiTheme="majorHAnsi" w:hAnsiTheme="majorHAnsi" w:cs="Times New Roman"/>
          <w:bCs/>
        </w:rPr>
        <w:t xml:space="preserve">(najmä </w:t>
      </w:r>
      <w:r w:rsidR="0016490C" w:rsidRPr="0003200D">
        <w:rPr>
          <w:rFonts w:asciiTheme="majorHAnsi" w:hAnsiTheme="majorHAnsi" w:cs="Times New Roman"/>
          <w:bCs/>
        </w:rPr>
        <w:t>nariadenia (EÚ)</w:t>
      </w:r>
      <w:r w:rsidR="008F03C0" w:rsidRPr="0003200D">
        <w:rPr>
          <w:rFonts w:asciiTheme="majorHAnsi" w:hAnsiTheme="majorHAnsi" w:cs="Times New Roman"/>
          <w:bCs/>
        </w:rPr>
        <w:t> </w:t>
      </w:r>
      <w:r w:rsidR="0016490C" w:rsidRPr="0003200D">
        <w:rPr>
          <w:rFonts w:asciiTheme="majorHAnsi" w:hAnsiTheme="majorHAnsi" w:cs="Times New Roman"/>
          <w:bCs/>
        </w:rPr>
        <w:t>č.</w:t>
      </w:r>
      <w:r w:rsidR="00565440" w:rsidRPr="0003200D">
        <w:rPr>
          <w:rFonts w:asciiTheme="majorHAnsi" w:hAnsiTheme="majorHAnsi" w:cs="Times New Roman"/>
          <w:bCs/>
        </w:rPr>
        <w:t> </w:t>
      </w:r>
      <w:r w:rsidR="0016490C" w:rsidRPr="0003200D">
        <w:rPr>
          <w:rFonts w:asciiTheme="majorHAnsi" w:hAnsiTheme="majorHAnsi" w:cs="Times New Roman"/>
          <w:bCs/>
        </w:rPr>
        <w:t xml:space="preserve">575/2013 v platnom znení, </w:t>
      </w:r>
      <w:r w:rsidRPr="0003200D">
        <w:rPr>
          <w:rFonts w:asciiTheme="majorHAnsi" w:hAnsiTheme="majorHAnsi" w:cs="Times New Roman"/>
          <w:bCs/>
        </w:rPr>
        <w:t xml:space="preserve">nariadenia </w:t>
      </w:r>
      <w:r w:rsidR="00E63A29" w:rsidRPr="0003200D">
        <w:rPr>
          <w:rFonts w:asciiTheme="majorHAnsi" w:hAnsiTheme="majorHAnsi" w:cs="Times New Roman"/>
          <w:bCs/>
        </w:rPr>
        <w:t>(EÚ) 20</w:t>
      </w:r>
      <w:r w:rsidR="0016490C" w:rsidRPr="0003200D">
        <w:rPr>
          <w:rFonts w:asciiTheme="majorHAnsi" w:hAnsiTheme="majorHAnsi" w:cs="Times New Roman"/>
          <w:bCs/>
        </w:rPr>
        <w:t>17</w:t>
      </w:r>
      <w:r w:rsidR="00E63A29" w:rsidRPr="0003200D">
        <w:rPr>
          <w:rFonts w:asciiTheme="majorHAnsi" w:hAnsiTheme="majorHAnsi" w:cs="Times New Roman"/>
          <w:bCs/>
        </w:rPr>
        <w:t>/1</w:t>
      </w:r>
      <w:r w:rsidR="0016490C" w:rsidRPr="0003200D">
        <w:rPr>
          <w:rFonts w:asciiTheme="majorHAnsi" w:hAnsiTheme="majorHAnsi" w:cs="Times New Roman"/>
          <w:bCs/>
        </w:rPr>
        <w:t>129 v platnom znení</w:t>
      </w:r>
      <w:r w:rsidR="0085596D" w:rsidRPr="0003200D">
        <w:rPr>
          <w:rFonts w:asciiTheme="majorHAnsi" w:hAnsiTheme="majorHAnsi" w:cs="Times New Roman"/>
          <w:bCs/>
        </w:rPr>
        <w:t xml:space="preserve"> a</w:t>
      </w:r>
      <w:r w:rsidRPr="0003200D">
        <w:rPr>
          <w:rFonts w:asciiTheme="majorHAnsi" w:hAnsiTheme="majorHAnsi" w:cs="Times New Roman"/>
          <w:bCs/>
        </w:rPr>
        <w:t xml:space="preserve"> </w:t>
      </w:r>
      <w:r w:rsidR="0016490C" w:rsidRPr="0003200D">
        <w:rPr>
          <w:rFonts w:asciiTheme="majorHAnsi" w:hAnsiTheme="majorHAnsi" w:cs="Times New Roman"/>
          <w:bCs/>
        </w:rPr>
        <w:t>nariadenia (EÚ) 2019/2033</w:t>
      </w:r>
      <w:r w:rsidR="009C58EA" w:rsidRPr="0003200D">
        <w:rPr>
          <w:rFonts w:asciiTheme="majorHAnsi" w:hAnsiTheme="majorHAnsi" w:cs="Times New Roman"/>
          <w:bCs/>
        </w:rPr>
        <w:t xml:space="preserve"> v platnom znení</w:t>
      </w:r>
      <w:r w:rsidRPr="0003200D">
        <w:rPr>
          <w:rFonts w:asciiTheme="majorHAnsi" w:hAnsiTheme="majorHAnsi" w:cs="Times New Roman"/>
          <w:bCs/>
        </w:rPr>
        <w:t xml:space="preserve">), ako aj z viacerých právnych predpisov Slovenskej republiky (najmä </w:t>
      </w:r>
      <w:r w:rsidR="00E63A29" w:rsidRPr="0003200D">
        <w:rPr>
          <w:rFonts w:asciiTheme="majorHAnsi" w:hAnsiTheme="majorHAnsi" w:cs="Times New Roman"/>
          <w:bCs/>
        </w:rPr>
        <w:t>zákona č.</w:t>
      </w:r>
      <w:r w:rsidR="004E39B1" w:rsidRPr="0003200D">
        <w:rPr>
          <w:rFonts w:asciiTheme="majorHAnsi" w:hAnsiTheme="majorHAnsi" w:cs="Times New Roman"/>
          <w:bCs/>
        </w:rPr>
        <w:t> </w:t>
      </w:r>
      <w:r w:rsidR="00E63A29" w:rsidRPr="0003200D">
        <w:rPr>
          <w:rFonts w:asciiTheme="majorHAnsi" w:hAnsiTheme="majorHAnsi" w:cs="Times New Roman"/>
          <w:bCs/>
        </w:rPr>
        <w:t>492/2009 Z. z. v znení neskorších</w:t>
      </w:r>
      <w:r w:rsidR="00E12329" w:rsidRPr="0003200D">
        <w:rPr>
          <w:rFonts w:asciiTheme="majorHAnsi" w:hAnsiTheme="majorHAnsi" w:cs="Times New Roman"/>
          <w:bCs/>
        </w:rPr>
        <w:t xml:space="preserve"> </w:t>
      </w:r>
      <w:r w:rsidR="00E63A29" w:rsidRPr="0003200D">
        <w:rPr>
          <w:rFonts w:asciiTheme="majorHAnsi" w:hAnsiTheme="majorHAnsi" w:cs="Times New Roman"/>
          <w:bCs/>
        </w:rPr>
        <w:t>predpisov</w:t>
      </w:r>
      <w:r w:rsidR="00CB5FC1" w:rsidRPr="0003200D">
        <w:rPr>
          <w:rFonts w:asciiTheme="majorHAnsi" w:hAnsiTheme="majorHAnsi" w:cs="Times New Roman"/>
          <w:bCs/>
        </w:rPr>
        <w:t>, zákona č.</w:t>
      </w:r>
      <w:r w:rsidR="00182BC4" w:rsidRPr="0003200D">
        <w:rPr>
          <w:rFonts w:asciiTheme="majorHAnsi" w:hAnsiTheme="majorHAnsi" w:cs="Times New Roman"/>
          <w:bCs/>
        </w:rPr>
        <w:t> </w:t>
      </w:r>
      <w:r w:rsidR="00CB5FC1" w:rsidRPr="0003200D">
        <w:rPr>
          <w:rFonts w:asciiTheme="majorHAnsi" w:hAnsiTheme="majorHAnsi" w:cs="Times New Roman"/>
          <w:bCs/>
        </w:rPr>
        <w:t>483/2001</w:t>
      </w:r>
      <w:r w:rsidR="00182BC4" w:rsidRPr="0003200D">
        <w:rPr>
          <w:rFonts w:asciiTheme="majorHAnsi" w:hAnsiTheme="majorHAnsi" w:cs="Times New Roman"/>
          <w:bCs/>
        </w:rPr>
        <w:t> </w:t>
      </w:r>
      <w:r w:rsidR="00CB5FC1" w:rsidRPr="0003200D">
        <w:rPr>
          <w:rFonts w:asciiTheme="majorHAnsi" w:hAnsiTheme="majorHAnsi" w:cs="Times New Roman"/>
          <w:bCs/>
        </w:rPr>
        <w:t>Z.</w:t>
      </w:r>
      <w:r w:rsidR="00182BC4" w:rsidRPr="0003200D">
        <w:rPr>
          <w:rFonts w:asciiTheme="majorHAnsi" w:hAnsiTheme="majorHAnsi" w:cs="Times New Roman"/>
          <w:bCs/>
        </w:rPr>
        <w:t> </w:t>
      </w:r>
      <w:r w:rsidR="00CB5FC1" w:rsidRPr="0003200D">
        <w:rPr>
          <w:rFonts w:asciiTheme="majorHAnsi" w:hAnsiTheme="majorHAnsi" w:cs="Times New Roman"/>
          <w:bCs/>
        </w:rPr>
        <w:t>z. v znení neskorších predpisov, zákona č. 566/2001 Z. z. v znení neskorších predpisov, zákona č.</w:t>
      </w:r>
      <w:r w:rsidR="001E0A3D" w:rsidRPr="0003200D">
        <w:rPr>
          <w:rFonts w:asciiTheme="majorHAnsi" w:hAnsiTheme="majorHAnsi" w:cs="Times New Roman"/>
          <w:bCs/>
        </w:rPr>
        <w:t> </w:t>
      </w:r>
      <w:r w:rsidR="00CB5FC1" w:rsidRPr="0003200D">
        <w:rPr>
          <w:rFonts w:asciiTheme="majorHAnsi" w:hAnsiTheme="majorHAnsi" w:cs="Times New Roman"/>
          <w:bCs/>
        </w:rPr>
        <w:t>39/2015</w:t>
      </w:r>
      <w:r w:rsidR="001E0A3D" w:rsidRPr="0003200D">
        <w:rPr>
          <w:rFonts w:asciiTheme="majorHAnsi" w:hAnsiTheme="majorHAnsi" w:cs="Times New Roman"/>
          <w:bCs/>
        </w:rPr>
        <w:t> </w:t>
      </w:r>
      <w:r w:rsidR="00CB5FC1" w:rsidRPr="0003200D">
        <w:rPr>
          <w:rFonts w:asciiTheme="majorHAnsi" w:hAnsiTheme="majorHAnsi" w:cs="Times New Roman"/>
          <w:bCs/>
        </w:rPr>
        <w:t xml:space="preserve">Z. z. </w:t>
      </w:r>
      <w:r w:rsidR="00172AAA" w:rsidRPr="0003200D">
        <w:rPr>
          <w:rFonts w:asciiTheme="majorHAnsi" w:hAnsiTheme="majorHAnsi" w:cs="Times New Roman"/>
          <w:bCs/>
        </w:rPr>
        <w:t>v</w:t>
      </w:r>
      <w:r w:rsidR="004E39B1" w:rsidRPr="0003200D">
        <w:rPr>
          <w:rFonts w:asciiTheme="majorHAnsi" w:hAnsiTheme="majorHAnsi" w:cs="Times New Roman"/>
          <w:bCs/>
        </w:rPr>
        <w:t> </w:t>
      </w:r>
      <w:r w:rsidR="00CB5FC1" w:rsidRPr="0003200D">
        <w:rPr>
          <w:rFonts w:asciiTheme="majorHAnsi" w:hAnsiTheme="majorHAnsi" w:cs="Times New Roman"/>
          <w:bCs/>
        </w:rPr>
        <w:t>znení neskorších predpisov</w:t>
      </w:r>
      <w:r w:rsidR="009C58EA" w:rsidRPr="0003200D">
        <w:rPr>
          <w:rFonts w:asciiTheme="majorHAnsi" w:hAnsiTheme="majorHAnsi" w:cs="Times New Roman"/>
          <w:bCs/>
        </w:rPr>
        <w:t>, zákona č. 186/2009 Z. z. v znení neskorších predpisov</w:t>
      </w:r>
      <w:r w:rsidR="00F6382B" w:rsidRPr="0003200D">
        <w:rPr>
          <w:rFonts w:asciiTheme="majorHAnsi" w:hAnsiTheme="majorHAnsi" w:cs="Times New Roman"/>
          <w:bCs/>
        </w:rPr>
        <w:t>, zákona č. 312/2025 Z. z.</w:t>
      </w:r>
      <w:r w:rsidR="00074D06" w:rsidRPr="0003200D">
        <w:rPr>
          <w:rFonts w:asciiTheme="majorHAnsi" w:hAnsiTheme="majorHAnsi" w:cs="Times New Roman"/>
          <w:bCs/>
        </w:rPr>
        <w:t>, zákona č. 43/2004 Z. z. v znení neskorších predpisov, zákona č. 650/2004 Z. z. v znení neskorších predpisov</w:t>
      </w:r>
      <w:r w:rsidR="00CB5FC1" w:rsidRPr="0003200D">
        <w:rPr>
          <w:rFonts w:asciiTheme="majorHAnsi" w:hAnsiTheme="majorHAnsi" w:cs="Times New Roman"/>
          <w:bCs/>
        </w:rPr>
        <w:t xml:space="preserve"> a zákona č. 203/2011 Z. z. v znení neskorších predpisov</w:t>
      </w:r>
      <w:r w:rsidRPr="0003200D">
        <w:rPr>
          <w:rFonts w:asciiTheme="majorHAnsi" w:hAnsiTheme="majorHAnsi" w:cs="Times New Roman"/>
          <w:bCs/>
        </w:rPr>
        <w:t>).</w:t>
      </w:r>
    </w:p>
    <w:p w14:paraId="5DC36365" w14:textId="77777777" w:rsidR="00302D52" w:rsidRPr="0003200D" w:rsidRDefault="00302D52" w:rsidP="00302D52">
      <w:pPr>
        <w:spacing w:after="0" w:line="240" w:lineRule="auto"/>
        <w:jc w:val="both"/>
        <w:rPr>
          <w:rFonts w:asciiTheme="majorHAnsi" w:hAnsiTheme="majorHAnsi" w:cs="Times New Roman"/>
        </w:rPr>
      </w:pPr>
    </w:p>
    <w:p w14:paraId="2BC90EA8" w14:textId="7777777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b/>
          <w:bCs/>
        </w:rPr>
      </w:pPr>
      <w:r w:rsidRPr="0003200D">
        <w:rPr>
          <w:rFonts w:asciiTheme="majorHAnsi" w:hAnsiTheme="majorHAnsi" w:cs="Times New Roman"/>
          <w:b/>
          <w:bCs/>
        </w:rPr>
        <w:t>4. Spôsob zapojenia verejnosti do prípravy právneho predpisu:</w:t>
      </w:r>
    </w:p>
    <w:p w14:paraId="5B440B43" w14:textId="6CB14921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  <w:r w:rsidRPr="0003200D">
        <w:rPr>
          <w:rFonts w:asciiTheme="majorHAnsi" w:hAnsiTheme="majorHAnsi" w:cs="Times New Roman"/>
        </w:rPr>
        <w:t>Verejnosť sa môže zapojiť do prípravy právneho predpisu formou zasielania podnetov</w:t>
      </w:r>
      <w:r w:rsidR="007A05FA" w:rsidRPr="0003200D">
        <w:rPr>
          <w:rFonts w:asciiTheme="majorHAnsi" w:hAnsiTheme="majorHAnsi" w:cs="Times New Roman"/>
        </w:rPr>
        <w:t>,</w:t>
      </w:r>
      <w:r w:rsidRPr="0003200D">
        <w:rPr>
          <w:rFonts w:asciiTheme="majorHAnsi" w:hAnsiTheme="majorHAnsi" w:cs="Times New Roman"/>
        </w:rPr>
        <w:t xml:space="preserve"> či návrhov v intenciách vecného zamerania podľa bodu 2.</w:t>
      </w:r>
      <w:r w:rsidR="009C0A94">
        <w:rPr>
          <w:rFonts w:asciiTheme="majorHAnsi" w:hAnsiTheme="majorHAnsi" w:cs="Times New Roman"/>
        </w:rPr>
        <w:t xml:space="preserve"> Lehota na vyjadrenie je do 21. augusta 2026.</w:t>
      </w:r>
    </w:p>
    <w:p w14:paraId="5C70E713" w14:textId="7777777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</w:p>
    <w:p w14:paraId="725DA6A8" w14:textId="7777777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u w:val="single"/>
        </w:rPr>
      </w:pPr>
      <w:r w:rsidRPr="0003200D">
        <w:rPr>
          <w:rFonts w:asciiTheme="majorHAnsi" w:hAnsiTheme="majorHAnsi" w:cs="Times New Roman"/>
          <w:u w:val="single"/>
        </w:rPr>
        <w:t>Kontaktné údaje:</w:t>
      </w:r>
    </w:p>
    <w:p w14:paraId="0DCF644F" w14:textId="32D82C9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  <w:r w:rsidRPr="0003200D">
        <w:rPr>
          <w:rFonts w:asciiTheme="majorHAnsi" w:hAnsiTheme="majorHAnsi" w:cs="Times New Roman"/>
        </w:rPr>
        <w:t xml:space="preserve">Národná banka Slovenska </w:t>
      </w:r>
    </w:p>
    <w:p w14:paraId="3A6AFB17" w14:textId="7896C7A2" w:rsidR="00E4098D" w:rsidRPr="0003200D" w:rsidRDefault="00E4098D" w:rsidP="0069486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  <w:r w:rsidRPr="0003200D">
        <w:rPr>
          <w:rFonts w:asciiTheme="majorHAnsi" w:hAnsiTheme="majorHAnsi" w:cs="Times New Roman"/>
        </w:rPr>
        <w:t>Úsek dohľadu a ochrany finančného spotrebiteľa</w:t>
      </w:r>
    </w:p>
    <w:p w14:paraId="52637AA8" w14:textId="5D3E4F09" w:rsidR="00694869" w:rsidRPr="0003200D" w:rsidRDefault="00694869" w:rsidP="0069486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  <w:r w:rsidRPr="0003200D">
        <w:rPr>
          <w:rFonts w:asciiTheme="majorHAnsi" w:hAnsiTheme="majorHAnsi" w:cs="Times New Roman"/>
        </w:rPr>
        <w:t>Odbor dohľadu nad poisťovníctvom a dôchodkovým sporením</w:t>
      </w:r>
    </w:p>
    <w:p w14:paraId="6847E61D" w14:textId="7777777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  <w:r w:rsidRPr="0003200D">
        <w:rPr>
          <w:rFonts w:asciiTheme="majorHAnsi" w:hAnsiTheme="majorHAnsi" w:cs="Times New Roman"/>
        </w:rPr>
        <w:t>Imricha Karvaša 1</w:t>
      </w:r>
    </w:p>
    <w:p w14:paraId="2953E850" w14:textId="77777777" w:rsidR="00310A75" w:rsidRPr="0003200D" w:rsidRDefault="00310A7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</w:rPr>
      </w:pPr>
      <w:r w:rsidRPr="0003200D">
        <w:rPr>
          <w:rFonts w:asciiTheme="majorHAnsi" w:hAnsiTheme="majorHAnsi" w:cs="Times New Roman"/>
        </w:rPr>
        <w:t>813 25 Bratislava</w:t>
      </w:r>
    </w:p>
    <w:p w14:paraId="13040F9F" w14:textId="77777777" w:rsidR="00310A75" w:rsidRPr="0003200D" w:rsidRDefault="00E97BE2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color w:val="0000FF" w:themeColor="hyperlink"/>
          <w:u w:val="single"/>
        </w:rPr>
      </w:pPr>
      <w:r w:rsidRPr="0003200D">
        <w:rPr>
          <w:rFonts w:asciiTheme="majorHAnsi" w:hAnsiTheme="majorHAnsi" w:cs="Times New Roman"/>
        </w:rPr>
        <w:t>email</w:t>
      </w:r>
      <w:r w:rsidR="00310A75" w:rsidRPr="0003200D">
        <w:rPr>
          <w:rFonts w:asciiTheme="majorHAnsi" w:hAnsiTheme="majorHAnsi" w:cs="Times New Roman"/>
        </w:rPr>
        <w:t xml:space="preserve">: </w:t>
      </w:r>
      <w:r w:rsidR="00310A75" w:rsidRPr="0003200D">
        <w:rPr>
          <w:rFonts w:asciiTheme="majorHAnsi" w:hAnsiTheme="majorHAnsi" w:cs="Arial"/>
          <w:color w:val="000000"/>
        </w:rPr>
        <w:t>oznamopk@nbs.sk</w:t>
      </w:r>
    </w:p>
    <w:p w14:paraId="1DD7EFFA" w14:textId="77777777" w:rsidR="00BA70A5" w:rsidRPr="0003200D" w:rsidRDefault="00BA70A5" w:rsidP="00310A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  <w:bCs/>
        </w:rPr>
      </w:pPr>
    </w:p>
    <w:p w14:paraId="001DF98E" w14:textId="77777777" w:rsidR="007B1360" w:rsidRPr="0003200D" w:rsidRDefault="00310A75" w:rsidP="007B136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  <w:bCs/>
        </w:rPr>
      </w:pPr>
      <w:r w:rsidRPr="0003200D">
        <w:rPr>
          <w:rFonts w:asciiTheme="majorHAnsi" w:hAnsiTheme="majorHAnsi" w:cs="Times New Roman"/>
          <w:b/>
          <w:bCs/>
        </w:rPr>
        <w:t>5. Predpokladaný termín začatia pripomienkového konania:</w:t>
      </w:r>
    </w:p>
    <w:p w14:paraId="18FB64C0" w14:textId="1C523E96" w:rsidR="000751CD" w:rsidRPr="000742F2" w:rsidRDefault="001901C5" w:rsidP="00D944BE">
      <w:pPr>
        <w:spacing w:after="0" w:line="240" w:lineRule="auto"/>
        <w:jc w:val="both"/>
        <w:rPr>
          <w:rFonts w:asciiTheme="majorHAnsi" w:hAnsiTheme="majorHAnsi"/>
        </w:rPr>
      </w:pPr>
      <w:r w:rsidRPr="0003200D">
        <w:rPr>
          <w:rFonts w:asciiTheme="majorHAnsi" w:hAnsiTheme="majorHAnsi" w:cs="Times New Roman"/>
        </w:rPr>
        <w:t xml:space="preserve">september </w:t>
      </w:r>
      <w:r w:rsidR="00981623" w:rsidRPr="0003200D">
        <w:rPr>
          <w:rFonts w:asciiTheme="majorHAnsi" w:hAnsiTheme="majorHAnsi" w:cs="Times New Roman"/>
        </w:rPr>
        <w:t>20</w:t>
      </w:r>
      <w:r w:rsidR="000742F2" w:rsidRPr="0003200D">
        <w:rPr>
          <w:rFonts w:asciiTheme="majorHAnsi" w:hAnsiTheme="majorHAnsi" w:cs="Times New Roman"/>
        </w:rPr>
        <w:t>2</w:t>
      </w:r>
      <w:r w:rsidRPr="0003200D">
        <w:rPr>
          <w:rFonts w:asciiTheme="majorHAnsi" w:hAnsiTheme="majorHAnsi" w:cs="Times New Roman"/>
        </w:rPr>
        <w:t>6</w:t>
      </w:r>
    </w:p>
    <w:sectPr w:rsidR="000751CD" w:rsidRPr="00074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C6B85" w14:textId="77777777" w:rsidR="00542070" w:rsidRDefault="00542070" w:rsidP="00271633">
      <w:pPr>
        <w:spacing w:after="0" w:line="240" w:lineRule="auto"/>
      </w:pPr>
      <w:r>
        <w:separator/>
      </w:r>
    </w:p>
  </w:endnote>
  <w:endnote w:type="continuationSeparator" w:id="0">
    <w:p w14:paraId="31CF273B" w14:textId="77777777" w:rsidR="00542070" w:rsidRDefault="00542070" w:rsidP="00271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08EC9" w14:textId="77777777" w:rsidR="00542070" w:rsidRDefault="00542070" w:rsidP="00271633">
      <w:pPr>
        <w:spacing w:after="0" w:line="240" w:lineRule="auto"/>
      </w:pPr>
      <w:r>
        <w:separator/>
      </w:r>
    </w:p>
  </w:footnote>
  <w:footnote w:type="continuationSeparator" w:id="0">
    <w:p w14:paraId="07F69AA0" w14:textId="77777777" w:rsidR="00542070" w:rsidRDefault="00542070" w:rsidP="002716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D3D60"/>
    <w:multiLevelType w:val="hybridMultilevel"/>
    <w:tmpl w:val="B900B7FC"/>
    <w:lvl w:ilvl="0" w:tplc="6DC47C2C">
      <w:start w:val="1"/>
      <w:numFmt w:val="decimal"/>
      <w:pStyle w:val="odsek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1FE03A0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7D4E83B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90CA1"/>
    <w:multiLevelType w:val="hybridMultilevel"/>
    <w:tmpl w:val="D12E651E"/>
    <w:lvl w:ilvl="0" w:tplc="AD38C5CE">
      <w:start w:val="1"/>
      <w:numFmt w:val="lowerLetter"/>
      <w:pStyle w:val="Zoznam1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1FE03A0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7D4E83B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CD1B0F"/>
    <w:multiLevelType w:val="hybridMultilevel"/>
    <w:tmpl w:val="BA2A7AA0"/>
    <w:lvl w:ilvl="0" w:tplc="011E1916">
      <w:start w:val="1"/>
      <w:numFmt w:val="decimal"/>
      <w:lvlText w:val="(%1)"/>
      <w:lvlJc w:val="left"/>
      <w:pPr>
        <w:ind w:left="786" w:hanging="360"/>
      </w:pPr>
      <w:rPr>
        <w:rFonts w:ascii="Times New Roman" w:hAnsi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780" w:hanging="360"/>
      </w:pPr>
    </w:lvl>
    <w:lvl w:ilvl="2" w:tplc="041B001B" w:tentative="1">
      <w:start w:val="1"/>
      <w:numFmt w:val="lowerRoman"/>
      <w:lvlText w:val="%3."/>
      <w:lvlJc w:val="right"/>
      <w:pPr>
        <w:ind w:left="2500" w:hanging="180"/>
      </w:pPr>
    </w:lvl>
    <w:lvl w:ilvl="3" w:tplc="041B000F" w:tentative="1">
      <w:start w:val="1"/>
      <w:numFmt w:val="decimal"/>
      <w:lvlText w:val="%4."/>
      <w:lvlJc w:val="left"/>
      <w:pPr>
        <w:ind w:left="3220" w:hanging="360"/>
      </w:pPr>
    </w:lvl>
    <w:lvl w:ilvl="4" w:tplc="041B0019" w:tentative="1">
      <w:start w:val="1"/>
      <w:numFmt w:val="lowerLetter"/>
      <w:lvlText w:val="%5."/>
      <w:lvlJc w:val="left"/>
      <w:pPr>
        <w:ind w:left="3940" w:hanging="360"/>
      </w:pPr>
    </w:lvl>
    <w:lvl w:ilvl="5" w:tplc="041B001B" w:tentative="1">
      <w:start w:val="1"/>
      <w:numFmt w:val="lowerRoman"/>
      <w:lvlText w:val="%6."/>
      <w:lvlJc w:val="right"/>
      <w:pPr>
        <w:ind w:left="4660" w:hanging="180"/>
      </w:pPr>
    </w:lvl>
    <w:lvl w:ilvl="6" w:tplc="041B000F" w:tentative="1">
      <w:start w:val="1"/>
      <w:numFmt w:val="decimal"/>
      <w:lvlText w:val="%7."/>
      <w:lvlJc w:val="left"/>
      <w:pPr>
        <w:ind w:left="5380" w:hanging="360"/>
      </w:pPr>
    </w:lvl>
    <w:lvl w:ilvl="7" w:tplc="041B0019" w:tentative="1">
      <w:start w:val="1"/>
      <w:numFmt w:val="lowerLetter"/>
      <w:lvlText w:val="%8."/>
      <w:lvlJc w:val="left"/>
      <w:pPr>
        <w:ind w:left="6100" w:hanging="360"/>
      </w:pPr>
    </w:lvl>
    <w:lvl w:ilvl="8" w:tplc="041B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3B961DCD"/>
    <w:multiLevelType w:val="hybridMultilevel"/>
    <w:tmpl w:val="D95AC908"/>
    <w:lvl w:ilvl="0" w:tplc="9182966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1FE03A0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7D4E83B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7F224F"/>
    <w:multiLevelType w:val="hybridMultilevel"/>
    <w:tmpl w:val="B1AC849C"/>
    <w:lvl w:ilvl="0" w:tplc="D570A7F4">
      <w:start w:val="1"/>
      <w:numFmt w:val="decimal"/>
      <w:pStyle w:val="Zoznam2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D7C47"/>
    <w:multiLevelType w:val="hybridMultilevel"/>
    <w:tmpl w:val="B18863DE"/>
    <w:lvl w:ilvl="0" w:tplc="E02A3938">
      <w:start w:val="1"/>
      <w:numFmt w:val="decimal"/>
      <w:pStyle w:val="LegislativaOdsek"/>
      <w:lvlText w:val="(%1)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780" w:hanging="360"/>
      </w:pPr>
    </w:lvl>
    <w:lvl w:ilvl="2" w:tplc="041B001B" w:tentative="1">
      <w:start w:val="1"/>
      <w:numFmt w:val="lowerRoman"/>
      <w:lvlText w:val="%3."/>
      <w:lvlJc w:val="right"/>
      <w:pPr>
        <w:ind w:left="2500" w:hanging="180"/>
      </w:pPr>
    </w:lvl>
    <w:lvl w:ilvl="3" w:tplc="041B000F" w:tentative="1">
      <w:start w:val="1"/>
      <w:numFmt w:val="decimal"/>
      <w:lvlText w:val="%4."/>
      <w:lvlJc w:val="left"/>
      <w:pPr>
        <w:ind w:left="3220" w:hanging="360"/>
      </w:pPr>
    </w:lvl>
    <w:lvl w:ilvl="4" w:tplc="041B0019" w:tentative="1">
      <w:start w:val="1"/>
      <w:numFmt w:val="lowerLetter"/>
      <w:lvlText w:val="%5."/>
      <w:lvlJc w:val="left"/>
      <w:pPr>
        <w:ind w:left="3940" w:hanging="360"/>
      </w:pPr>
    </w:lvl>
    <w:lvl w:ilvl="5" w:tplc="041B001B" w:tentative="1">
      <w:start w:val="1"/>
      <w:numFmt w:val="lowerRoman"/>
      <w:lvlText w:val="%6."/>
      <w:lvlJc w:val="right"/>
      <w:pPr>
        <w:ind w:left="4660" w:hanging="180"/>
      </w:pPr>
    </w:lvl>
    <w:lvl w:ilvl="6" w:tplc="041B000F" w:tentative="1">
      <w:start w:val="1"/>
      <w:numFmt w:val="decimal"/>
      <w:lvlText w:val="%7."/>
      <w:lvlJc w:val="left"/>
      <w:pPr>
        <w:ind w:left="5380" w:hanging="360"/>
      </w:pPr>
    </w:lvl>
    <w:lvl w:ilvl="7" w:tplc="041B0019" w:tentative="1">
      <w:start w:val="1"/>
      <w:numFmt w:val="lowerLetter"/>
      <w:lvlText w:val="%8."/>
      <w:lvlJc w:val="left"/>
      <w:pPr>
        <w:ind w:left="6100" w:hanging="360"/>
      </w:pPr>
    </w:lvl>
    <w:lvl w:ilvl="8" w:tplc="041B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7AA9717B"/>
    <w:multiLevelType w:val="hybridMultilevel"/>
    <w:tmpl w:val="A724B5F0"/>
    <w:lvl w:ilvl="0" w:tplc="2B06D5B4">
      <w:start w:val="1"/>
      <w:numFmt w:val="decimal"/>
      <w:lvlText w:val="(%1)"/>
      <w:lvlJc w:val="left"/>
      <w:pPr>
        <w:ind w:left="786" w:hanging="360"/>
      </w:pPr>
      <w:rPr>
        <w:rFonts w:ascii="Times New Roman" w:hAnsi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780" w:hanging="360"/>
      </w:pPr>
    </w:lvl>
    <w:lvl w:ilvl="2" w:tplc="041B001B" w:tentative="1">
      <w:start w:val="1"/>
      <w:numFmt w:val="lowerRoman"/>
      <w:lvlText w:val="%3."/>
      <w:lvlJc w:val="right"/>
      <w:pPr>
        <w:ind w:left="2500" w:hanging="180"/>
      </w:pPr>
    </w:lvl>
    <w:lvl w:ilvl="3" w:tplc="041B000F" w:tentative="1">
      <w:start w:val="1"/>
      <w:numFmt w:val="decimal"/>
      <w:lvlText w:val="%4."/>
      <w:lvlJc w:val="left"/>
      <w:pPr>
        <w:ind w:left="3220" w:hanging="360"/>
      </w:pPr>
    </w:lvl>
    <w:lvl w:ilvl="4" w:tplc="041B0019" w:tentative="1">
      <w:start w:val="1"/>
      <w:numFmt w:val="lowerLetter"/>
      <w:lvlText w:val="%5."/>
      <w:lvlJc w:val="left"/>
      <w:pPr>
        <w:ind w:left="3940" w:hanging="360"/>
      </w:pPr>
    </w:lvl>
    <w:lvl w:ilvl="5" w:tplc="041B001B" w:tentative="1">
      <w:start w:val="1"/>
      <w:numFmt w:val="lowerRoman"/>
      <w:lvlText w:val="%6."/>
      <w:lvlJc w:val="right"/>
      <w:pPr>
        <w:ind w:left="4660" w:hanging="180"/>
      </w:pPr>
    </w:lvl>
    <w:lvl w:ilvl="6" w:tplc="041B000F" w:tentative="1">
      <w:start w:val="1"/>
      <w:numFmt w:val="decimal"/>
      <w:lvlText w:val="%7."/>
      <w:lvlJc w:val="left"/>
      <w:pPr>
        <w:ind w:left="5380" w:hanging="360"/>
      </w:pPr>
    </w:lvl>
    <w:lvl w:ilvl="7" w:tplc="041B0019" w:tentative="1">
      <w:start w:val="1"/>
      <w:numFmt w:val="lowerLetter"/>
      <w:lvlText w:val="%8."/>
      <w:lvlJc w:val="left"/>
      <w:pPr>
        <w:ind w:left="6100" w:hanging="360"/>
      </w:pPr>
    </w:lvl>
    <w:lvl w:ilvl="8" w:tplc="041B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956791938">
    <w:abstractNumId w:val="0"/>
  </w:num>
  <w:num w:numId="2" w16cid:durableId="1039236981">
    <w:abstractNumId w:val="0"/>
  </w:num>
  <w:num w:numId="3" w16cid:durableId="948967971">
    <w:abstractNumId w:val="0"/>
  </w:num>
  <w:num w:numId="4" w16cid:durableId="964190160">
    <w:abstractNumId w:val="5"/>
  </w:num>
  <w:num w:numId="5" w16cid:durableId="1072392698">
    <w:abstractNumId w:val="2"/>
  </w:num>
  <w:num w:numId="6" w16cid:durableId="2068264920">
    <w:abstractNumId w:val="3"/>
  </w:num>
  <w:num w:numId="7" w16cid:durableId="202862179">
    <w:abstractNumId w:val="5"/>
  </w:num>
  <w:num w:numId="8" w16cid:durableId="1642223137">
    <w:abstractNumId w:val="2"/>
  </w:num>
  <w:num w:numId="9" w16cid:durableId="766775165">
    <w:abstractNumId w:val="3"/>
  </w:num>
  <w:num w:numId="10" w16cid:durableId="125242917">
    <w:abstractNumId w:val="5"/>
  </w:num>
  <w:num w:numId="11" w16cid:durableId="1978755080">
    <w:abstractNumId w:val="6"/>
  </w:num>
  <w:num w:numId="12" w16cid:durableId="1990359514">
    <w:abstractNumId w:val="0"/>
  </w:num>
  <w:num w:numId="13" w16cid:durableId="642000914">
    <w:abstractNumId w:val="5"/>
  </w:num>
  <w:num w:numId="14" w16cid:durableId="1504322839">
    <w:abstractNumId w:val="1"/>
  </w:num>
  <w:num w:numId="15" w16cid:durableId="856774815">
    <w:abstractNumId w:val="4"/>
  </w:num>
  <w:num w:numId="16" w16cid:durableId="1172791230">
    <w:abstractNumId w:val="0"/>
  </w:num>
  <w:num w:numId="17" w16cid:durableId="1387029489">
    <w:abstractNumId w:val="5"/>
  </w:num>
  <w:num w:numId="18" w16cid:durableId="849098645">
    <w:abstractNumId w:val="1"/>
  </w:num>
  <w:num w:numId="19" w16cid:durableId="2579807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0A75"/>
    <w:rsid w:val="00001573"/>
    <w:rsid w:val="00015B60"/>
    <w:rsid w:val="000201DB"/>
    <w:rsid w:val="00024AA9"/>
    <w:rsid w:val="0003200D"/>
    <w:rsid w:val="00045577"/>
    <w:rsid w:val="000471DB"/>
    <w:rsid w:val="0007264A"/>
    <w:rsid w:val="000742F2"/>
    <w:rsid w:val="00074D06"/>
    <w:rsid w:val="000751CD"/>
    <w:rsid w:val="000769FB"/>
    <w:rsid w:val="0008315C"/>
    <w:rsid w:val="000B3CC6"/>
    <w:rsid w:val="000C48BD"/>
    <w:rsid w:val="000C51F7"/>
    <w:rsid w:val="000D40C6"/>
    <w:rsid w:val="000F0C3B"/>
    <w:rsid w:val="000F2C0E"/>
    <w:rsid w:val="00127E3C"/>
    <w:rsid w:val="001309E5"/>
    <w:rsid w:val="00157811"/>
    <w:rsid w:val="00161DA1"/>
    <w:rsid w:val="0016490C"/>
    <w:rsid w:val="00172AAA"/>
    <w:rsid w:val="00180D52"/>
    <w:rsid w:val="00182BC4"/>
    <w:rsid w:val="00182EE3"/>
    <w:rsid w:val="001901C5"/>
    <w:rsid w:val="001A707F"/>
    <w:rsid w:val="001C204C"/>
    <w:rsid w:val="001C4025"/>
    <w:rsid w:val="001C4A2F"/>
    <w:rsid w:val="001D4A62"/>
    <w:rsid w:val="001D76F3"/>
    <w:rsid w:val="001E0A3D"/>
    <w:rsid w:val="001E148D"/>
    <w:rsid w:val="00207EE2"/>
    <w:rsid w:val="00222D16"/>
    <w:rsid w:val="00246917"/>
    <w:rsid w:val="00270C4C"/>
    <w:rsid w:val="00271633"/>
    <w:rsid w:val="00272872"/>
    <w:rsid w:val="0027772A"/>
    <w:rsid w:val="00292B61"/>
    <w:rsid w:val="0029371D"/>
    <w:rsid w:val="002B0A06"/>
    <w:rsid w:val="002D04BF"/>
    <w:rsid w:val="002D4B22"/>
    <w:rsid w:val="002D6FF4"/>
    <w:rsid w:val="002D7625"/>
    <w:rsid w:val="002F5485"/>
    <w:rsid w:val="00302D52"/>
    <w:rsid w:val="003103DB"/>
    <w:rsid w:val="00310A75"/>
    <w:rsid w:val="003129BD"/>
    <w:rsid w:val="00317E38"/>
    <w:rsid w:val="00335591"/>
    <w:rsid w:val="00360308"/>
    <w:rsid w:val="003854C5"/>
    <w:rsid w:val="003A6507"/>
    <w:rsid w:val="003B78C0"/>
    <w:rsid w:val="003D665C"/>
    <w:rsid w:val="003D7CD2"/>
    <w:rsid w:val="00414540"/>
    <w:rsid w:val="00417DC1"/>
    <w:rsid w:val="00417ED9"/>
    <w:rsid w:val="00444E01"/>
    <w:rsid w:val="004B4CE7"/>
    <w:rsid w:val="004E39B1"/>
    <w:rsid w:val="005142C1"/>
    <w:rsid w:val="00542070"/>
    <w:rsid w:val="00543820"/>
    <w:rsid w:val="005456D8"/>
    <w:rsid w:val="00552F4E"/>
    <w:rsid w:val="00565440"/>
    <w:rsid w:val="0056659E"/>
    <w:rsid w:val="00566FA2"/>
    <w:rsid w:val="00571599"/>
    <w:rsid w:val="00577CE6"/>
    <w:rsid w:val="005878F2"/>
    <w:rsid w:val="00587DAF"/>
    <w:rsid w:val="00590880"/>
    <w:rsid w:val="005A0A32"/>
    <w:rsid w:val="005C6166"/>
    <w:rsid w:val="005E0863"/>
    <w:rsid w:val="005E4F79"/>
    <w:rsid w:val="005E6AEF"/>
    <w:rsid w:val="005F25AE"/>
    <w:rsid w:val="006146AF"/>
    <w:rsid w:val="00614C90"/>
    <w:rsid w:val="0062710D"/>
    <w:rsid w:val="00650BB2"/>
    <w:rsid w:val="0069031C"/>
    <w:rsid w:val="00694869"/>
    <w:rsid w:val="006A1B9A"/>
    <w:rsid w:val="006B72E1"/>
    <w:rsid w:val="006E2840"/>
    <w:rsid w:val="006F2D70"/>
    <w:rsid w:val="00705C8B"/>
    <w:rsid w:val="007124FD"/>
    <w:rsid w:val="00715E0B"/>
    <w:rsid w:val="007254ED"/>
    <w:rsid w:val="00726C83"/>
    <w:rsid w:val="00763074"/>
    <w:rsid w:val="00776DE6"/>
    <w:rsid w:val="00777C9E"/>
    <w:rsid w:val="007A05FA"/>
    <w:rsid w:val="007A58A4"/>
    <w:rsid w:val="007B1360"/>
    <w:rsid w:val="007B3965"/>
    <w:rsid w:val="007B535D"/>
    <w:rsid w:val="007B7725"/>
    <w:rsid w:val="007C5552"/>
    <w:rsid w:val="007E1A50"/>
    <w:rsid w:val="007E2AE4"/>
    <w:rsid w:val="007E63F6"/>
    <w:rsid w:val="007F1D2A"/>
    <w:rsid w:val="00810BC6"/>
    <w:rsid w:val="008165C0"/>
    <w:rsid w:val="00831669"/>
    <w:rsid w:val="0085596D"/>
    <w:rsid w:val="008772F4"/>
    <w:rsid w:val="00885D63"/>
    <w:rsid w:val="008B37DA"/>
    <w:rsid w:val="008C73C9"/>
    <w:rsid w:val="008E74D2"/>
    <w:rsid w:val="008F03C0"/>
    <w:rsid w:val="00903694"/>
    <w:rsid w:val="0090650B"/>
    <w:rsid w:val="009134F7"/>
    <w:rsid w:val="00916A5E"/>
    <w:rsid w:val="00917CD9"/>
    <w:rsid w:val="009323C9"/>
    <w:rsid w:val="00933F09"/>
    <w:rsid w:val="0093769A"/>
    <w:rsid w:val="00950822"/>
    <w:rsid w:val="0096670C"/>
    <w:rsid w:val="009733A2"/>
    <w:rsid w:val="00981623"/>
    <w:rsid w:val="00987233"/>
    <w:rsid w:val="00987955"/>
    <w:rsid w:val="00987C99"/>
    <w:rsid w:val="00997337"/>
    <w:rsid w:val="009B12B2"/>
    <w:rsid w:val="009C0A94"/>
    <w:rsid w:val="009C2852"/>
    <w:rsid w:val="009C58EA"/>
    <w:rsid w:val="009D1C9A"/>
    <w:rsid w:val="009E60BC"/>
    <w:rsid w:val="009F1AB2"/>
    <w:rsid w:val="009F2460"/>
    <w:rsid w:val="009F304E"/>
    <w:rsid w:val="009F317C"/>
    <w:rsid w:val="00A04B6D"/>
    <w:rsid w:val="00A071EC"/>
    <w:rsid w:val="00A10D7E"/>
    <w:rsid w:val="00A1107A"/>
    <w:rsid w:val="00A156D7"/>
    <w:rsid w:val="00A206D2"/>
    <w:rsid w:val="00A50F6C"/>
    <w:rsid w:val="00A572C9"/>
    <w:rsid w:val="00A63AC3"/>
    <w:rsid w:val="00A64F0B"/>
    <w:rsid w:val="00A7044C"/>
    <w:rsid w:val="00A84353"/>
    <w:rsid w:val="00A85FEF"/>
    <w:rsid w:val="00A878E3"/>
    <w:rsid w:val="00A935BF"/>
    <w:rsid w:val="00A96D1E"/>
    <w:rsid w:val="00AA29BE"/>
    <w:rsid w:val="00AA3574"/>
    <w:rsid w:val="00AA5B8C"/>
    <w:rsid w:val="00AD5D49"/>
    <w:rsid w:val="00AE2D54"/>
    <w:rsid w:val="00AE4CEB"/>
    <w:rsid w:val="00B14DEB"/>
    <w:rsid w:val="00B255D4"/>
    <w:rsid w:val="00B51EB7"/>
    <w:rsid w:val="00B56806"/>
    <w:rsid w:val="00B76925"/>
    <w:rsid w:val="00B87936"/>
    <w:rsid w:val="00BA2FF2"/>
    <w:rsid w:val="00BA68B0"/>
    <w:rsid w:val="00BA70A5"/>
    <w:rsid w:val="00BC0A8D"/>
    <w:rsid w:val="00BC6646"/>
    <w:rsid w:val="00BE088A"/>
    <w:rsid w:val="00BE7135"/>
    <w:rsid w:val="00BF13F3"/>
    <w:rsid w:val="00BF660E"/>
    <w:rsid w:val="00C0579E"/>
    <w:rsid w:val="00C06E31"/>
    <w:rsid w:val="00C50780"/>
    <w:rsid w:val="00C53EC4"/>
    <w:rsid w:val="00C57576"/>
    <w:rsid w:val="00C92C4A"/>
    <w:rsid w:val="00CB5FC1"/>
    <w:rsid w:val="00CB6822"/>
    <w:rsid w:val="00CC32BF"/>
    <w:rsid w:val="00CC43C7"/>
    <w:rsid w:val="00CF2709"/>
    <w:rsid w:val="00D07F0A"/>
    <w:rsid w:val="00D252B0"/>
    <w:rsid w:val="00D406D5"/>
    <w:rsid w:val="00D518C1"/>
    <w:rsid w:val="00D60D42"/>
    <w:rsid w:val="00D61059"/>
    <w:rsid w:val="00D63802"/>
    <w:rsid w:val="00D91859"/>
    <w:rsid w:val="00D921F8"/>
    <w:rsid w:val="00D929C1"/>
    <w:rsid w:val="00D944BE"/>
    <w:rsid w:val="00DA3B9B"/>
    <w:rsid w:val="00DC0C88"/>
    <w:rsid w:val="00DE68BE"/>
    <w:rsid w:val="00DF14A9"/>
    <w:rsid w:val="00E12329"/>
    <w:rsid w:val="00E13A0E"/>
    <w:rsid w:val="00E34F99"/>
    <w:rsid w:val="00E4098D"/>
    <w:rsid w:val="00E53005"/>
    <w:rsid w:val="00E63A29"/>
    <w:rsid w:val="00E75483"/>
    <w:rsid w:val="00E77B9A"/>
    <w:rsid w:val="00E811DA"/>
    <w:rsid w:val="00E97BE2"/>
    <w:rsid w:val="00EA1A96"/>
    <w:rsid w:val="00EB25B6"/>
    <w:rsid w:val="00EB4418"/>
    <w:rsid w:val="00EC53BE"/>
    <w:rsid w:val="00EC7E52"/>
    <w:rsid w:val="00ED0FA0"/>
    <w:rsid w:val="00EF1097"/>
    <w:rsid w:val="00EF416A"/>
    <w:rsid w:val="00EF6646"/>
    <w:rsid w:val="00F05F73"/>
    <w:rsid w:val="00F070E4"/>
    <w:rsid w:val="00F11CE9"/>
    <w:rsid w:val="00F13A7E"/>
    <w:rsid w:val="00F44D68"/>
    <w:rsid w:val="00F44E37"/>
    <w:rsid w:val="00F6382B"/>
    <w:rsid w:val="00F73093"/>
    <w:rsid w:val="00F85B45"/>
    <w:rsid w:val="00F86AE2"/>
    <w:rsid w:val="00F94128"/>
    <w:rsid w:val="00FB1959"/>
    <w:rsid w:val="00FB6A6F"/>
    <w:rsid w:val="00FD081A"/>
    <w:rsid w:val="00FE070C"/>
    <w:rsid w:val="00FF0698"/>
    <w:rsid w:val="00FF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191C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0A75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71EC"/>
    <w:pPr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styleId="Heading2">
    <w:name w:val="heading 2"/>
    <w:basedOn w:val="Normal"/>
    <w:next w:val="Normal"/>
    <w:link w:val="Heading2Char"/>
    <w:qFormat/>
    <w:rsid w:val="00A071E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3">
    <w:name w:val="heading 3"/>
    <w:aliases w:val="EIOPA Kop 3"/>
    <w:basedOn w:val="Normal"/>
    <w:next w:val="Normal"/>
    <w:link w:val="Heading3Char"/>
    <w:qFormat/>
    <w:rsid w:val="00A071EC"/>
    <w:pPr>
      <w:keepNext/>
      <w:spacing w:after="0" w:line="240" w:lineRule="auto"/>
      <w:ind w:left="180"/>
      <w:jc w:val="both"/>
      <w:outlineLvl w:val="2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Heading4">
    <w:name w:val="heading 4"/>
    <w:basedOn w:val="Normal"/>
    <w:next w:val="Normal"/>
    <w:link w:val="Heading4Char"/>
    <w:qFormat/>
    <w:rsid w:val="00A071EC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Heading5">
    <w:name w:val="heading 5"/>
    <w:basedOn w:val="Normal"/>
    <w:next w:val="Normal"/>
    <w:link w:val="Heading5Char"/>
    <w:qFormat/>
    <w:rsid w:val="00A071EC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A071EC"/>
    <w:pPr>
      <w:keepNext/>
      <w:spacing w:after="0" w:line="240" w:lineRule="auto"/>
      <w:ind w:left="180"/>
      <w:jc w:val="both"/>
      <w:outlineLvl w:val="5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A071EC"/>
    <w:pPr>
      <w:tabs>
        <w:tab w:val="num" w:pos="0"/>
      </w:tabs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A071EC"/>
    <w:pPr>
      <w:tabs>
        <w:tab w:val="num" w:pos="0"/>
      </w:tabs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A071EC"/>
    <w:pPr>
      <w:tabs>
        <w:tab w:val="num" w:pos="0"/>
      </w:tabs>
      <w:spacing w:before="240" w:after="60" w:line="240" w:lineRule="auto"/>
      <w:outlineLvl w:val="8"/>
    </w:pPr>
    <w:rPr>
      <w:rFonts w:ascii="Arial" w:eastAsia="Times New Roman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A071EC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edeliste">
    <w:name w:val="Paragraphe de liste"/>
    <w:basedOn w:val="Normal"/>
    <w:uiPriority w:val="34"/>
    <w:qFormat/>
    <w:rsid w:val="00A071EC"/>
    <w:pPr>
      <w:spacing w:after="0" w:line="240" w:lineRule="auto"/>
      <w:ind w:left="708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paragraph" w:customStyle="1" w:styleId="EP-ReferenznummerVerdana10pRegular">
    <w:name w:val="EP-Referenznummer Verdana 10p Regular"/>
    <w:basedOn w:val="Normal"/>
    <w:qFormat/>
    <w:rsid w:val="00A071EC"/>
    <w:pPr>
      <w:spacing w:after="2840" w:line="240" w:lineRule="auto"/>
      <w:jc w:val="right"/>
    </w:pPr>
    <w:rPr>
      <w:rFonts w:ascii="Verdana" w:eastAsia="MS Mincho" w:hAnsi="Verdana" w:cs="Times New Roman"/>
      <w:snapToGrid w:val="0"/>
      <w:sz w:val="20"/>
      <w:lang w:val="de-DE" w:eastAsia="de-DE"/>
    </w:rPr>
  </w:style>
  <w:style w:type="paragraph" w:customStyle="1" w:styleId="Adviceonect24p">
    <w:name w:val="Advice on... ect. 24p"/>
    <w:basedOn w:val="Normal"/>
    <w:next w:val="Normal"/>
    <w:qFormat/>
    <w:rsid w:val="00A071EC"/>
    <w:pPr>
      <w:pBdr>
        <w:top w:val="single" w:sz="4" w:space="25" w:color="D0E7F6"/>
        <w:left w:val="single" w:sz="4" w:space="8" w:color="D0E7F6"/>
        <w:bottom w:val="single" w:sz="4" w:space="30" w:color="D0E7F6"/>
        <w:right w:val="single" w:sz="4" w:space="8" w:color="D0E7F6"/>
      </w:pBdr>
      <w:shd w:val="clear" w:color="auto" w:fill="D0E7F6"/>
      <w:spacing w:after="0" w:line="240" w:lineRule="auto"/>
      <w:ind w:left="170" w:right="170"/>
      <w:jc w:val="center"/>
    </w:pPr>
    <w:rPr>
      <w:rFonts w:ascii="Verdana" w:eastAsia="MS Mincho" w:hAnsi="Verdana" w:cs="Times New Roman"/>
      <w:b/>
      <w:bCs/>
      <w:snapToGrid w:val="0"/>
      <w:sz w:val="48"/>
      <w:szCs w:val="48"/>
      <w:lang w:val="de-DE" w:eastAsia="de-DE"/>
    </w:rPr>
  </w:style>
  <w:style w:type="paragraph" w:customStyle="1" w:styleId="Subjectxxx24p">
    <w:name w:val="Subject xxx 24p"/>
    <w:basedOn w:val="Normal"/>
    <w:next w:val="Normal"/>
    <w:qFormat/>
    <w:rsid w:val="00A071EC"/>
    <w:pPr>
      <w:pBdr>
        <w:top w:val="single" w:sz="4" w:space="8" w:color="D0E7F6"/>
        <w:left w:val="single" w:sz="4" w:space="8" w:color="D0E7F6"/>
        <w:bottom w:val="single" w:sz="4" w:space="8" w:color="D0E7F6"/>
        <w:right w:val="single" w:sz="4" w:space="8" w:color="D0E7F6"/>
      </w:pBdr>
      <w:shd w:val="clear" w:color="auto" w:fill="D0E7F6"/>
      <w:spacing w:after="0" w:line="240" w:lineRule="auto"/>
      <w:ind w:left="170" w:right="170"/>
      <w:jc w:val="center"/>
    </w:pPr>
    <w:rPr>
      <w:rFonts w:ascii="Verdana" w:eastAsia="MS Mincho" w:hAnsi="Verdana" w:cs="Times New Roman"/>
      <w:b/>
      <w:bCs/>
      <w:snapToGrid w:val="0"/>
      <w:sz w:val="48"/>
      <w:szCs w:val="48"/>
      <w:lang w:val="de-DE" w:eastAsia="de-DE"/>
    </w:rPr>
  </w:style>
  <w:style w:type="paragraph" w:customStyle="1" w:styleId="Paragraphedeliste1">
    <w:name w:val="Paragraphe de liste1"/>
    <w:basedOn w:val="Normal"/>
    <w:uiPriority w:val="34"/>
    <w:qFormat/>
    <w:rsid w:val="00A071EC"/>
    <w:pPr>
      <w:spacing w:after="0" w:line="240" w:lineRule="auto"/>
      <w:ind w:left="708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paragraph" w:customStyle="1" w:styleId="Listenabsatz1">
    <w:name w:val="Listenabsatz1"/>
    <w:basedOn w:val="Normal"/>
    <w:uiPriority w:val="99"/>
    <w:qFormat/>
    <w:rsid w:val="00A071EC"/>
    <w:pPr>
      <w:spacing w:after="0" w:line="240" w:lineRule="auto"/>
      <w:ind w:left="720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paragraph" w:customStyle="1" w:styleId="Paragraphedeliste2">
    <w:name w:val="Paragraphe de liste2"/>
    <w:basedOn w:val="Normal"/>
    <w:uiPriority w:val="34"/>
    <w:qFormat/>
    <w:rsid w:val="00A071EC"/>
    <w:pPr>
      <w:spacing w:after="0" w:line="240" w:lineRule="auto"/>
      <w:ind w:left="708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paragraph" w:customStyle="1" w:styleId="ListParagraph1">
    <w:name w:val="List Paragraph1"/>
    <w:basedOn w:val="Normal"/>
    <w:uiPriority w:val="99"/>
    <w:qFormat/>
    <w:rsid w:val="00A071EC"/>
    <w:pPr>
      <w:spacing w:after="0" w:line="240" w:lineRule="auto"/>
      <w:ind w:left="720"/>
      <w:contextualSpacing/>
    </w:pPr>
    <w:rPr>
      <w:rFonts w:ascii="Calibri" w:eastAsia="SimSun" w:hAnsi="Calibri" w:cs="Times New Roman"/>
      <w:snapToGrid w:val="0"/>
      <w:sz w:val="24"/>
      <w:szCs w:val="24"/>
      <w:lang w:val="de-DE" w:eastAsia="sk-SK"/>
    </w:rPr>
  </w:style>
  <w:style w:type="paragraph" w:customStyle="1" w:styleId="PargrafodaLista1">
    <w:name w:val="Parágrafo da Lista1"/>
    <w:basedOn w:val="Normal"/>
    <w:uiPriority w:val="34"/>
    <w:qFormat/>
    <w:rsid w:val="00A071EC"/>
    <w:pPr>
      <w:spacing w:after="0" w:line="240" w:lineRule="auto"/>
      <w:ind w:left="720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paragraph" w:customStyle="1" w:styleId="Paragrafoelenco1">
    <w:name w:val="Paragrafo elenco1"/>
    <w:basedOn w:val="Normal"/>
    <w:uiPriority w:val="99"/>
    <w:qFormat/>
    <w:rsid w:val="00A071EC"/>
    <w:pPr>
      <w:spacing w:after="0" w:line="240" w:lineRule="auto"/>
      <w:ind w:left="708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paragraph" w:customStyle="1" w:styleId="Listeavsnitt1">
    <w:name w:val="Listeavsnitt1"/>
    <w:basedOn w:val="Normal"/>
    <w:uiPriority w:val="34"/>
    <w:qFormat/>
    <w:rsid w:val="00A071EC"/>
    <w:pPr>
      <w:spacing w:after="0" w:line="240" w:lineRule="auto"/>
      <w:ind w:left="708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paragraph" w:customStyle="1" w:styleId="Paragrafoelenco">
    <w:name w:val="Paragrafo elenco"/>
    <w:basedOn w:val="Normal"/>
    <w:qFormat/>
    <w:rsid w:val="00A071EC"/>
    <w:pPr>
      <w:spacing w:after="0" w:line="240" w:lineRule="auto"/>
      <w:ind w:left="708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paragraph" w:customStyle="1" w:styleId="Listenabsatz2">
    <w:name w:val="Listenabsatz2"/>
    <w:basedOn w:val="Normal"/>
    <w:qFormat/>
    <w:rsid w:val="00A071EC"/>
    <w:pPr>
      <w:spacing w:before="120" w:after="120" w:line="240" w:lineRule="auto"/>
      <w:ind w:left="720"/>
      <w:contextualSpacing/>
      <w:jc w:val="both"/>
    </w:pPr>
    <w:rPr>
      <w:rFonts w:ascii="Calibri" w:eastAsia="SimSun" w:hAnsi="Calibri" w:cs="Times New Roman"/>
      <w:snapToGrid w:val="0"/>
      <w:sz w:val="24"/>
      <w:szCs w:val="24"/>
      <w:lang w:val="en-GB" w:eastAsia="de-DE"/>
    </w:rPr>
  </w:style>
  <w:style w:type="paragraph" w:customStyle="1" w:styleId="ReferenceNumber">
    <w:name w:val="Reference Number"/>
    <w:basedOn w:val="Normal"/>
    <w:qFormat/>
    <w:rsid w:val="00A071EC"/>
    <w:pPr>
      <w:tabs>
        <w:tab w:val="left" w:pos="1480"/>
      </w:tabs>
      <w:spacing w:after="0" w:line="240" w:lineRule="auto"/>
      <w:jc w:val="right"/>
    </w:pPr>
    <w:rPr>
      <w:rFonts w:ascii="Verdana" w:hAnsi="Verdana"/>
      <w:snapToGrid w:val="0"/>
      <w:sz w:val="20"/>
      <w:szCs w:val="20"/>
      <w:lang w:val="en-GB" w:eastAsia="sk-SK"/>
    </w:rPr>
  </w:style>
  <w:style w:type="character" w:customStyle="1" w:styleId="Bold">
    <w:name w:val="Bold"/>
    <w:basedOn w:val="DefaultParagraphFont"/>
    <w:uiPriority w:val="1"/>
    <w:qFormat/>
    <w:rsid w:val="00A071EC"/>
    <w:rPr>
      <w:b/>
    </w:rPr>
  </w:style>
  <w:style w:type="paragraph" w:customStyle="1" w:styleId="odsek">
    <w:name w:val="odsek"/>
    <w:basedOn w:val="Normal"/>
    <w:qFormat/>
    <w:rsid w:val="00A071EC"/>
    <w:pPr>
      <w:numPr>
        <w:numId w:val="16"/>
      </w:numPr>
      <w:autoSpaceDE w:val="0"/>
      <w:autoSpaceDN w:val="0"/>
      <w:adjustRightInd w:val="0"/>
      <w:spacing w:before="120" w:after="0" w:line="240" w:lineRule="auto"/>
      <w:jc w:val="both"/>
    </w:pPr>
    <w:rPr>
      <w:rFonts w:ascii="Calibri" w:eastAsia="SimSun" w:hAnsi="Calibri" w:cs="Times New Roman"/>
      <w:snapToGrid w:val="0"/>
      <w:sz w:val="24"/>
      <w:szCs w:val="24"/>
      <w:lang w:val="en-GB" w:eastAsia="sk-SK"/>
    </w:rPr>
  </w:style>
  <w:style w:type="character" w:customStyle="1" w:styleId="Heading1Char">
    <w:name w:val="Heading 1 Char"/>
    <w:basedOn w:val="DefaultParagraphFont"/>
    <w:link w:val="Heading1"/>
    <w:uiPriority w:val="9"/>
    <w:rsid w:val="00A071EC"/>
    <w:rPr>
      <w:color w:val="000000"/>
      <w:sz w:val="44"/>
      <w:szCs w:val="44"/>
    </w:rPr>
  </w:style>
  <w:style w:type="character" w:customStyle="1" w:styleId="Heading2Char">
    <w:name w:val="Heading 2 Char"/>
    <w:basedOn w:val="DefaultParagraphFont"/>
    <w:link w:val="Heading2"/>
    <w:rsid w:val="00A071EC"/>
    <w:rPr>
      <w:b/>
      <w:bCs/>
      <w:sz w:val="24"/>
      <w:szCs w:val="24"/>
    </w:rPr>
  </w:style>
  <w:style w:type="character" w:customStyle="1" w:styleId="Heading3Char">
    <w:name w:val="Heading 3 Char"/>
    <w:aliases w:val="EIOPA Kop 3 Char"/>
    <w:basedOn w:val="DefaultParagraphFont"/>
    <w:link w:val="Heading3"/>
    <w:rsid w:val="00A071EC"/>
    <w:rPr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rsid w:val="00A071EC"/>
    <w:rPr>
      <w:sz w:val="24"/>
      <w:szCs w:val="24"/>
      <w:u w:val="single"/>
    </w:rPr>
  </w:style>
  <w:style w:type="character" w:customStyle="1" w:styleId="Heading5Char">
    <w:name w:val="Heading 5 Char"/>
    <w:basedOn w:val="DefaultParagraphFont"/>
    <w:link w:val="Heading5"/>
    <w:rsid w:val="00A071EC"/>
    <w:rPr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A071EC"/>
    <w:rPr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rsid w:val="00A071EC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A071EC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A071EC"/>
    <w:rPr>
      <w:rFonts w:ascii="Arial" w:hAnsi="Arial"/>
      <w:sz w:val="22"/>
      <w:szCs w:val="22"/>
    </w:rPr>
  </w:style>
  <w:style w:type="paragraph" w:styleId="TOC1">
    <w:name w:val="toc 1"/>
    <w:basedOn w:val="Normal"/>
    <w:next w:val="Normal"/>
    <w:autoRedefine/>
    <w:uiPriority w:val="39"/>
    <w:qFormat/>
    <w:rsid w:val="00A071EC"/>
    <w:pPr>
      <w:tabs>
        <w:tab w:val="right" w:leader="dot" w:pos="9072"/>
      </w:tabs>
      <w:spacing w:after="0" w:line="240" w:lineRule="auto"/>
    </w:pPr>
    <w:rPr>
      <w:rFonts w:ascii="Arial" w:eastAsia="SimSun" w:hAnsi="Arial" w:cs="Arial"/>
      <w:b/>
      <w:bCs/>
      <w:noProof/>
      <w:snapToGrid w:val="0"/>
      <w:kern w:val="32"/>
      <w:lang w:val="en-GB" w:eastAsia="de-DE"/>
    </w:rPr>
  </w:style>
  <w:style w:type="paragraph" w:styleId="TOC2">
    <w:name w:val="toc 2"/>
    <w:basedOn w:val="Normal"/>
    <w:next w:val="Normal"/>
    <w:autoRedefine/>
    <w:uiPriority w:val="39"/>
    <w:qFormat/>
    <w:rsid w:val="00A071EC"/>
    <w:pPr>
      <w:tabs>
        <w:tab w:val="right" w:leader="dot" w:pos="9072"/>
      </w:tabs>
      <w:spacing w:after="0" w:line="240" w:lineRule="auto"/>
      <w:ind w:left="240"/>
    </w:pPr>
    <w:rPr>
      <w:rFonts w:ascii="Arial" w:eastAsia="SimSun" w:hAnsi="Arial" w:cs="Times New Roman"/>
      <w:snapToGrid w:val="0"/>
      <w:szCs w:val="24"/>
      <w:lang w:val="en-GB" w:eastAsia="sk-SK"/>
    </w:rPr>
  </w:style>
  <w:style w:type="paragraph" w:styleId="TOC3">
    <w:name w:val="toc 3"/>
    <w:basedOn w:val="Normal"/>
    <w:next w:val="Normal"/>
    <w:autoRedefine/>
    <w:uiPriority w:val="39"/>
    <w:qFormat/>
    <w:rsid w:val="00A071EC"/>
    <w:pPr>
      <w:tabs>
        <w:tab w:val="right" w:leader="dot" w:pos="9072"/>
      </w:tabs>
      <w:spacing w:after="0" w:line="240" w:lineRule="auto"/>
      <w:ind w:left="482"/>
    </w:pPr>
    <w:rPr>
      <w:rFonts w:ascii="Arial" w:eastAsia="SimSun" w:hAnsi="Arial" w:cs="Arial"/>
      <w:bCs/>
      <w:noProof/>
      <w:snapToGrid w:val="0"/>
      <w:szCs w:val="24"/>
      <w:lang w:val="en-GB" w:eastAsia="sk-SK"/>
    </w:rPr>
  </w:style>
  <w:style w:type="paragraph" w:styleId="Footer">
    <w:name w:val="footer"/>
    <w:aliases w:val="Fußzeile Verdana 8p Regular,Mittelachse"/>
    <w:basedOn w:val="Normal"/>
    <w:link w:val="FooterChar"/>
    <w:uiPriority w:val="99"/>
    <w:qFormat/>
    <w:rsid w:val="00A071E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aliases w:val="Fußzeile Verdana 8p Regular Char,Mittelachse Char"/>
    <w:basedOn w:val="DefaultParagraphFont"/>
    <w:link w:val="Footer"/>
    <w:uiPriority w:val="99"/>
    <w:rsid w:val="00A071EC"/>
    <w:rPr>
      <w:sz w:val="24"/>
      <w:szCs w:val="24"/>
    </w:rPr>
  </w:style>
  <w:style w:type="paragraph" w:styleId="Caption">
    <w:name w:val="caption"/>
    <w:basedOn w:val="Normal"/>
    <w:next w:val="Normal"/>
    <w:qFormat/>
    <w:rsid w:val="00A071EC"/>
    <w:pPr>
      <w:spacing w:before="120" w:after="120" w:line="240" w:lineRule="auto"/>
      <w:jc w:val="both"/>
    </w:pPr>
    <w:rPr>
      <w:rFonts w:ascii="Calibri" w:eastAsia="SimSun" w:hAnsi="Calibri" w:cs="Times New Roman"/>
      <w:b/>
      <w:bCs/>
      <w:snapToGrid w:val="0"/>
      <w:sz w:val="20"/>
      <w:szCs w:val="20"/>
      <w:lang w:val="en-GB" w:eastAsia="sk-SK"/>
    </w:rPr>
  </w:style>
  <w:style w:type="paragraph" w:styleId="Title">
    <w:name w:val="Title"/>
    <w:basedOn w:val="Normal"/>
    <w:link w:val="TitleChar"/>
    <w:uiPriority w:val="10"/>
    <w:qFormat/>
    <w:rsid w:val="00A071EC"/>
    <w:pPr>
      <w:spacing w:before="240" w:after="60" w:line="240" w:lineRule="auto"/>
      <w:jc w:val="center"/>
      <w:outlineLvl w:val="0"/>
    </w:pPr>
    <w:rPr>
      <w:rFonts w:ascii="Arial" w:eastAsia="Times New Roman" w:hAnsi="Arial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A071EC"/>
    <w:rPr>
      <w:rFonts w:ascii="Arial" w:hAnsi="Arial"/>
      <w:b/>
      <w:bCs/>
      <w:kern w:val="28"/>
      <w:sz w:val="32"/>
      <w:szCs w:val="32"/>
    </w:rPr>
  </w:style>
  <w:style w:type="character" w:styleId="Strong">
    <w:name w:val="Strong"/>
    <w:qFormat/>
    <w:rsid w:val="00A071EC"/>
    <w:rPr>
      <w:b/>
      <w:bCs/>
    </w:rPr>
  </w:style>
  <w:style w:type="character" w:styleId="Emphasis">
    <w:name w:val="Emphasis"/>
    <w:qFormat/>
    <w:rsid w:val="00A071EC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A071EC"/>
    <w:rPr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A071EC"/>
    <w:pPr>
      <w:keepNext/>
      <w:keepLines/>
      <w:autoSpaceDE/>
      <w:autoSpaceDN/>
      <w:adjustRightInd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  <w:lang w:val="en-US" w:eastAsia="ja-JP"/>
    </w:rPr>
  </w:style>
  <w:style w:type="paragraph" w:customStyle="1" w:styleId="LegislativaOdsek">
    <w:name w:val="Legislativa Odsek"/>
    <w:qFormat/>
    <w:rsid w:val="00A071EC"/>
    <w:pPr>
      <w:numPr>
        <w:numId w:val="17"/>
      </w:numPr>
      <w:tabs>
        <w:tab w:val="left" w:pos="851"/>
      </w:tabs>
      <w:spacing w:before="120"/>
      <w:jc w:val="both"/>
    </w:pPr>
    <w:rPr>
      <w:sz w:val="24"/>
    </w:rPr>
  </w:style>
  <w:style w:type="paragraph" w:styleId="BodyText">
    <w:name w:val="Body Text"/>
    <w:link w:val="BodyTextChar"/>
    <w:qFormat/>
    <w:rsid w:val="00A071EC"/>
    <w:pPr>
      <w:tabs>
        <w:tab w:val="num" w:pos="360"/>
        <w:tab w:val="left" w:pos="709"/>
      </w:tabs>
      <w:spacing w:before="12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A071EC"/>
    <w:rPr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71EC"/>
    <w:pPr>
      <w:pBdr>
        <w:bottom w:val="single" w:sz="4" w:space="4" w:color="4F81BD" w:themeColor="accent1"/>
      </w:pBdr>
      <w:spacing w:before="200" w:after="280" w:line="240" w:lineRule="auto"/>
      <w:ind w:left="936" w:right="936"/>
    </w:pPr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71EC"/>
    <w:rPr>
      <w:b/>
      <w:bCs/>
      <w:i/>
      <w:iCs/>
      <w:color w:val="4F81BD" w:themeColor="accent1"/>
      <w:sz w:val="24"/>
      <w:szCs w:val="24"/>
    </w:rPr>
  </w:style>
  <w:style w:type="paragraph" w:customStyle="1" w:styleId="Zoznam1">
    <w:name w:val="Zoznam1"/>
    <w:basedOn w:val="BodyText"/>
    <w:qFormat/>
    <w:rsid w:val="00A071EC"/>
    <w:pPr>
      <w:numPr>
        <w:numId w:val="18"/>
      </w:numPr>
      <w:tabs>
        <w:tab w:val="clear" w:pos="709"/>
        <w:tab w:val="left" w:pos="426"/>
      </w:tabs>
    </w:pPr>
  </w:style>
  <w:style w:type="paragraph" w:customStyle="1" w:styleId="Zoznam2">
    <w:name w:val="Zoznam 2"/>
    <w:basedOn w:val="BodyText"/>
    <w:qFormat/>
    <w:rsid w:val="00A071EC"/>
    <w:pPr>
      <w:numPr>
        <w:numId w:val="19"/>
      </w:numPr>
    </w:pPr>
  </w:style>
  <w:style w:type="character" w:styleId="PlaceholderText">
    <w:name w:val="Placeholder Text"/>
    <w:basedOn w:val="DefaultParagraphFont"/>
    <w:uiPriority w:val="99"/>
    <w:semiHidden/>
    <w:rsid w:val="00310A75"/>
    <w:rPr>
      <w:rFonts w:ascii="Times New Roman" w:hAnsi="Times New Roman" w:cs="Times New Roman" w:hint="default"/>
      <w:color w:val="808080"/>
    </w:rPr>
  </w:style>
  <w:style w:type="paragraph" w:customStyle="1" w:styleId="Default">
    <w:name w:val="Default"/>
    <w:rsid w:val="00310A7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02D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2D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2D52"/>
    <w:rPr>
      <w:rFonts w:asciiTheme="minorHAnsi" w:hAnsiTheme="minorHAnsi" w:cstheme="minorBid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2D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2D52"/>
    <w:rPr>
      <w:rFonts w:asciiTheme="minorHAnsi" w:hAnsiTheme="minorHAnsi" w:cstheme="minorBidi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2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D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71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1633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2448</Characters>
  <Application>Microsoft Office Word</Application>
  <DocSecurity>0</DocSecurity>
  <Lines>20</Lines>
  <Paragraphs>5</Paragraphs>
  <ScaleCrop>false</ScaleCrop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2026-07-23T07:17:00Z</dcterms:created>
  <dcterms:modified xsi:type="dcterms:W3CDTF">2026-07-23T09:58:00Z</dcterms:modified>
</cp:coreProperties>
</file>