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C5A283" w14:textId="77777777" w:rsidR="00054C41" w:rsidRPr="00895898" w:rsidRDefault="00054C41" w:rsidP="00054C4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95898">
        <w:rPr>
          <w:rFonts w:ascii="Times New Roman" w:eastAsia="Calibri" w:hAnsi="Times New Roman" w:cs="Times New Roman"/>
          <w:b/>
          <w:sz w:val="28"/>
          <w:szCs w:val="28"/>
        </w:rPr>
        <w:t>Analýza vplyvov na podnikateľské prostredie</w:t>
      </w:r>
    </w:p>
    <w:p w14:paraId="7AF84A90" w14:textId="77777777" w:rsidR="00054C41" w:rsidRPr="00895898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2516163" w14:textId="35327895" w:rsidR="00054C41" w:rsidRPr="001F1B43" w:rsidRDefault="00054C41" w:rsidP="00BA6C8F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Názov materiálu:</w:t>
      </w:r>
      <w:r w:rsidR="00BA6C8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550672">
        <w:rPr>
          <w:rFonts w:ascii="Times New Roman" w:eastAsia="Calibri" w:hAnsi="Times New Roman" w:cs="Times New Roman"/>
          <w:b/>
          <w:sz w:val="24"/>
          <w:szCs w:val="24"/>
        </w:rPr>
        <w:t>Z</w:t>
      </w:r>
      <w:r w:rsidR="00550672" w:rsidRPr="00BA6C8F">
        <w:rPr>
          <w:rFonts w:ascii="Times New Roman" w:eastAsia="Calibri" w:hAnsi="Times New Roman" w:cs="Times New Roman"/>
          <w:b/>
          <w:sz w:val="24"/>
          <w:szCs w:val="24"/>
        </w:rPr>
        <w:t>ákon</w:t>
      </w:r>
      <w:r w:rsidR="00BA6C8F" w:rsidRPr="00BA6C8F">
        <w:rPr>
          <w:rFonts w:ascii="Times New Roman" w:eastAsia="Calibri" w:hAnsi="Times New Roman" w:cs="Times New Roman"/>
          <w:b/>
          <w:sz w:val="24"/>
          <w:szCs w:val="24"/>
        </w:rPr>
        <w:t xml:space="preserve"> o kritickej infraštruktúre a o zmene a doplnení niektorých zákonov</w:t>
      </w:r>
    </w:p>
    <w:p w14:paraId="2711DC2C" w14:textId="3BC6287D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Predkladateľ:</w:t>
      </w:r>
      <w:r w:rsidR="00BA6C8F">
        <w:rPr>
          <w:rFonts w:ascii="Times New Roman" w:eastAsia="Calibri" w:hAnsi="Times New Roman" w:cs="Times New Roman"/>
          <w:b/>
          <w:sz w:val="24"/>
          <w:szCs w:val="24"/>
        </w:rPr>
        <w:t xml:space="preserve"> Ministerstvo vnútra Slovenskej republiky</w:t>
      </w:r>
    </w:p>
    <w:p w14:paraId="73384937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15DBCE3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3.1 Náklady regulácie</w:t>
      </w:r>
    </w:p>
    <w:p w14:paraId="14243EB0" w14:textId="77777777" w:rsidR="00054C41" w:rsidRPr="001F1B43" w:rsidRDefault="00054C41" w:rsidP="00C21399">
      <w:pPr>
        <w:tabs>
          <w:tab w:val="left" w:pos="8025"/>
        </w:tabs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3.1.1 Súhrnná tabuľka nákladov regulácie </w:t>
      </w:r>
      <w:r w:rsidR="00C21399">
        <w:rPr>
          <w:rFonts w:ascii="Times New Roman" w:eastAsia="Calibri" w:hAnsi="Times New Roman" w:cs="Times New Roman"/>
          <w:b/>
          <w:i/>
          <w:iCs/>
          <w:sz w:val="24"/>
          <w:szCs w:val="24"/>
        </w:rPr>
        <w:tab/>
      </w:r>
    </w:p>
    <w:p w14:paraId="4D85A0D5" w14:textId="77777777" w:rsidR="00054C41" w:rsidRPr="00D8247C" w:rsidRDefault="00054C41" w:rsidP="00054C41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Tabuľka č. 1: Zmeny nákladov (ročne) v prepočte na podnikateľské prostredie (PP), vyhodnotenie mechanizmu znižovania byrokracie a náklado</w:t>
      </w:r>
      <w:r w:rsidR="000A6B7F">
        <w:rPr>
          <w:rFonts w:ascii="Times New Roman" w:eastAsia="Calibri" w:hAnsi="Times New Roman" w:cs="Times New Roman"/>
          <w:i/>
          <w:sz w:val="24"/>
          <w:szCs w:val="24"/>
        </w:rPr>
        <w:t>v</w:t>
      </w:r>
      <w:r w:rsidR="00C929AE">
        <w:rPr>
          <w:rFonts w:ascii="Times New Roman" w:eastAsia="Calibri" w:hAnsi="Times New Roman" w:cs="Times New Roman"/>
          <w:i/>
          <w:sz w:val="24"/>
          <w:szCs w:val="24"/>
        </w:rPr>
        <w:t xml:space="preserve">, náklady </w:t>
      </w:r>
      <w:proofErr w:type="spellStart"/>
      <w:r w:rsidR="00C929AE" w:rsidRPr="00804BC8">
        <w:rPr>
          <w:rFonts w:ascii="Times New Roman" w:eastAsia="Calibri" w:hAnsi="Times New Roman" w:cs="Times New Roman"/>
          <w:i/>
          <w:sz w:val="24"/>
          <w:szCs w:val="24"/>
        </w:rPr>
        <w:t>goldplatingu</w:t>
      </w:r>
      <w:proofErr w:type="spellEnd"/>
      <w:r w:rsidR="00C929AE">
        <w:rPr>
          <w:rStyle w:val="Odkaznapoznmkupodiarou"/>
          <w:rFonts w:ascii="Times New Roman" w:eastAsia="Calibri" w:hAnsi="Times New Roman" w:cs="Times New Roman"/>
          <w:i/>
          <w:sz w:val="24"/>
          <w:szCs w:val="24"/>
        </w:rPr>
        <w:footnoteReference w:id="1"/>
      </w:r>
      <w:r w:rsidR="000A6B7F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C929AE">
        <w:rPr>
          <w:rFonts w:ascii="Times New Roman" w:eastAsia="Calibri" w:hAnsi="Times New Roman" w:cs="Times New Roman"/>
          <w:i/>
          <w:sz w:val="24"/>
          <w:szCs w:val="24"/>
        </w:rPr>
        <w:t>na podnikateľské prostredie</w:t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. </w:t>
      </w:r>
    </w:p>
    <w:p w14:paraId="1A77DC61" w14:textId="3C0C18FB" w:rsidR="00054C41" w:rsidRPr="00D8247C" w:rsidRDefault="00054C41" w:rsidP="00054C41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tbl>
      <w:tblPr>
        <w:tblW w:w="95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3540"/>
        <w:gridCol w:w="2623"/>
        <w:gridCol w:w="169"/>
        <w:gridCol w:w="160"/>
        <w:gridCol w:w="2293"/>
        <w:gridCol w:w="423"/>
        <w:gridCol w:w="160"/>
      </w:tblGrid>
      <w:tr w:rsidR="00C929AE" w:rsidRPr="00C929AE" w14:paraId="74CF9C31" w14:textId="77777777" w:rsidTr="003A312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E364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50EBE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37DC6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CCAE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FEB3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E54FF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</w:tr>
      <w:tr w:rsidR="00C929AE" w:rsidRPr="00C929AE" w14:paraId="7BEF3D83" w14:textId="77777777" w:rsidTr="00804BC8">
        <w:trPr>
          <w:gridAfter w:val="2"/>
          <w:wAfter w:w="583" w:type="dxa"/>
          <w:trHeight w:val="451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7F0AC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8CD7A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TYP NÁKLADOV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67F96BD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Zvýšenie nákladov v € na PP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57C6AD32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Zníženie nákladov v € na PP</w:t>
            </w:r>
          </w:p>
        </w:tc>
      </w:tr>
      <w:tr w:rsidR="00FB1189" w:rsidRPr="00C929AE" w14:paraId="0F790483" w14:textId="77777777" w:rsidTr="00804BC8">
        <w:trPr>
          <w:gridAfter w:val="2"/>
          <w:wAfter w:w="583" w:type="dxa"/>
          <w:trHeight w:val="6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7CF71" w14:textId="77777777" w:rsidR="00FB1189" w:rsidRPr="00C929AE" w:rsidRDefault="00FB1189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DD77A" w14:textId="77777777" w:rsidR="00FB1189" w:rsidRPr="00C929AE" w:rsidRDefault="00FB1189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A.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Dane, odvody, clá a poplatky, ktorých cieľom je znižovať negatívne </w:t>
            </w:r>
            <w:proofErr w:type="spellStart"/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externality</w:t>
            </w:r>
            <w:proofErr w:type="spellEnd"/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6C02A5A" w14:textId="283EE994" w:rsidR="00FB1189" w:rsidRPr="00FB1189" w:rsidRDefault="00FB1189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FB11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0525A008" w14:textId="0A2C80AF" w:rsidR="00FB1189" w:rsidRPr="00FB1189" w:rsidRDefault="00FB1189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FB11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FB1189" w:rsidRPr="00C929AE" w14:paraId="37B64D12" w14:textId="77777777" w:rsidTr="00804BC8">
        <w:trPr>
          <w:gridAfter w:val="2"/>
          <w:wAfter w:w="583" w:type="dxa"/>
          <w:trHeight w:val="42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ED282" w14:textId="77777777" w:rsidR="00FB1189" w:rsidRPr="00C929AE" w:rsidRDefault="00FB1189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E928E" w14:textId="77777777" w:rsidR="00FB1189" w:rsidRPr="00C929AE" w:rsidRDefault="00FB1189" w:rsidP="00F378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B. Iné </w:t>
            </w:r>
            <w:r w:rsidRPr="00952CF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poplatky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8D91672" w14:textId="19B9DBE7" w:rsidR="00FB1189" w:rsidRPr="00FB1189" w:rsidRDefault="00FB1189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FB11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7B3EEA7A" w14:textId="50E2A95F" w:rsidR="00FB1189" w:rsidRPr="00FB1189" w:rsidRDefault="00FB1189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FB11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FB1189" w:rsidRPr="00C929AE" w14:paraId="21231540" w14:textId="77777777" w:rsidTr="00804BC8">
        <w:trPr>
          <w:gridAfter w:val="2"/>
          <w:wAfter w:w="583" w:type="dxa"/>
          <w:trHeight w:val="43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78407" w14:textId="77777777" w:rsidR="00FB1189" w:rsidRPr="00C929AE" w:rsidRDefault="00FB1189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0EE3E" w14:textId="52C52C9B" w:rsidR="00FB1189" w:rsidRPr="00C929AE" w:rsidRDefault="00FB1189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C.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 Sankcie a pokuty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69D07100" w14:textId="681F26CE" w:rsidR="00FB1189" w:rsidRPr="00FB1189" w:rsidRDefault="00FB1189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FB11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905 000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7C8BFAD7" w14:textId="15A1158F" w:rsidR="00FB1189" w:rsidRPr="00FB1189" w:rsidRDefault="00FB1189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FB11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100 000</w:t>
            </w:r>
          </w:p>
        </w:tc>
      </w:tr>
      <w:tr w:rsidR="00FB1189" w:rsidRPr="00C929AE" w14:paraId="280383DA" w14:textId="77777777" w:rsidTr="00804BC8">
        <w:trPr>
          <w:gridAfter w:val="2"/>
          <w:wAfter w:w="583" w:type="dxa"/>
          <w:trHeight w:val="48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2F790" w14:textId="77777777" w:rsidR="00FB1189" w:rsidRPr="00C929AE" w:rsidRDefault="00FB1189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03BCF" w14:textId="0543F070" w:rsidR="00FB1189" w:rsidRPr="00C929AE" w:rsidRDefault="00FB1189" w:rsidP="006A4E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E961E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D.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 xml:space="preserve">Nepriame finančné náklady 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ED34EA3" w14:textId="1C4F2B28" w:rsidR="00FB1189" w:rsidRPr="00FB1189" w:rsidRDefault="00FB1189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FB11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6B7CA645" w14:textId="7CBAC266" w:rsidR="00FB1189" w:rsidRPr="00FB1189" w:rsidRDefault="00FB1189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FB11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FB1189" w:rsidRPr="00C929AE" w14:paraId="547BC8DA" w14:textId="77777777" w:rsidTr="00804BC8">
        <w:trPr>
          <w:gridAfter w:val="2"/>
          <w:wAfter w:w="583" w:type="dxa"/>
          <w:trHeight w:val="48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E6137F" w14:textId="77777777" w:rsidR="00FB1189" w:rsidRPr="00C929AE" w:rsidRDefault="00FB1189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6A5AE" w14:textId="77777777" w:rsidR="00FB1189" w:rsidRPr="00C929AE" w:rsidRDefault="00FB1189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E. Administratívne náklady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</w:tcPr>
          <w:p w14:paraId="1A8F0D68" w14:textId="23C0C0C9" w:rsidR="00FB1189" w:rsidRPr="00FB1189" w:rsidRDefault="00FB1189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FB11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</w:tcPr>
          <w:p w14:paraId="7D0218BB" w14:textId="34B0B0EB" w:rsidR="00FB1189" w:rsidRPr="00FB1189" w:rsidRDefault="00FB1189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FB11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FB1189" w:rsidRPr="00C929AE" w14:paraId="10B7BDC5" w14:textId="77777777" w:rsidTr="00804BC8">
        <w:trPr>
          <w:gridAfter w:val="2"/>
          <w:wAfter w:w="583" w:type="dxa"/>
          <w:trHeight w:val="6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5240B" w14:textId="77777777" w:rsidR="00FB1189" w:rsidRPr="00C929AE" w:rsidRDefault="00FB1189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49376" w14:textId="77777777" w:rsidR="00FB1189" w:rsidRPr="00C929AE" w:rsidRDefault="00FB1189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Spolu = A+B+C+D</w:t>
            </w:r>
            <w:r w:rsidRPr="00E961E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+E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829EB10" w14:textId="3C0C4533" w:rsidR="00FB1189" w:rsidRPr="00FB1189" w:rsidRDefault="00FB1189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FB11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905 000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3B2B8C72" w14:textId="29E57111" w:rsidR="00FB1189" w:rsidRPr="00FB1189" w:rsidRDefault="00FB1189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FB11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100 000</w:t>
            </w:r>
          </w:p>
        </w:tc>
      </w:tr>
      <w:tr w:rsidR="00C929AE" w:rsidRPr="00C929AE" w14:paraId="3B916623" w14:textId="77777777" w:rsidTr="003A3124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7E59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EAB9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799773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B3D73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543AE9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64F180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</w:tr>
      <w:tr w:rsidR="00C929AE" w:rsidRPr="00C929AE" w14:paraId="52849A6C" w14:textId="77777777" w:rsidTr="00804BC8">
        <w:trPr>
          <w:gridAfter w:val="2"/>
          <w:wAfter w:w="583" w:type="dxa"/>
          <w:trHeight w:val="412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80DC1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48073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sk-SK"/>
              </w:rPr>
              <w:t>Harmonizácia práva EÚ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4BC0A5BA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Zvýšenie nákladov v € na PP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38A2A444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Zníženie nákladov v € na PP</w:t>
            </w:r>
          </w:p>
        </w:tc>
      </w:tr>
      <w:tr w:rsidR="00FB1189" w:rsidRPr="00C929AE" w14:paraId="26126FD6" w14:textId="77777777" w:rsidTr="00804BC8">
        <w:trPr>
          <w:gridAfter w:val="2"/>
          <w:wAfter w:w="583" w:type="dxa"/>
          <w:trHeight w:val="84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4F348" w14:textId="77777777" w:rsidR="00FB1189" w:rsidRPr="00C929AE" w:rsidRDefault="00FB1189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5E706" w14:textId="77777777" w:rsidR="00FB1189" w:rsidRPr="00C929AE" w:rsidRDefault="00FB1189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F</w:t>
            </w: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. Úplná harmonizácia práva EÚ</w:t>
            </w: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br/>
            </w:r>
            <w:r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sk-SK"/>
              </w:rPr>
              <w:t xml:space="preserve">(okrem daní, odvodov, ciel a poplatkov, ktorých cieľom je znižovať negatívne </w:t>
            </w:r>
            <w:proofErr w:type="spellStart"/>
            <w:r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sk-SK"/>
              </w:rPr>
              <w:t>externality</w:t>
            </w:r>
            <w:proofErr w:type="spellEnd"/>
            <w:r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sk-SK"/>
              </w:rPr>
              <w:t>)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09CCB12B" w14:textId="5ADF36D1" w:rsidR="00FB1189" w:rsidRPr="00FB1189" w:rsidRDefault="00FB1189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FB11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905 000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0CB565E3" w14:textId="7AB3A7F6" w:rsidR="00FB1189" w:rsidRPr="00FB1189" w:rsidRDefault="00FB1189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FB11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100 000</w:t>
            </w:r>
          </w:p>
        </w:tc>
      </w:tr>
      <w:tr w:rsidR="00FB1189" w:rsidRPr="00C929AE" w14:paraId="2B062396" w14:textId="77777777" w:rsidTr="00804BC8">
        <w:trPr>
          <w:gridAfter w:val="2"/>
          <w:wAfter w:w="583" w:type="dxa"/>
          <w:trHeight w:val="486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92B53" w14:textId="77777777" w:rsidR="00FB1189" w:rsidRPr="00C929AE" w:rsidRDefault="00FB1189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FED09" w14:textId="77777777" w:rsidR="00FB1189" w:rsidRPr="00C929AE" w:rsidRDefault="00FB1189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G</w:t>
            </w:r>
            <w:r w:rsidRPr="00C929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. Goldplating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709562F6" w14:textId="748F8468" w:rsidR="00FB1189" w:rsidRPr="00FB1189" w:rsidRDefault="00FB1189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FB11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2E025867" w14:textId="2817773F" w:rsidR="00FB1189" w:rsidRPr="00FB1189" w:rsidRDefault="00FB1189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FB11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C929AE" w:rsidRPr="00C929AE" w14:paraId="665D2803" w14:textId="77777777" w:rsidTr="003A3124">
        <w:trPr>
          <w:trHeight w:val="36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005DD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DB6FE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A20198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23FD74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BF5827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A5CAAE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</w:p>
        </w:tc>
      </w:tr>
      <w:tr w:rsidR="00C929AE" w:rsidRPr="00C929AE" w14:paraId="578385C8" w14:textId="77777777" w:rsidTr="00804BC8">
        <w:trPr>
          <w:gridAfter w:val="2"/>
          <w:wAfter w:w="583" w:type="dxa"/>
          <w:trHeight w:val="39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4DAC7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9B60B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VÝPOČET PRAVIDLA 1in</w:t>
            </w:r>
            <w:r w:rsidR="00FC121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C929A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2out:</w:t>
            </w:r>
          </w:p>
        </w:tc>
        <w:tc>
          <w:tcPr>
            <w:tcW w:w="26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vAlign w:val="center"/>
            <w:hideMark/>
          </w:tcPr>
          <w:p w14:paraId="4929B536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IN</w:t>
            </w:r>
          </w:p>
        </w:tc>
        <w:tc>
          <w:tcPr>
            <w:tcW w:w="262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6019C410" w14:textId="77777777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OUT</w:t>
            </w:r>
          </w:p>
        </w:tc>
      </w:tr>
      <w:tr w:rsidR="00C929AE" w:rsidRPr="00C929AE" w14:paraId="4C7053DD" w14:textId="77777777" w:rsidTr="00804BC8">
        <w:trPr>
          <w:gridAfter w:val="2"/>
          <w:wAfter w:w="583" w:type="dxa"/>
          <w:trHeight w:val="39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0400A" w14:textId="77777777" w:rsidR="00C929AE" w:rsidRPr="00C929AE" w:rsidRDefault="00C929AE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5BF89" w14:textId="3C21B0B5" w:rsidR="00C929AE" w:rsidRPr="00751DA9" w:rsidRDefault="006A4E85" w:rsidP="00C929A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751DA9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eastAsia="sk-SK"/>
              </w:rPr>
              <w:t>H</w:t>
            </w:r>
            <w:r w:rsidR="00C929AE" w:rsidRPr="00751DA9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eastAsia="sk-SK"/>
              </w:rPr>
              <w:t>.</w:t>
            </w:r>
            <w:r w:rsidR="009F4175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 xml:space="preserve"> Náklady okrem výnimiek = B+D</w:t>
            </w:r>
            <w:r w:rsidRPr="00751DA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+E-F</w:t>
            </w: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C000"/>
            <w:vAlign w:val="center"/>
            <w:hideMark/>
          </w:tcPr>
          <w:p w14:paraId="02E1C703" w14:textId="27467338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  <w:r w:rsidR="00FB118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2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2D050"/>
            <w:vAlign w:val="center"/>
            <w:hideMark/>
          </w:tcPr>
          <w:p w14:paraId="2A9C6235" w14:textId="54BF022F" w:rsidR="00C929AE" w:rsidRPr="00C929AE" w:rsidRDefault="00C929AE" w:rsidP="00C92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C92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  <w:r w:rsidR="00FB118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</w:tbl>
    <w:p w14:paraId="0C4E1024" w14:textId="77777777" w:rsidR="00054C41" w:rsidRPr="00895898" w:rsidRDefault="00054C41" w:rsidP="00054C41">
      <w:pPr>
        <w:rPr>
          <w:rFonts w:ascii="Times New Roman" w:eastAsia="Calibri" w:hAnsi="Times New Roman" w:cs="Times New Roman"/>
          <w:b/>
          <w:sz w:val="24"/>
          <w:szCs w:val="24"/>
        </w:rPr>
        <w:sectPr w:rsidR="00054C41" w:rsidRPr="00895898" w:rsidSect="00142154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93" w:right="1417" w:bottom="1417" w:left="1417" w:header="708" w:footer="708" w:gutter="0"/>
          <w:pgNumType w:start="1"/>
          <w:cols w:space="708"/>
          <w:docGrid w:linePitch="360"/>
        </w:sectPr>
      </w:pPr>
    </w:p>
    <w:p w14:paraId="29CDFA2A" w14:textId="77777777" w:rsidR="00054C41" w:rsidRPr="001F1B43" w:rsidRDefault="00054C41" w:rsidP="00054C41">
      <w:pPr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i/>
          <w:iCs/>
          <w:sz w:val="24"/>
          <w:szCs w:val="24"/>
        </w:rPr>
        <w:lastRenderedPageBreak/>
        <w:t>3.1.2 Výpočty vplyvov jednotlivých regulácií na zmeny v nákladoch podnikateľov</w:t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</w:p>
    <w:p w14:paraId="5E02E2DD" w14:textId="77777777" w:rsidR="00054C41" w:rsidRDefault="00054C41" w:rsidP="00054C41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Tabuľka č. 2: Výpočet vplyvov jednotlivých regulácií (nahraďte rovnakou tabuľkou po vyplnení Kalkulačky nákladov):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"/>
        <w:gridCol w:w="1766"/>
        <w:gridCol w:w="863"/>
        <w:gridCol w:w="1129"/>
        <w:gridCol w:w="2575"/>
        <w:gridCol w:w="934"/>
        <w:gridCol w:w="1010"/>
        <w:gridCol w:w="974"/>
        <w:gridCol w:w="791"/>
        <w:gridCol w:w="974"/>
        <w:gridCol w:w="840"/>
        <w:gridCol w:w="785"/>
        <w:gridCol w:w="1163"/>
      </w:tblGrid>
      <w:tr w:rsidR="00BA6C8F" w:rsidRPr="00BA6C8F" w14:paraId="2588753F" w14:textId="77777777" w:rsidTr="00BA6C8F">
        <w:trPr>
          <w:trHeight w:val="450"/>
        </w:trPr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9EA7142" w14:textId="056388AD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P.</w:t>
            </w:r>
            <w:r w:rsidR="00FF3B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BA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č.</w:t>
            </w:r>
          </w:p>
        </w:tc>
        <w:tc>
          <w:tcPr>
            <w:tcW w:w="8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207CE0A" w14:textId="1B396EFC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Zrozumiteľný a stručný opis regulácie </w:t>
            </w:r>
            <w:r w:rsidRPr="00BA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  <w:t>(dôvod zvýšenia/zníženia nákladov na PP a dôvod pon</w:t>
            </w:r>
            <w:r w:rsidR="00FF3B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echania nákladov na PP, ktoré sú</w:t>
            </w:r>
            <w:r w:rsidRPr="00BA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Pr="00BA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goldplatingom</w:t>
            </w:r>
            <w:proofErr w:type="spellEnd"/>
            <w:r w:rsidRPr="00BA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3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0782009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Číslo normy</w:t>
            </w:r>
            <w:r w:rsidRPr="00BA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(zákona, vyhlášky a pod.)</w:t>
            </w:r>
          </w:p>
        </w:tc>
        <w:tc>
          <w:tcPr>
            <w:tcW w:w="3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B71E145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Lokalizácia</w:t>
            </w:r>
            <w:r w:rsidRPr="00BA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  <w:t>(§, ods., čl.,...)</w:t>
            </w:r>
          </w:p>
        </w:tc>
        <w:tc>
          <w:tcPr>
            <w:tcW w:w="11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ADBF267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Pôvod regulácie: </w:t>
            </w:r>
            <w:r w:rsidRPr="00BA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SK/EÚ úplná </w:t>
            </w:r>
            <w:proofErr w:type="spellStart"/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harm</w:t>
            </w:r>
            <w:proofErr w:type="spellEnd"/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./</w:t>
            </w: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br/>
            </w:r>
            <w:proofErr w:type="spellStart"/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goldplating</w:t>
            </w:r>
            <w:proofErr w:type="spellEnd"/>
          </w:p>
        </w:tc>
        <w:tc>
          <w:tcPr>
            <w:tcW w:w="1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2EF2732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Účinnosť regulácie</w:t>
            </w:r>
          </w:p>
        </w:tc>
        <w:tc>
          <w:tcPr>
            <w:tcW w:w="2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BBF7178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Kategória </w:t>
            </w:r>
            <w:proofErr w:type="spellStart"/>
            <w:r w:rsidRPr="00BA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dotk</w:t>
            </w:r>
            <w:proofErr w:type="spellEnd"/>
            <w:r w:rsidRPr="00BA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 subjektov</w:t>
            </w:r>
          </w:p>
        </w:tc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A70ED4D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Počet </w:t>
            </w:r>
            <w:proofErr w:type="spellStart"/>
            <w:r w:rsidRPr="00BA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dotk</w:t>
            </w:r>
            <w:proofErr w:type="spellEnd"/>
            <w:r w:rsidRPr="00BA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. subjektov spolu </w:t>
            </w:r>
          </w:p>
        </w:tc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94C5B3F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 na 1 podnik. v €</w:t>
            </w:r>
          </w:p>
        </w:tc>
        <w:tc>
          <w:tcPr>
            <w:tcW w:w="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155432B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Vplyv na kategóriu </w:t>
            </w:r>
            <w:proofErr w:type="spellStart"/>
            <w:r w:rsidRPr="00BA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dotk</w:t>
            </w:r>
            <w:proofErr w:type="spellEnd"/>
            <w:r w:rsidRPr="00BA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. subjektov v €</w:t>
            </w:r>
          </w:p>
        </w:tc>
        <w:tc>
          <w:tcPr>
            <w:tcW w:w="3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EFECD2B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Druh vplyvu</w:t>
            </w:r>
            <w:r w:rsidRPr="00BA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In (zvyšuje náklady) / </w:t>
            </w: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br/>
            </w:r>
            <w:proofErr w:type="spellStart"/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Out</w:t>
            </w:r>
            <w:proofErr w:type="spellEnd"/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(znižuje náklady) / Nemení sa</w:t>
            </w:r>
          </w:p>
        </w:tc>
        <w:tc>
          <w:tcPr>
            <w:tcW w:w="3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1D0E6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1in2out </w:t>
            </w:r>
            <w:r w:rsidRPr="00BA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  <w:t>celkom</w:t>
            </w:r>
          </w:p>
        </w:tc>
        <w:tc>
          <w:tcPr>
            <w:tcW w:w="2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7DF26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Goldplating celkom</w:t>
            </w:r>
          </w:p>
        </w:tc>
      </w:tr>
      <w:tr w:rsidR="00BA6C8F" w:rsidRPr="00BA6C8F" w14:paraId="4BAA6E6B" w14:textId="77777777" w:rsidTr="00BA6C8F">
        <w:trPr>
          <w:trHeight w:val="45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6AD74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8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9247E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39B816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57F452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49679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D91FF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6CF02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064BC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52E13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58E6F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5F1A4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41F0F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84D4D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BA6C8F" w:rsidRPr="00BA6C8F" w14:paraId="497172ED" w14:textId="77777777" w:rsidTr="00BA6C8F">
        <w:trPr>
          <w:trHeight w:val="45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AEAD7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8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0307F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812B50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67783A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C0C94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B7CDA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1B766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595CE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0B9D5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5EA7B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1632D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67DCE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5141D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BA6C8F" w:rsidRPr="00BA6C8F" w14:paraId="7091A194" w14:textId="77777777" w:rsidTr="00BA6C8F">
        <w:trPr>
          <w:trHeight w:val="45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2D880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8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85748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492225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AFE01A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50630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B1083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570D1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5F790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72FE5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54333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FE1A8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0B3AF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A2F9F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BA6C8F" w:rsidRPr="00BA6C8F" w14:paraId="506D6673" w14:textId="77777777" w:rsidTr="00BA6C8F">
        <w:trPr>
          <w:trHeight w:val="45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09B29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8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D390E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029AAB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F437A9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82850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F3757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AD9E0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534F9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E230D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38775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07643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5AB40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797F6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BA6C8F" w:rsidRPr="00BA6C8F" w14:paraId="64FA0AB5" w14:textId="77777777" w:rsidTr="00BA6C8F">
        <w:trPr>
          <w:trHeight w:val="450"/>
        </w:trPr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01875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8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6E956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228837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D0AF7A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89AC8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6E516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F758E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D861B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E7227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E32C9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F2328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4A313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0FF2C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BA6C8F" w:rsidRPr="00BA6C8F" w14:paraId="200B6EBF" w14:textId="77777777" w:rsidTr="00BA6C8F">
        <w:trPr>
          <w:trHeight w:val="330"/>
        </w:trPr>
        <w:tc>
          <w:tcPr>
            <w:tcW w:w="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9A5C8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9D64D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vykonanie posúdenie rizika kritickým subjektom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F3058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EA124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§ 11 ods. 1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8E7FA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2. EÚ úplná harmonizácia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82C13" w14:textId="326CDAC9" w:rsidR="00BA6C8F" w:rsidRPr="00BA6C8F" w:rsidRDefault="000F127E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18</w:t>
            </w:r>
            <w:r w:rsidR="00BA6C8F"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.10.24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FAEF7" w14:textId="71D36F95" w:rsidR="00BA6C8F" w:rsidRPr="005605AF" w:rsidRDefault="000A1E10" w:rsidP="000A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5605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PO a</w:t>
            </w:r>
            <w:r w:rsidR="00BA6C8F" w:rsidRPr="005605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FO - podnikateľ 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8204E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             100 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4C43CE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1E5CA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100 000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959D0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In (zvyšuje náklady)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75BD3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A90A2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BA6C8F" w:rsidRPr="00BA6C8F" w14:paraId="4F023173" w14:textId="77777777" w:rsidTr="00BA6C8F">
        <w:trPr>
          <w:trHeight w:val="510"/>
        </w:trPr>
        <w:tc>
          <w:tcPr>
            <w:tcW w:w="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44B55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2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AF3B0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vypracovanie bezpečnostného plánu kritickým subjektom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391DC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F867B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§10 ods. 1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6E332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2. EÚ úplná harmonizácia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6A5B8" w14:textId="4483D531" w:rsidR="00BA6C8F" w:rsidRPr="00BA6C8F" w:rsidRDefault="000F127E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18</w:t>
            </w:r>
            <w:r w:rsidR="00BA6C8F"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.10.24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0524C" w14:textId="6A1B1053" w:rsidR="00BA6C8F" w:rsidRPr="005605AF" w:rsidRDefault="000A1E10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5605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PO a FO - podnikateľ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1E7E8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             100 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A6EE5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D2933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500 000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2537B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In (zvyšuje náklady)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97A3D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346DC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BA6C8F" w:rsidRPr="00BA6C8F" w14:paraId="31ACB0C4" w14:textId="77777777" w:rsidTr="00BA6C8F">
        <w:trPr>
          <w:trHeight w:val="255"/>
        </w:trPr>
        <w:tc>
          <w:tcPr>
            <w:tcW w:w="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FE637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3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F92DD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nahlasovanie incidentov kritických subjektov ÚOŠS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1FBAE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1226B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§14 ods. 1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24566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2. EÚ úplná harmonizácia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D54C9" w14:textId="74FC7475" w:rsidR="00BA6C8F" w:rsidRPr="00BA6C8F" w:rsidRDefault="000F127E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18</w:t>
            </w:r>
            <w:r w:rsidR="00BA6C8F"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.10.24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A9117" w14:textId="706A1E5F" w:rsidR="00BA6C8F" w:rsidRPr="005605AF" w:rsidRDefault="000A1E10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5605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PO a FO - podnikateľ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CF2AE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             100 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6B016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E22A4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100 000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3E7F0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In (zvyšuje náklady)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5AD6A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AA370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BA6C8F" w:rsidRPr="00BA6C8F" w14:paraId="4DE80AE7" w14:textId="77777777" w:rsidTr="00BA6C8F">
        <w:trPr>
          <w:trHeight w:val="255"/>
        </w:trPr>
        <w:tc>
          <w:tcPr>
            <w:tcW w:w="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62811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4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BFE5A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poskytnutie súčinnosti ÚOŠS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984EE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D8E2E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§ 9 ods. 1 §11 ods. 5 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44DF6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2. EÚ úplná harmonizácia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F8248" w14:textId="7EE2D8C2" w:rsidR="00BA6C8F" w:rsidRPr="00BA6C8F" w:rsidRDefault="000F127E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18</w:t>
            </w:r>
            <w:r w:rsidR="00BA6C8F"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.10.24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5A235" w14:textId="79FFB429" w:rsidR="00BA6C8F" w:rsidRPr="005605AF" w:rsidRDefault="000A1E10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5605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PO a FO - podnikateľ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C7883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             100 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813D7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E03F5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100 000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ABA94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In (zvyšuje náklady)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47AE3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B1601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BA6C8F" w:rsidRPr="00BA6C8F" w14:paraId="5D0E37AB" w14:textId="77777777" w:rsidTr="00BA6C8F">
        <w:trPr>
          <w:trHeight w:val="255"/>
        </w:trPr>
        <w:tc>
          <w:tcPr>
            <w:tcW w:w="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71C9A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5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3B99C" w14:textId="120AA0C6" w:rsid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za účelom preve</w:t>
            </w:r>
            <w:r w:rsidR="00A22B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re</w:t>
            </w: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nia oprávnenej osoby vyžiadanie si výpisu z registra trestov</w:t>
            </w:r>
          </w:p>
          <w:p w14:paraId="7811343B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DB80A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A342B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§12 ods. 4, 5, 6 a 7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03BF9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2. EÚ úplná harmonizácia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99DF2" w14:textId="3B73A4DA" w:rsidR="00BA6C8F" w:rsidRPr="00BA6C8F" w:rsidRDefault="000F127E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18</w:t>
            </w:r>
            <w:r w:rsidR="00BA6C8F"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.10.24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D0242" w14:textId="61AF710B" w:rsidR="00BA6C8F" w:rsidRPr="005605A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5605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FO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CAAC5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             100 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006BB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F127E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3 000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54E74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In (zvyšuje náklady)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F9A71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4ED3E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BA6C8F" w:rsidRPr="00BA6C8F" w14:paraId="22F17915" w14:textId="77777777" w:rsidTr="00BA6C8F">
        <w:trPr>
          <w:trHeight w:val="255"/>
        </w:trPr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A744A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lastRenderedPageBreak/>
              <w:t>6</w:t>
            </w:r>
          </w:p>
        </w:tc>
        <w:tc>
          <w:tcPr>
            <w:tcW w:w="8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BF434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práca s limitovanými informáciami 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44702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4E294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§ 13 </w:t>
            </w: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53336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2. EÚ úplná harmonizácia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A8A97" w14:textId="4887B268" w:rsidR="00BA6C8F" w:rsidRPr="00BA6C8F" w:rsidRDefault="000F127E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18</w:t>
            </w:r>
            <w:r w:rsidR="00BA6C8F"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.10.24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392E1" w14:textId="1D51F00C" w:rsidR="00BA6C8F" w:rsidRPr="005605AF" w:rsidRDefault="000A1E10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5605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PO a FO - podnikateľ</w:t>
            </w:r>
          </w:p>
        </w:tc>
        <w:tc>
          <w:tcPr>
            <w:tcW w:w="2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69B47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             100 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FCEF4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35083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2 000</w:t>
            </w:r>
          </w:p>
        </w:tc>
        <w:tc>
          <w:tcPr>
            <w:tcW w:w="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4A4AE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In (zvyšuje náklady)</w:t>
            </w:r>
          </w:p>
        </w:tc>
        <w:tc>
          <w:tcPr>
            <w:tcW w:w="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E810D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9A165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BA6C8F" w:rsidRPr="00BA6C8F" w14:paraId="3A7C55F7" w14:textId="77777777" w:rsidTr="00BA6C8F">
        <w:trPr>
          <w:trHeight w:val="255"/>
        </w:trPr>
        <w:tc>
          <w:tcPr>
            <w:tcW w:w="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EE8DB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7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7E550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povinnosť zabezpečiť kontinuitu poskytovania základných služieb prostredníctvom posúdenia rizika a na základe bezpečnostného plánu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4FA0B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93284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§10 ods. 1, 2 a 3, §11 ods. 4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3C678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2. EÚ úplná harmonizácia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1E599" w14:textId="6351F300" w:rsidR="00BA6C8F" w:rsidRPr="00BA6C8F" w:rsidRDefault="000F127E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18</w:t>
            </w:r>
            <w:r w:rsidR="00BA6C8F"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.10.24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2101A" w14:textId="2B3AA61F" w:rsidR="00BA6C8F" w:rsidRPr="005605AF" w:rsidRDefault="000A1E10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5605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PO a FO - podnikateľ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0700A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             100 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70B1E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275C8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100000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D6B78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Out</w:t>
            </w:r>
            <w:proofErr w:type="spellEnd"/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(znižuje náklady)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0D76C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53B99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BA6C8F" w:rsidRPr="00BA6C8F" w14:paraId="5A587AB9" w14:textId="77777777" w:rsidTr="00BA6C8F">
        <w:trPr>
          <w:trHeight w:val="255"/>
        </w:trPr>
        <w:tc>
          <w:tcPr>
            <w:tcW w:w="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AC876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8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927A5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posúdenie rizika a vypracovanie bezpečnostných plánov podľa osobitných predpisov 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29113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45F37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§11 ods. 3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5AE9A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2. EÚ úplná harmonizácia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819D3" w14:textId="2884C622" w:rsidR="00BA6C8F" w:rsidRPr="00BA6C8F" w:rsidRDefault="000F127E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18</w:t>
            </w:r>
            <w:r w:rsidR="00BA6C8F"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.10.24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358E4" w14:textId="1DBB5455" w:rsidR="00BA6C8F" w:rsidRPr="005605AF" w:rsidRDefault="000A1E10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5605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PO a FO - podnikateľ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6073C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             100 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04B8F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F80B8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9EF87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Out</w:t>
            </w:r>
            <w:proofErr w:type="spellEnd"/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(znižuje náklady)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70254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14D1F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BA6C8F" w:rsidRPr="00BA6C8F" w14:paraId="7F48C3DA" w14:textId="77777777" w:rsidTr="00BA6C8F">
        <w:trPr>
          <w:trHeight w:val="278"/>
        </w:trPr>
        <w:tc>
          <w:tcPr>
            <w:tcW w:w="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8EA98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9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C8576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regulácia povinností kritických subjektov podľa ďalších osobitných predpisov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8DB34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E43D6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§9 ods. 5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D62CE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2. EÚ úplná harmonizácia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42831" w14:textId="6508D67B" w:rsidR="00BA6C8F" w:rsidRPr="00BA6C8F" w:rsidRDefault="000F127E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18</w:t>
            </w:r>
            <w:r w:rsidR="00BA6C8F"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.10.24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6B1DA" w14:textId="0B72D456" w:rsidR="00BA6C8F" w:rsidRPr="005605AF" w:rsidRDefault="000A1E10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5605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PO a FO - podnikateľ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1A7B4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             100 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B5E03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266B8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B5B37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Out</w:t>
            </w:r>
            <w:proofErr w:type="spellEnd"/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(znižuje náklady)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71390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65933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BA6C8F" w:rsidRPr="00BA6C8F" w14:paraId="77F8FDF6" w14:textId="77777777" w:rsidTr="00BA6C8F">
        <w:trPr>
          <w:trHeight w:val="278"/>
        </w:trPr>
        <w:tc>
          <w:tcPr>
            <w:tcW w:w="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E8998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10</w:t>
            </w:r>
          </w:p>
        </w:tc>
        <w:tc>
          <w:tcPr>
            <w:tcW w:w="8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14862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poskytnutie súčinnosti na účely výkonu kontroly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2D256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BF4F3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§16 ods. 1, 2, 3 a 4</w:t>
            </w:r>
          </w:p>
        </w:tc>
        <w:tc>
          <w:tcPr>
            <w:tcW w:w="1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0E199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2. EÚ úplná harmonizácia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B83D1" w14:textId="78A37BC0" w:rsidR="00BA6C8F" w:rsidRPr="00BA6C8F" w:rsidRDefault="000F127E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18</w:t>
            </w:r>
            <w:r w:rsidR="00BA6C8F"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.10.24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CF5F2" w14:textId="3152C046" w:rsidR="00BA6C8F" w:rsidRPr="005605AF" w:rsidRDefault="000A1E10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5605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PO a FO - podnikateľ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3F28C" w14:textId="77777777" w:rsidR="00BA6C8F" w:rsidRPr="00BA6C8F" w:rsidRDefault="00BA6C8F" w:rsidP="00BA6C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             100 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CB016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C23EB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100 000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AC5BD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In (zvyšuje náklady)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0B58E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1F6E2" w14:textId="77777777" w:rsidR="00BA6C8F" w:rsidRPr="00BA6C8F" w:rsidRDefault="00BA6C8F" w:rsidP="00BA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A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</w:tbl>
    <w:p w14:paraId="520734CD" w14:textId="77777777" w:rsidR="00054C41" w:rsidRPr="00895898" w:rsidRDefault="00054C41" w:rsidP="00054C41">
      <w:pPr>
        <w:jc w:val="both"/>
        <w:rPr>
          <w:rFonts w:ascii="Times New Roman" w:eastAsia="Calibri" w:hAnsi="Times New Roman" w:cs="Times New Roman"/>
          <w:i/>
        </w:rPr>
      </w:pPr>
    </w:p>
    <w:p w14:paraId="798179FB" w14:textId="77777777" w:rsidR="00054C41" w:rsidRPr="00895898" w:rsidRDefault="00054C41" w:rsidP="00054C41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  <w:sectPr w:rsidR="00054C41" w:rsidRPr="00895898" w:rsidSect="00142154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3FB1450B" w14:textId="41C81540" w:rsidR="001E24E8" w:rsidRDefault="00511F8F" w:rsidP="00054C41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lastRenderedPageBreak/>
        <w:t xml:space="preserve">3.1.3 </w:t>
      </w:r>
      <w:r w:rsidR="00054C41" w:rsidRPr="001F1B43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Doplňujúce informácie k spôsobu výpočtu vplyvov jednotlivých regulácií na zmenu </w:t>
      </w:r>
      <w:r w:rsidR="00054C41" w:rsidRPr="007448DF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nákladov </w:t>
      </w:r>
    </w:p>
    <w:p w14:paraId="4E2D780E" w14:textId="24AFE6EE" w:rsidR="00E70A7F" w:rsidRPr="00E70A7F" w:rsidRDefault="002F44CA" w:rsidP="00054C41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V súvislosti s vplyvmi jednotlivých regulácií nie je možné </w:t>
      </w:r>
      <w:r w:rsidR="0086385B">
        <w:rPr>
          <w:rFonts w:ascii="Times New Roman" w:eastAsia="Calibri" w:hAnsi="Times New Roman" w:cs="Times New Roman"/>
          <w:bCs/>
          <w:sz w:val="24"/>
          <w:szCs w:val="24"/>
        </w:rPr>
        <w:t>riadne kvantifikovať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zmeny nákladov. P</w:t>
      </w:r>
      <w:r w:rsidR="0086385B">
        <w:rPr>
          <w:rFonts w:ascii="Times New Roman" w:eastAsia="Calibri" w:hAnsi="Times New Roman" w:cs="Times New Roman"/>
          <w:bCs/>
          <w:sz w:val="24"/>
          <w:szCs w:val="24"/>
        </w:rPr>
        <w:t>redkladateľ ná</w:t>
      </w:r>
      <w:bookmarkStart w:id="0" w:name="_GoBack"/>
      <w:bookmarkEnd w:id="0"/>
      <w:r w:rsidR="0086385B">
        <w:rPr>
          <w:rFonts w:ascii="Times New Roman" w:eastAsia="Calibri" w:hAnsi="Times New Roman" w:cs="Times New Roman"/>
          <w:bCs/>
          <w:sz w:val="24"/>
          <w:szCs w:val="24"/>
        </w:rPr>
        <w:t xml:space="preserve">vrhu zákona nemá žiadne ďalšie doplňujúce informácie </w:t>
      </w:r>
      <w:r w:rsidR="005B0B14">
        <w:rPr>
          <w:rFonts w:ascii="Times New Roman" w:eastAsia="Calibri" w:hAnsi="Times New Roman" w:cs="Times New Roman"/>
          <w:bCs/>
          <w:sz w:val="24"/>
          <w:szCs w:val="24"/>
        </w:rPr>
        <w:t>k spôsobu výpočtu.</w:t>
      </w:r>
      <w:r w:rsidR="0086385B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5B0B14" w:rsidRPr="003302CC">
        <w:rPr>
          <w:rFonts w:ascii="Times New Roman" w:eastAsia="Calibri" w:hAnsi="Times New Roman" w:cs="Times New Roman"/>
          <w:bCs/>
          <w:sz w:val="24"/>
          <w:szCs w:val="24"/>
        </w:rPr>
        <w:t>Ď</w:t>
      </w:r>
      <w:r w:rsidR="0086385B">
        <w:rPr>
          <w:rFonts w:ascii="Times New Roman" w:eastAsia="Calibri" w:hAnsi="Times New Roman" w:cs="Times New Roman"/>
          <w:bCs/>
          <w:sz w:val="24"/>
          <w:szCs w:val="24"/>
        </w:rPr>
        <w:t>alšie vplyvy na podnikateľské prostredie uvádza v podkapitole 3.4.</w:t>
      </w:r>
    </w:p>
    <w:p w14:paraId="0EB298DB" w14:textId="77777777" w:rsidR="00512BA7" w:rsidRPr="007448DF" w:rsidRDefault="00511F8F" w:rsidP="00512BA7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</w:pPr>
      <w:r w:rsidRPr="007448DF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3.1.4 </w:t>
      </w:r>
      <w:r w:rsidR="001E24E8" w:rsidRPr="007448DF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Odôvodnenie</w:t>
      </w:r>
      <w:r w:rsidR="008F6ADE" w:rsidRPr="007448DF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</w:t>
      </w:r>
      <w:proofErr w:type="spellStart"/>
      <w:r w:rsidR="008F6ADE" w:rsidRPr="007448DF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goldplating</w:t>
      </w:r>
      <w:r w:rsidR="0016512E" w:rsidRPr="007448DF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u</w:t>
      </w:r>
      <w:proofErr w:type="spellEnd"/>
      <w:r w:rsidR="001E24E8" w:rsidRPr="007448DF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</w:t>
      </w:r>
      <w:r w:rsidR="008F6ADE" w:rsidRPr="007448DF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podľa bodu 4 časti III </w:t>
      </w:r>
      <w:r w:rsidR="00FA6FFE" w:rsidRPr="007448DF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j</w:t>
      </w:r>
      <w:r w:rsidR="001E24E8" w:rsidRPr="007448DF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ednotnej metodiky </w:t>
      </w:r>
      <w:r w:rsidR="00400BA5" w:rsidRPr="007448DF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a </w:t>
      </w:r>
      <w:r w:rsidR="00B21D1F" w:rsidRPr="007448DF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ďalšie</w:t>
      </w:r>
      <w:r w:rsidR="00400BA5" w:rsidRPr="007448DF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d</w:t>
      </w:r>
      <w:r w:rsidR="00512BA7" w:rsidRPr="007448DF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oplňujúce informácie</w:t>
      </w:r>
      <w:r w:rsidR="00512BA7" w:rsidRPr="007448DF">
        <w:rPr>
          <w:rStyle w:val="Odkaznapoznmkupodiarou"/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footnoteReference w:id="2"/>
      </w:r>
      <w:r w:rsidR="00512BA7" w:rsidRPr="007448DF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</w:t>
      </w:r>
    </w:p>
    <w:p w14:paraId="52C4742E" w14:textId="37E14307" w:rsidR="00A21E3C" w:rsidRPr="007448DF" w:rsidRDefault="00A21E3C" w:rsidP="000C5419">
      <w:pPr>
        <w:jc w:val="both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</w:pPr>
      <w:r w:rsidRPr="007448DF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Predkladaný </w:t>
      </w:r>
      <w:r w:rsidR="00176591" w:rsidRPr="007448DF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n</w:t>
      </w:r>
      <w:r w:rsidRPr="007448DF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ávrh zákona o kritickej infraštruktúre nepredstavuje v analýze vplyvov na podnikateľské</w:t>
      </w:r>
      <w:r w:rsidR="00986806" w:rsidRPr="007448DF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 prostredie žiaden goldplating. Pri transpozícií smernice CER sa nešlo nad rámec povinností zaťažujúcich podnikateľské prostredie.</w:t>
      </w:r>
    </w:p>
    <w:p w14:paraId="39D55FBC" w14:textId="44B0C098" w:rsidR="00054C41" w:rsidRPr="007448DF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448DF">
        <w:rPr>
          <w:rFonts w:ascii="Times New Roman" w:eastAsia="Calibri" w:hAnsi="Times New Roman" w:cs="Times New Roman"/>
          <w:b/>
          <w:sz w:val="24"/>
          <w:szCs w:val="24"/>
        </w:rPr>
        <w:t>3.2 Vyhodnotenie konzultácií s podnikateľskými subjektmi pred predbežným pripomienkovým konaním</w:t>
      </w:r>
    </w:p>
    <w:p w14:paraId="45A5CC09" w14:textId="64F25A74" w:rsidR="00152C08" w:rsidRPr="007448DF" w:rsidRDefault="00152C08" w:rsidP="00152C0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48DF">
        <w:rPr>
          <w:rFonts w:ascii="Times New Roman" w:eastAsia="Calibri" w:hAnsi="Times New Roman" w:cs="Times New Roman"/>
          <w:sz w:val="24"/>
          <w:szCs w:val="24"/>
        </w:rPr>
        <w:t>Verejnosť bola o príprave návrhu zákona o kritickej infraštruktúre, ktor</w:t>
      </w:r>
      <w:r w:rsidR="00CF3537" w:rsidRPr="007448DF">
        <w:rPr>
          <w:rFonts w:ascii="Times New Roman" w:eastAsia="Calibri" w:hAnsi="Times New Roman" w:cs="Times New Roman"/>
          <w:sz w:val="24"/>
          <w:szCs w:val="24"/>
        </w:rPr>
        <w:t>ého</w:t>
      </w:r>
      <w:r w:rsidRPr="007448DF">
        <w:rPr>
          <w:rFonts w:ascii="Times New Roman" w:eastAsia="Calibri" w:hAnsi="Times New Roman" w:cs="Times New Roman"/>
          <w:sz w:val="24"/>
          <w:szCs w:val="24"/>
        </w:rPr>
        <w:t xml:space="preserve"> predkladateľom je Ministerstvo vnútra Slovenskej republiky informovaná prostredníctvom predbežnej informácie. Cieľom návrhu je transpozícia a implementácia právnych predpisov Európskej únie, ktorými sa mení smernica Európskeho parlamentu a Rady smernice Európskeho parlamentu a Rady (EÚ) 2022/2557 o odolnosti kritických subjektov a delegované nariadenie Komisie (EÚ) 2023/2450, ktorým sa dopĺňa smernica Európskeho parlamentu a Rady (EÚ) 2022/2557 stanovením zoznamu základných služieb.</w:t>
      </w:r>
    </w:p>
    <w:p w14:paraId="04915C00" w14:textId="77777777" w:rsidR="00152C08" w:rsidRPr="007448DF" w:rsidRDefault="00152C08" w:rsidP="00152C0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74415D0" w14:textId="4085007D" w:rsidR="000D4AC8" w:rsidRPr="007448DF" w:rsidRDefault="00152C08" w:rsidP="00152C0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48DF">
        <w:rPr>
          <w:rFonts w:ascii="Times New Roman" w:eastAsia="Calibri" w:hAnsi="Times New Roman" w:cs="Times New Roman"/>
          <w:sz w:val="24"/>
          <w:szCs w:val="24"/>
        </w:rPr>
        <w:t>K predbežnej informácii č. PI/2023/320 boli predložené celkovo tri vyjadrenia zo strany verejnosti. V nadväznosti na prebiehajúcu fázu legislatívneho procesu Ministerstvo vnútra Slovenskej republiky zorganizovalo konzultácie v rámci predbežnej informácie k návrhu zákona s Republikovou úniou zamestnávateľov, Klubom 500 za účasti Ministerstva hospodárstva Slovenskej republiky a s Potravinárskou komorou Slovenska za účasti Ministerstva pôdohospodárstva a rozvoja vidieka Slovenskej republiky. Po konzultáciách Ministerstvu vnútra Slovenskej republiky neboli predložené žiadne ďalšie pripomienky.</w:t>
      </w:r>
    </w:p>
    <w:p w14:paraId="08FCAD96" w14:textId="77777777" w:rsidR="00054C41" w:rsidRPr="007448DF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609C066C" w14:textId="77777777" w:rsidR="00054C41" w:rsidRPr="007448DF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1" w:name="_Hlk47698091"/>
      <w:r w:rsidRPr="007448DF">
        <w:rPr>
          <w:rFonts w:ascii="Times New Roman" w:eastAsia="Calibri" w:hAnsi="Times New Roman" w:cs="Times New Roman"/>
          <w:b/>
          <w:sz w:val="24"/>
          <w:szCs w:val="24"/>
        </w:rPr>
        <w:t>3.3 Vplyvy na konkurencieschopnosť a produktivitu</w:t>
      </w:r>
    </w:p>
    <w:bookmarkEnd w:id="1"/>
    <w:p w14:paraId="7D85C3B9" w14:textId="03B1EA5F" w:rsidR="003E2F3D" w:rsidRPr="007448DF" w:rsidRDefault="003E2F3D" w:rsidP="0017659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48DF">
        <w:rPr>
          <w:rFonts w:ascii="Times New Roman" w:eastAsia="Calibri" w:hAnsi="Times New Roman" w:cs="Times New Roman"/>
          <w:sz w:val="24"/>
          <w:szCs w:val="24"/>
        </w:rPr>
        <w:t>Návrh zákona nepredpokladá žiadny priamy vplyv na konkurencieschopnosť a produktivitu. Povinnosť podnikateľských a nepodnikateľských subjektov zaviesť bezpečnostné opatrenia, a tým v čo najväčšej miere predchádzať vzniku incidentov, môže mať pozitívny vplyv nielen na ich fungovanie, ale nepriamo aj na spotrebiteľov a zákazníkov ich služieb, keďže poskytovanie týchto služieb bude menej náchylné na narušenie spôsobené incidentom a môže sa zvýšiť dôveryhodnosť a celková odolnosť subjektu, čo by malo motivovať spotrebiteľov k využívaniu jeho služieb.</w:t>
      </w:r>
    </w:p>
    <w:p w14:paraId="61FAACC3" w14:textId="77777777" w:rsidR="003E2F3D" w:rsidRPr="007448DF" w:rsidRDefault="003E2F3D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32E0BDD0" w14:textId="77777777" w:rsidR="0086385B" w:rsidRDefault="0086385B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BE35CB4" w14:textId="77777777" w:rsidR="00054C41" w:rsidRPr="007448DF" w:rsidRDefault="00054C41" w:rsidP="00054C41">
      <w:pPr>
        <w:spacing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7448DF">
        <w:rPr>
          <w:rFonts w:ascii="Times New Roman" w:eastAsia="Calibri" w:hAnsi="Times New Roman" w:cs="Times New Roman"/>
          <w:b/>
          <w:i/>
          <w:sz w:val="24"/>
          <w:szCs w:val="24"/>
        </w:rPr>
        <w:t>Konkurencieschopnosť:</w:t>
      </w:r>
    </w:p>
    <w:p w14:paraId="6C684286" w14:textId="77777777" w:rsidR="00054C41" w:rsidRPr="007448DF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7448DF">
        <w:rPr>
          <w:rFonts w:ascii="Times New Roman" w:eastAsia="Calibri" w:hAnsi="Times New Roman" w:cs="Times New Roman"/>
          <w:i/>
          <w:sz w:val="24"/>
          <w:szCs w:val="24"/>
        </w:rPr>
        <w:t>Na základe uvedených odpovedí zaškrtnite a popíšte, či materiál konkurencieschopnosť:</w:t>
      </w:r>
    </w:p>
    <w:p w14:paraId="76CD0669" w14:textId="07213CB1" w:rsidR="00054C41" w:rsidRPr="007448DF" w:rsidRDefault="00BA3228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noProof/>
          <w:sz w:val="24"/>
          <w:szCs w:val="24"/>
          <w:lang w:eastAsia="sk-SK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065237" wp14:editId="527E6161">
                <wp:simplePos x="0" y="0"/>
                <wp:positionH relativeFrom="column">
                  <wp:posOffset>31339</wp:posOffset>
                </wp:positionH>
                <wp:positionV relativeFrom="paragraph">
                  <wp:posOffset>19685</wp:posOffset>
                </wp:positionV>
                <wp:extent cx="169545" cy="160655"/>
                <wp:effectExtent l="19050" t="0" r="40005" b="10795"/>
                <wp:wrapNone/>
                <wp:docPr id="3" name="Kosodĺžni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" cy="160655"/>
                        </a:xfrm>
                        <a:prstGeom prst="parallelogram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Kosodĺžnik 3" o:spid="_x0000_s1026" type="#_x0000_t7" style="position:absolute;margin-left:2.45pt;margin-top:1.55pt;width:13.35pt;height:12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" adj="5117" filled="f" strokecolor="black [3213]" strokeweight="1pt"/>
            </w:pict>
          </mc:Fallback>
        </mc:AlternateContent>
      </w:r>
      <w:r>
        <w:rPr>
          <w:rFonts w:ascii="Times New Roman" w:eastAsia="Calibri" w:hAnsi="Times New Roman" w:cs="Times New Roman"/>
          <w:i/>
          <w:noProof/>
          <w:sz w:val="24"/>
          <w:szCs w:val="24"/>
          <w:lang w:eastAsia="sk-SK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54FCA4" wp14:editId="3494C2BE">
                <wp:simplePos x="0" y="0"/>
                <wp:positionH relativeFrom="column">
                  <wp:posOffset>1833245</wp:posOffset>
                </wp:positionH>
                <wp:positionV relativeFrom="paragraph">
                  <wp:posOffset>19685</wp:posOffset>
                </wp:positionV>
                <wp:extent cx="169545" cy="160655"/>
                <wp:effectExtent l="19050" t="0" r="40005" b="10795"/>
                <wp:wrapNone/>
                <wp:docPr id="2" name="Kosodĺžni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" cy="160655"/>
                        </a:xfrm>
                        <a:prstGeom prst="parallelogram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osodĺžnik 2" o:spid="_x0000_s1026" type="#_x0000_t7" style="position:absolute;margin-left:144.35pt;margin-top:1.55pt;width:13.35pt;height:12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" adj="5117" filled="f" strokecolor="black [3213]" strokeweight="1pt"/>
            </w:pict>
          </mc:Fallback>
        </mc:AlternateContent>
      </w:r>
      <w:r w:rsidR="00D750FB">
        <w:rPr>
          <w:rFonts w:ascii="Times New Roman" w:eastAsia="Calibri" w:hAnsi="Times New Roman" w:cs="Times New Roman"/>
          <w:i/>
          <w:noProof/>
          <w:sz w:val="24"/>
          <w:szCs w:val="24"/>
          <w:lang w:eastAsia="sk-SK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A1F889" wp14:editId="2EA3D33A">
                <wp:simplePos x="0" y="0"/>
                <wp:positionH relativeFrom="column">
                  <wp:posOffset>848323</wp:posOffset>
                </wp:positionH>
                <wp:positionV relativeFrom="paragraph">
                  <wp:posOffset>20320</wp:posOffset>
                </wp:positionV>
                <wp:extent cx="169919" cy="161103"/>
                <wp:effectExtent l="19050" t="0" r="40005" b="10795"/>
                <wp:wrapNone/>
                <wp:docPr id="1" name="Kosodĺžni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919" cy="161103"/>
                        </a:xfrm>
                        <a:prstGeom prst="parallelogram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osodĺžnik 1" o:spid="_x0000_s1026" type="#_x0000_t7" style="position:absolute;margin-left:66.8pt;margin-top:1.6pt;width:13.4pt;height:12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" adj="5120" filled="f" strokecolor="black [3213]" strokeweight="1pt"/>
            </w:pict>
          </mc:Fallback>
        </mc:AlternateContent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798576880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1729873660"/>
              <w:showingPlcHdr/>
            </w:sdtPr>
            <w:sdtEndPr/>
            <w:sdtContent>
              <w:r>
                <w:rPr>
                  <w:rFonts w:ascii="Times New Roman" w:eastAsia="Calibri" w:hAnsi="Times New Roman" w:cs="Times New Roman"/>
                  <w:i/>
                  <w:sz w:val="24"/>
                  <w:szCs w:val="24"/>
                </w:rPr>
                <w:t xml:space="preserve">     </w:t>
              </w:r>
            </w:sdtContent>
          </w:sdt>
        </w:sdtContent>
      </w:sdt>
      <w:r w:rsidR="00054C41" w:rsidRPr="007448DF">
        <w:rPr>
          <w:rFonts w:ascii="Times New Roman" w:eastAsia="Calibri" w:hAnsi="Times New Roman" w:cs="Times New Roman"/>
          <w:i/>
          <w:sz w:val="24"/>
          <w:szCs w:val="24"/>
        </w:rPr>
        <w:t xml:space="preserve"> zvyšuje  </w:t>
      </w:r>
      <w:r w:rsidR="00054C41" w:rsidRPr="007448DF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410579887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80300261"/>
            </w:sdtPr>
            <w:sdtEndPr/>
            <w:sdtContent>
              <w:r w:rsidR="00176591" w:rsidRPr="007448DF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x</w:t>
              </w:r>
            </w:sdtContent>
          </w:sdt>
        </w:sdtContent>
      </w:sdt>
      <w:r w:rsidR="00054C41" w:rsidRPr="007448DF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D750FB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054C41" w:rsidRPr="007448DF">
        <w:rPr>
          <w:rFonts w:ascii="Times New Roman" w:eastAsia="Calibri" w:hAnsi="Times New Roman" w:cs="Times New Roman"/>
          <w:i/>
          <w:sz w:val="24"/>
          <w:szCs w:val="24"/>
        </w:rPr>
        <w:t>nemení</w:t>
      </w:r>
      <w:r w:rsidR="00054C41" w:rsidRPr="007448DF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474604883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1706551548"/>
              <w:showingPlcHdr/>
            </w:sdtPr>
            <w:sdtEndPr/>
            <w:sdtContent>
              <w:r>
                <w:rPr>
                  <w:rFonts w:ascii="Times New Roman" w:eastAsia="Calibri" w:hAnsi="Times New Roman" w:cs="Times New Roman"/>
                  <w:i/>
                  <w:sz w:val="24"/>
                  <w:szCs w:val="24"/>
                </w:rPr>
                <w:t xml:space="preserve">     </w:t>
              </w:r>
            </w:sdtContent>
          </w:sdt>
        </w:sdtContent>
      </w:sdt>
      <w:r w:rsidR="00054C41" w:rsidRPr="007448DF">
        <w:rPr>
          <w:rFonts w:ascii="Times New Roman" w:eastAsia="Calibri" w:hAnsi="Times New Roman" w:cs="Times New Roman"/>
          <w:i/>
          <w:sz w:val="24"/>
          <w:szCs w:val="24"/>
        </w:rPr>
        <w:t xml:space="preserve"> znižuje</w:t>
      </w:r>
      <w:r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</w:p>
    <w:p w14:paraId="327BF48A" w14:textId="67C68EAB" w:rsidR="00054C41" w:rsidRPr="007448DF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5861187D" w14:textId="77777777" w:rsidR="00054C41" w:rsidRPr="007448DF" w:rsidRDefault="00054C41" w:rsidP="00054C41">
      <w:pPr>
        <w:spacing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7448DF">
        <w:rPr>
          <w:rFonts w:ascii="Times New Roman" w:eastAsia="Calibri" w:hAnsi="Times New Roman" w:cs="Times New Roman"/>
          <w:b/>
          <w:i/>
          <w:sz w:val="24"/>
          <w:szCs w:val="24"/>
        </w:rPr>
        <w:t>Produktivita:</w:t>
      </w:r>
    </w:p>
    <w:p w14:paraId="1FF562C2" w14:textId="18186E93" w:rsidR="00054C41" w:rsidRPr="007448DF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7448DF">
        <w:rPr>
          <w:rFonts w:ascii="Times New Roman" w:eastAsia="Calibri" w:hAnsi="Times New Roman" w:cs="Times New Roman"/>
          <w:i/>
          <w:sz w:val="24"/>
          <w:szCs w:val="24"/>
        </w:rPr>
        <w:t xml:space="preserve">Aký má materiál vplyv na zmenu pomeru medzi produkciou podnikov a ich nákladmi? </w:t>
      </w:r>
    </w:p>
    <w:p w14:paraId="64F503AF" w14:textId="1D9A4BBA" w:rsidR="00176591" w:rsidRPr="007448DF" w:rsidRDefault="0017659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357D6D7" w14:textId="39653EBD" w:rsidR="00176591" w:rsidRPr="007448DF" w:rsidRDefault="00176591" w:rsidP="00054C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48DF">
        <w:rPr>
          <w:rFonts w:ascii="Times New Roman" w:eastAsia="Calibri" w:hAnsi="Times New Roman" w:cs="Times New Roman"/>
          <w:sz w:val="24"/>
          <w:szCs w:val="24"/>
        </w:rPr>
        <w:t xml:space="preserve">Momentálne určeným prevádzkovateľom prvkov kritickej infraštruktúry predkladaný zákon nemení pomer medzi produkciou a ich nákladmi. Novo určené </w:t>
      </w:r>
      <w:r w:rsidR="009467E6" w:rsidRPr="007448DF">
        <w:rPr>
          <w:rFonts w:ascii="Times New Roman" w:eastAsia="Calibri" w:hAnsi="Times New Roman" w:cs="Times New Roman"/>
          <w:sz w:val="24"/>
          <w:szCs w:val="24"/>
        </w:rPr>
        <w:t>kritické subjekty budú musieť znášať vyššie náklady</w:t>
      </w:r>
      <w:r w:rsidR="00857EFE" w:rsidRPr="007448DF">
        <w:rPr>
          <w:rFonts w:ascii="Times New Roman" w:eastAsia="Calibri" w:hAnsi="Times New Roman" w:cs="Times New Roman"/>
          <w:sz w:val="24"/>
          <w:szCs w:val="24"/>
        </w:rPr>
        <w:t>,</w:t>
      </w:r>
      <w:r w:rsidR="009467E6" w:rsidRPr="007448DF">
        <w:rPr>
          <w:rFonts w:ascii="Times New Roman" w:eastAsia="Calibri" w:hAnsi="Times New Roman" w:cs="Times New Roman"/>
          <w:sz w:val="24"/>
          <w:szCs w:val="24"/>
        </w:rPr>
        <w:t xml:space="preserve"> avšak ich produkciu to neovplyvní, pretože vplyvom opatrení budú odolnejšie, čo sa odzrkadlí aj na kontinuite poskytovaných služieb.</w:t>
      </w:r>
    </w:p>
    <w:p w14:paraId="23DA5CCF" w14:textId="77777777" w:rsidR="00054C41" w:rsidRPr="007448DF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B272ABF" w14:textId="77777777" w:rsidR="00054C41" w:rsidRPr="007448DF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7448DF">
        <w:rPr>
          <w:rFonts w:ascii="Times New Roman" w:eastAsia="Calibri" w:hAnsi="Times New Roman" w:cs="Times New Roman"/>
          <w:i/>
          <w:sz w:val="24"/>
          <w:szCs w:val="24"/>
        </w:rPr>
        <w:t>Na základe uvedenej odpovede zaškrtnite a popíšte, či materiál produktivitu:</w:t>
      </w:r>
    </w:p>
    <w:p w14:paraId="789FA80A" w14:textId="239E810B" w:rsidR="00054C41" w:rsidRPr="007448DF" w:rsidRDefault="00BA3228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noProof/>
          <w:sz w:val="24"/>
          <w:szCs w:val="24"/>
          <w:lang w:eastAsia="sk-SK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31F4433" wp14:editId="5DEB36B4">
                <wp:simplePos x="0" y="0"/>
                <wp:positionH relativeFrom="column">
                  <wp:posOffset>901065</wp:posOffset>
                </wp:positionH>
                <wp:positionV relativeFrom="paragraph">
                  <wp:posOffset>25400</wp:posOffset>
                </wp:positionV>
                <wp:extent cx="169545" cy="160655"/>
                <wp:effectExtent l="19050" t="0" r="40005" b="10795"/>
                <wp:wrapNone/>
                <wp:docPr id="9" name="Kosodĺžni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" cy="160655"/>
                        </a:xfrm>
                        <a:prstGeom prst="parallelogram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osodĺžnik 9" o:spid="_x0000_s1026" type="#_x0000_t7" style="position:absolute;margin-left:70.95pt;margin-top:2pt;width:13.35pt;height:12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" adj="5117" filled="f" strokecolor="black [3213]" strokeweight="1pt"/>
            </w:pict>
          </mc:Fallback>
        </mc:AlternateContent>
      </w:r>
      <w:r>
        <w:rPr>
          <w:rFonts w:ascii="Times New Roman" w:eastAsia="Calibri" w:hAnsi="Times New Roman" w:cs="Times New Roman"/>
          <w:i/>
          <w:noProof/>
          <w:sz w:val="24"/>
          <w:szCs w:val="24"/>
          <w:lang w:eastAsia="sk-SK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57E61E4" wp14:editId="41D4986B">
                <wp:simplePos x="0" y="0"/>
                <wp:positionH relativeFrom="column">
                  <wp:posOffset>1832610</wp:posOffset>
                </wp:positionH>
                <wp:positionV relativeFrom="paragraph">
                  <wp:posOffset>24765</wp:posOffset>
                </wp:positionV>
                <wp:extent cx="169545" cy="160655"/>
                <wp:effectExtent l="19050" t="0" r="40005" b="10795"/>
                <wp:wrapNone/>
                <wp:docPr id="7" name="Kosodĺžni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" cy="160655"/>
                        </a:xfrm>
                        <a:prstGeom prst="parallelogram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osodĺžnik 7" o:spid="_x0000_s1026" type="#_x0000_t7" style="position:absolute;margin-left:144.3pt;margin-top:1.95pt;width:13.35pt;height:12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" adj="5117" filled="f" strokecolor="black [3213]" strokeweight="1pt"/>
            </w:pict>
          </mc:Fallback>
        </mc:AlternateContent>
      </w:r>
      <w:r>
        <w:rPr>
          <w:rFonts w:ascii="Times New Roman" w:eastAsia="Calibri" w:hAnsi="Times New Roman" w:cs="Times New Roman"/>
          <w:i/>
          <w:noProof/>
          <w:sz w:val="24"/>
          <w:szCs w:val="24"/>
          <w:lang w:eastAsia="sk-SK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8E8F3BE" wp14:editId="32C0E819">
                <wp:simplePos x="0" y="0"/>
                <wp:positionH relativeFrom="column">
                  <wp:posOffset>13970</wp:posOffset>
                </wp:positionH>
                <wp:positionV relativeFrom="paragraph">
                  <wp:posOffset>25251</wp:posOffset>
                </wp:positionV>
                <wp:extent cx="169545" cy="160655"/>
                <wp:effectExtent l="19050" t="0" r="40005" b="10795"/>
                <wp:wrapNone/>
                <wp:docPr id="5" name="Kosodĺžni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" cy="160655"/>
                        </a:xfrm>
                        <a:prstGeom prst="parallelogram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osodĺžnik 5" o:spid="_x0000_s1026" type="#_x0000_t7" style="position:absolute;margin-left:1.1pt;margin-top:2pt;width:13.35pt;height:12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" adj="5117" filled="f" strokecolor="black [3213]" strokeweight="1pt"/>
            </w:pict>
          </mc:Fallback>
        </mc:AlternateContent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1545903528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825715010"/>
              <w:showingPlcHdr/>
            </w:sdtPr>
            <w:sdtEndPr/>
            <w:sdtContent>
              <w:r>
                <w:rPr>
                  <w:rFonts w:ascii="Times New Roman" w:eastAsia="Calibri" w:hAnsi="Times New Roman" w:cs="Times New Roman"/>
                  <w:i/>
                  <w:sz w:val="24"/>
                  <w:szCs w:val="24"/>
                </w:rPr>
                <w:t xml:space="preserve">     </w:t>
              </w:r>
            </w:sdtContent>
          </w:sdt>
        </w:sdtContent>
      </w:sdt>
      <w:r w:rsidR="00054C41" w:rsidRPr="007448DF">
        <w:rPr>
          <w:rFonts w:ascii="Times New Roman" w:eastAsia="Calibri" w:hAnsi="Times New Roman" w:cs="Times New Roman"/>
          <w:i/>
          <w:sz w:val="24"/>
          <w:szCs w:val="24"/>
        </w:rPr>
        <w:t xml:space="preserve"> zvyšuje  </w:t>
      </w:r>
      <w:r w:rsidR="00054C41" w:rsidRPr="007448DF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353966921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1222205104"/>
            </w:sdtPr>
            <w:sdtEndPr/>
            <w:sdtContent>
              <w:r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 xml:space="preserve"> </w:t>
              </w:r>
              <w:sdt>
                <w:sdtPr>
                  <w:rPr>
                    <w:rFonts w:ascii="Times New Roman" w:eastAsia="Calibri" w:hAnsi="Times New Roman" w:cs="Times New Roman"/>
                    <w:i/>
                    <w:sz w:val="24"/>
                    <w:szCs w:val="24"/>
                  </w:rPr>
                  <w:id w:val="675235642"/>
                </w:sdtPr>
                <w:sdtEndPr/>
                <w:sdtContent>
                  <w:sdt>
                    <w:sdtPr>
                      <w:rPr>
                        <w:rFonts w:ascii="Times New Roman" w:eastAsia="Calibri" w:hAnsi="Times New Roman" w:cs="Times New Roman"/>
                        <w:i/>
                        <w:sz w:val="24"/>
                        <w:szCs w:val="24"/>
                      </w:rPr>
                      <w:id w:val="-1121848108"/>
                    </w:sdtPr>
                    <w:sdtEndPr/>
                    <w:sdtContent>
                      <w:r w:rsidRPr="007448DF">
                        <w:rPr>
                          <w:rFonts w:ascii="Segoe UI Symbol" w:eastAsia="Calibri" w:hAnsi="Segoe UI Symbol" w:cs="Segoe UI Symbol"/>
                          <w:i/>
                          <w:sz w:val="24"/>
                          <w:szCs w:val="24"/>
                        </w:rPr>
                        <w:t>x</w:t>
                      </w:r>
                    </w:sdtContent>
                  </w:sdt>
                </w:sdtContent>
              </w:sdt>
              <w:r w:rsidRPr="007448DF">
                <w:rPr>
                  <w:rFonts w:ascii="Times New Roman" w:eastAsia="Calibri" w:hAnsi="Times New Roman" w:cs="Times New Roman"/>
                  <w:i/>
                  <w:sz w:val="24"/>
                  <w:szCs w:val="24"/>
                </w:rPr>
                <w:t xml:space="preserve"> </w:t>
              </w:r>
              <w:r>
                <w:rPr>
                  <w:rFonts w:ascii="Times New Roman" w:eastAsia="Calibri" w:hAnsi="Times New Roman" w:cs="Times New Roman"/>
                  <w:i/>
                  <w:sz w:val="24"/>
                  <w:szCs w:val="24"/>
                </w:rPr>
                <w:t xml:space="preserve"> </w:t>
              </w:r>
              <w:r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 xml:space="preserve"> </w:t>
              </w:r>
            </w:sdtContent>
          </w:sdt>
        </w:sdtContent>
      </w:sdt>
      <w:r w:rsidR="00054C41" w:rsidRPr="007448DF">
        <w:rPr>
          <w:rFonts w:ascii="Times New Roman" w:eastAsia="Calibri" w:hAnsi="Times New Roman" w:cs="Times New Roman"/>
          <w:i/>
          <w:sz w:val="24"/>
          <w:szCs w:val="24"/>
        </w:rPr>
        <w:t>nemení</w:t>
      </w:r>
      <w:r w:rsidR="00054C41" w:rsidRPr="007448DF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1457723544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623767955"/>
              <w:showingPlcHdr/>
            </w:sdtPr>
            <w:sdtEndPr/>
            <w:sdtContent>
              <w:r>
                <w:rPr>
                  <w:rFonts w:ascii="Times New Roman" w:eastAsia="Calibri" w:hAnsi="Times New Roman" w:cs="Times New Roman"/>
                  <w:i/>
                  <w:sz w:val="24"/>
                  <w:szCs w:val="24"/>
                </w:rPr>
                <w:t xml:space="preserve">     </w:t>
              </w:r>
            </w:sdtContent>
          </w:sdt>
        </w:sdtContent>
      </w:sdt>
      <w:r w:rsidR="00054C41" w:rsidRPr="007448DF">
        <w:rPr>
          <w:rFonts w:ascii="Times New Roman" w:eastAsia="Calibri" w:hAnsi="Times New Roman" w:cs="Times New Roman"/>
          <w:i/>
          <w:sz w:val="24"/>
          <w:szCs w:val="24"/>
        </w:rPr>
        <w:t xml:space="preserve"> znižuje</w:t>
      </w:r>
    </w:p>
    <w:p w14:paraId="3814BF91" w14:textId="77777777" w:rsidR="00E30D85" w:rsidRPr="007448DF" w:rsidRDefault="00E30D85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77BBF8F3" w14:textId="2C921B13" w:rsidR="009467E6" w:rsidRPr="007448DF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448DF">
        <w:rPr>
          <w:rFonts w:ascii="Times New Roman" w:eastAsia="Calibri" w:hAnsi="Times New Roman" w:cs="Times New Roman"/>
          <w:b/>
          <w:sz w:val="24"/>
          <w:szCs w:val="24"/>
        </w:rPr>
        <w:t xml:space="preserve">3.4  Iné vplyvy na podnikateľské prostredie </w:t>
      </w:r>
    </w:p>
    <w:p w14:paraId="7C256CCC" w14:textId="497087E9" w:rsidR="009467E6" w:rsidRDefault="009467E6" w:rsidP="009467E6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48DF">
        <w:rPr>
          <w:rFonts w:ascii="Times New Roman" w:eastAsia="Calibri" w:hAnsi="Times New Roman" w:cs="Times New Roman"/>
          <w:sz w:val="24"/>
          <w:szCs w:val="24"/>
        </w:rPr>
        <w:t>Orgány štátnej správy na úseku kritickej infraštruktúry podporujú kritické subjekty pri zvyšovaní ich odolnosti. Podpora môže zahŕňať vypracúvanie poradenského materiálu a metodiky, podporu v súvislosti s organizovaním cvičení na testovanie ich odolnosti a poskytovanie poradenstva a odbornej prípravy zamestnancom kritických subjektov. Bez toho, aby boli dotknuté pravidlá štátnej pomoci v osobitnom predpise, môžu sa poskytnúť aj finančné prostriedky kritickým subjektom, ak je to potrebné a odôvodnené cieľmi verejného záujmu.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511DBC70" w14:textId="77777777" w:rsidR="00E70A7F" w:rsidRPr="007448DF" w:rsidRDefault="00E70A7F" w:rsidP="00E70A7F">
      <w:pPr>
        <w:jc w:val="both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</w:pPr>
      <w:r w:rsidRPr="007448DF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V aktuálne platnom zákone č. 45/2011 Z. z. o kritickej infraštruktúre (ďalej ako „zákon č. 45/2011 Z. z.“) sú akékoľvek informácie týkajúce sa zoznamu prvkov kritickej infraštruktúry vyhradenou informáciou podľa zákona č. 215/2004 Z. z. o utajovaných skutočnostiach a o zmene a doplnení niektorých zákonov (ďalej ako „zákon č. 215/2004 Z. z.“). Zo spomenutých dôvodov, sme vo výpočtoch použili modelový príklad počtu dotknutých subjektoch. </w:t>
      </w:r>
    </w:p>
    <w:p w14:paraId="7CD2FD0F" w14:textId="77777777" w:rsidR="00E70A7F" w:rsidRPr="007448DF" w:rsidRDefault="00E70A7F" w:rsidP="00E70A7F">
      <w:pPr>
        <w:jc w:val="both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</w:pPr>
      <w:r w:rsidRPr="007448DF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Ministerstvo vnútra Slovenskej republiky a ostatné ústredné orgány štátnej správy doteraz nezbierali údaje potrebné pre vyčíslenie finančných dopadov, a preto nie je možné v súčasnosti kvantifikovať presné dopady.</w:t>
      </w:r>
    </w:p>
    <w:p w14:paraId="454329A0" w14:textId="77777777" w:rsidR="00E70A7F" w:rsidRPr="007448DF" w:rsidRDefault="00E70A7F" w:rsidP="00E70A7F">
      <w:pPr>
        <w:pStyle w:val="Odsekzoznamu"/>
        <w:numPr>
          <w:ilvl w:val="0"/>
          <w:numId w:val="15"/>
        </w:numPr>
        <w:jc w:val="both"/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</w:rPr>
      </w:pPr>
      <w:r w:rsidRPr="007448DF"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</w:rPr>
        <w:t>Vykonanie posúdenie rizika kritickým subjektom</w:t>
      </w:r>
    </w:p>
    <w:p w14:paraId="41BB6C10" w14:textId="72DE9752" w:rsidR="00E70A7F" w:rsidRPr="007448DF" w:rsidRDefault="00E70A7F" w:rsidP="00E70A7F">
      <w:pPr>
        <w:jc w:val="both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</w:pPr>
      <w:r w:rsidRPr="007448DF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Akékoľvek informácie týkajúce sa zoznamu prvkov kritickej infraštruktúry sú vyhradenou informáciou podľa zákona č. 215/2004 Z. z. Vyčíslenie nákladov kritických subjektov na posúdenie rizika sa nedá všeobecne sumarizovať, pretože je závislé na rozdelení do sektorov a podsektorov na úseku kritickej infraštruktúry.</w:t>
      </w:r>
    </w:p>
    <w:p w14:paraId="7DBF2392" w14:textId="77777777" w:rsidR="00E70A7F" w:rsidRPr="007448DF" w:rsidRDefault="00E70A7F" w:rsidP="00E70A7F">
      <w:pPr>
        <w:pStyle w:val="Odsekzoznamu"/>
        <w:numPr>
          <w:ilvl w:val="0"/>
          <w:numId w:val="15"/>
        </w:numPr>
        <w:jc w:val="both"/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</w:rPr>
      </w:pPr>
      <w:r w:rsidRPr="007448DF"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</w:rPr>
        <w:t>Vypracovanie bezpečnostného plánu kritickým subjektom</w:t>
      </w:r>
    </w:p>
    <w:p w14:paraId="28C49180" w14:textId="77777777" w:rsidR="00E70A7F" w:rsidRPr="007448DF" w:rsidRDefault="00E70A7F" w:rsidP="00E70A7F">
      <w:pPr>
        <w:jc w:val="both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</w:pPr>
      <w:r w:rsidRPr="007448DF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Akékoľvek informácie týkajúce sa zoznamu prvkov kritickej infraštruktúry sú vyhradenou informáciou podľa zákona č. 215/2004 Z. z. Vyčíslenie nákladov kritických subjektov na vypracovanie bezpečnostného plánu (opatrenia na zvyšovanie odolnosti) sa nedá všeobecne </w:t>
      </w:r>
      <w:r w:rsidRPr="007448DF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lastRenderedPageBreak/>
        <w:t>sumarizovať, pretože je závislé na rozdelení do sektorov a podsektorov na úseku kritickej infraštruktúry.</w:t>
      </w:r>
    </w:p>
    <w:p w14:paraId="180E9FEA" w14:textId="77777777" w:rsidR="00E70A7F" w:rsidRPr="007448DF" w:rsidRDefault="00E70A7F" w:rsidP="00E70A7F">
      <w:pPr>
        <w:pStyle w:val="Odsekzoznamu"/>
        <w:numPr>
          <w:ilvl w:val="0"/>
          <w:numId w:val="15"/>
        </w:numPr>
        <w:jc w:val="both"/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</w:rPr>
      </w:pPr>
      <w:r w:rsidRPr="007448DF"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</w:rPr>
        <w:t>Nahlasovanie incidentov kritických subjektov ÚOŠS</w:t>
      </w:r>
    </w:p>
    <w:p w14:paraId="04198145" w14:textId="77777777" w:rsidR="00E70A7F" w:rsidRPr="007448DF" w:rsidRDefault="00E70A7F" w:rsidP="00E70A7F">
      <w:pPr>
        <w:jc w:val="both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</w:pPr>
      <w:r w:rsidRPr="007448DF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Tieto úlohy sa zaraďujú medzi nové povinnosti kritických subjektov, odhadujeme len administratívne zaťaženie na kritické subjekty a z toho dôvodu nevieme kvantifikovať finančný dopad. </w:t>
      </w:r>
    </w:p>
    <w:p w14:paraId="6180DC73" w14:textId="77777777" w:rsidR="00E70A7F" w:rsidRPr="007448DF" w:rsidRDefault="00E70A7F" w:rsidP="00E70A7F">
      <w:pPr>
        <w:pStyle w:val="Odsekzoznamu"/>
        <w:numPr>
          <w:ilvl w:val="0"/>
          <w:numId w:val="15"/>
        </w:numPr>
        <w:jc w:val="both"/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</w:rPr>
      </w:pPr>
      <w:r w:rsidRPr="007448DF"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</w:rPr>
        <w:t>Poskytnutie súčinnosti ÚOŠS</w:t>
      </w:r>
    </w:p>
    <w:p w14:paraId="2796244F" w14:textId="77777777" w:rsidR="00E70A7F" w:rsidRPr="007448DF" w:rsidRDefault="00E70A7F" w:rsidP="00E70A7F">
      <w:pPr>
        <w:jc w:val="both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</w:pPr>
      <w:r w:rsidRPr="007448DF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Povinnosti na úseku kritickej infraštruktúry sú kritické subjekty povinné plniť aj v aktuálne platnom zákone č. 45/2011 Z. z.  Z uvedeného dôvodu odhadujeme administratívne zaťaženie na kritické subjekty, ktoré majú len marginálny dopad.</w:t>
      </w:r>
    </w:p>
    <w:p w14:paraId="45FBC031" w14:textId="77777777" w:rsidR="00E70A7F" w:rsidRPr="007448DF" w:rsidRDefault="00E70A7F" w:rsidP="00E70A7F">
      <w:pPr>
        <w:pStyle w:val="Odsekzoznamu"/>
        <w:numPr>
          <w:ilvl w:val="0"/>
          <w:numId w:val="15"/>
        </w:numPr>
        <w:jc w:val="both"/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</w:rPr>
      </w:pPr>
      <w:r w:rsidRPr="007448DF"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</w:rPr>
        <w:t>Za účelom preverenia oprávnenej osoby vyžiadanie si výpisu z registra trestov</w:t>
      </w:r>
    </w:p>
    <w:p w14:paraId="1C17B68A" w14:textId="763A9D8F" w:rsidR="00E70A7F" w:rsidRPr="007448DF" w:rsidRDefault="00E70A7F" w:rsidP="00E70A7F">
      <w:pPr>
        <w:jc w:val="both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</w:pPr>
      <w:r w:rsidRPr="007448DF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Tento úkon, preverenie bezúhonnosti oprávnenej osoby, spôsobuje finančné zaťaženie na fyzické osoby, čo je spomenuté v analýze sociálnych vplyvov. Za kontrolu dodržiavania tejto povinnosti budú zodpovedať kritické subjekty. Spôsobí to len administratívnu záťaž, ktorá je v súčasnosti bežnou agendou na úseku personalistiky. Povinnosti na úseku kritickej infraštruktúry sú kritické subjekty povinné plniť aj v aktuálne platnom zákone č. 45/2011 Z. z. a z uvedeného dôvodu odhadujeme administratívne zaťaženie na kritické subjekty, ktoré majú len marginálny dopad.</w:t>
      </w:r>
    </w:p>
    <w:p w14:paraId="54C27DF6" w14:textId="77777777" w:rsidR="00E70A7F" w:rsidRPr="007448DF" w:rsidRDefault="00E70A7F" w:rsidP="00E70A7F">
      <w:pPr>
        <w:pStyle w:val="Odsekzoznamu"/>
        <w:numPr>
          <w:ilvl w:val="0"/>
          <w:numId w:val="15"/>
        </w:numPr>
        <w:jc w:val="both"/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</w:rPr>
      </w:pPr>
      <w:r w:rsidRPr="007448DF"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</w:rPr>
        <w:t>Práca s limitovanými informáciami</w:t>
      </w:r>
    </w:p>
    <w:p w14:paraId="446723B1" w14:textId="77777777" w:rsidR="00E70A7F" w:rsidRPr="007448DF" w:rsidRDefault="00E70A7F" w:rsidP="00E70A7F">
      <w:pPr>
        <w:jc w:val="both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</w:pPr>
      <w:r w:rsidRPr="007448DF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Citlivá informácia pre účely tohto zákona bude transponovaná do limitovanej informácie prostredníctvom nepriamej novely zákona č. 215/2004 Z. z. Proces vytvárania, uchovávania a manipulácie s týmito informáciami nespôsobí ďalšiu záťaž pre kritické subjekty, preto sme ďalšie náklady s tým spojené nekvantifikovali. </w:t>
      </w:r>
    </w:p>
    <w:p w14:paraId="43D10CF3" w14:textId="77777777" w:rsidR="00E70A7F" w:rsidRPr="007448DF" w:rsidRDefault="00E70A7F" w:rsidP="00E70A7F">
      <w:pPr>
        <w:pStyle w:val="Odsekzoznamu"/>
        <w:numPr>
          <w:ilvl w:val="0"/>
          <w:numId w:val="15"/>
        </w:numPr>
        <w:jc w:val="both"/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</w:rPr>
      </w:pPr>
      <w:r w:rsidRPr="007448DF"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</w:rPr>
        <w:t>Povinnosť zabezpečiť kontinuitu poskytovania základných služieb prostredníctvom posúdenia rizika a na základe bezpečnostného plánu.</w:t>
      </w:r>
    </w:p>
    <w:p w14:paraId="45EAA357" w14:textId="77777777" w:rsidR="00E70A7F" w:rsidRPr="007448DF" w:rsidRDefault="00E70A7F" w:rsidP="00E70A7F">
      <w:pPr>
        <w:jc w:val="both"/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</w:rPr>
      </w:pPr>
      <w:r w:rsidRPr="007448DF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Danou reguláciou znižujeme duplicitné zaťaženie na podnikateľské prostredie. Akékoľvek informácie týkajúce sa prvkov kritickej infraštruktúry podľa zákona č. 45/2011 Z. z.</w:t>
      </w:r>
      <w:r w:rsidRPr="007448DF"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</w:rPr>
        <w:t xml:space="preserve"> </w:t>
      </w:r>
      <w:r w:rsidRPr="007448DF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sú citlivou informáciou, ktorá sa nesprístupňuje. Vyčíslenie nákladov kritických subjektov na vypracovanie posúdenie rizika a bezpečnostného plánu (opatrenia na zvyšovanie odolnosti) sa nedá všeobecne sumarizovať, pretože je závislé na rozdelení do sektorov a podsektorov na úseku kritickej infraštruktúry.</w:t>
      </w:r>
    </w:p>
    <w:p w14:paraId="55890B02" w14:textId="77777777" w:rsidR="00E70A7F" w:rsidRPr="007448DF" w:rsidRDefault="00E70A7F" w:rsidP="00E70A7F">
      <w:pPr>
        <w:pStyle w:val="Odsekzoznamu"/>
        <w:numPr>
          <w:ilvl w:val="0"/>
          <w:numId w:val="15"/>
        </w:numPr>
        <w:jc w:val="both"/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</w:rPr>
      </w:pPr>
      <w:r w:rsidRPr="007448DF"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</w:rPr>
        <w:t xml:space="preserve">Posúdenie rizika a vypracovanie bezpečnostných plánov podľa osobitných predpisov </w:t>
      </w:r>
    </w:p>
    <w:p w14:paraId="057833BB" w14:textId="77777777" w:rsidR="00E70A7F" w:rsidRPr="007448DF" w:rsidRDefault="00E70A7F" w:rsidP="00E70A7F">
      <w:pPr>
        <w:jc w:val="both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</w:pPr>
      <w:r w:rsidRPr="007448DF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Danou reguláciou znižujeme duplicitné zaťaženie na podnikateľské prostredie, avšak akékoľvek informácie týkajúce sa obrannej infraštruktúry podľa zákona č. 319/2002 Z. z. o obrane Slovenskej republiky sú podľa zákona č. 215/2004 Z. z. dôverné.</w:t>
      </w:r>
      <w:r w:rsidRPr="007448DF" w:rsidDel="00433DF6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 </w:t>
      </w:r>
      <w:r w:rsidRPr="007448DF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Vyčíslenie nákladov kritických subjektov na vypracovanie posúdenie rizika a bezpečnostného plánu alebo iných relevantných dokumentov sa nedá všeobecne sumarizovať.</w:t>
      </w:r>
    </w:p>
    <w:p w14:paraId="6F6544E7" w14:textId="77777777" w:rsidR="00E70A7F" w:rsidRPr="007448DF" w:rsidRDefault="00E70A7F" w:rsidP="00E70A7F">
      <w:pPr>
        <w:pStyle w:val="Odsekzoznamu"/>
        <w:numPr>
          <w:ilvl w:val="0"/>
          <w:numId w:val="15"/>
        </w:numPr>
        <w:jc w:val="both"/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</w:rPr>
      </w:pPr>
      <w:r w:rsidRPr="007448DF"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</w:rPr>
        <w:t>Regulácia povinností kritických subjektov podľa ďalších osobitných predpisov</w:t>
      </w:r>
    </w:p>
    <w:p w14:paraId="1B11460F" w14:textId="77777777" w:rsidR="00E70A7F" w:rsidRPr="007448DF" w:rsidRDefault="00E70A7F" w:rsidP="00E70A7F">
      <w:pPr>
        <w:jc w:val="both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</w:pPr>
      <w:r w:rsidRPr="007448DF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lastRenderedPageBreak/>
        <w:t>Danou reguláciou znižujeme duplicitné zaťaženie na podnikateľské prostredie, avšak dané regulácie nemôžeme v súčasnosti vyčísliť, pretože budú zohľadnené až s návrhom zákona, ktorý transponuje smernicu Európskeho parlamentu a Rady (EÚ) 2022/2555 o opatreniach na zabezpečenie vysokej spoločnej úrovne kybernetickej bezpečnosti v Únii, ktorou sa mení nariadenie (EÚ) č. 910/2014 a smernica (EÚ) 2018/1972 a zrušuje smernicu (EÚ) 2016/1148 (Smernica NIS 2). Ďalej návrhom zákona, ktorým sa mení a dopĺňa zákon č. 747/2004 Z. z. o dohľade nad finančným trhom a o zmene a doplnení niektorých zákonov v znení neskorších predpisov, ktorý implementuje ustanovenia nariadenia Európskeho parlamentu a Rady (EÚ) 2022/2554 zo 14. decembra 2022 o digitálnej prevádzkovej odolnosti finančného sektora a o zmene nariadení (ES) č. 1060/2009, (EÚ) č. 648/2012, (EÚ) č. 600/2014, (EÚ) č. 909/2014 a (EÚ) 2016/1011 a transponovanie smernice Európskeho parlamentu a Rady (EÚ), ktorou sa menia smernice 2009/65/ES, 2009/138/ES, 2011/61/EÚ, 2013/36/EÚ, 2014/59/EÚ, 2014/65/EÚ, (EÚ) 2015/2366 a (EÚ) 2016/2341, pokiaľ ide o digitálnu prevádzkovú odolnosť finančného sektora.</w:t>
      </w:r>
    </w:p>
    <w:p w14:paraId="00B975C2" w14:textId="77777777" w:rsidR="00E70A7F" w:rsidRPr="007448DF" w:rsidRDefault="00E70A7F" w:rsidP="00E70A7F">
      <w:pPr>
        <w:pStyle w:val="Odsekzoznamu"/>
        <w:numPr>
          <w:ilvl w:val="0"/>
          <w:numId w:val="15"/>
        </w:numPr>
        <w:jc w:val="both"/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</w:rPr>
      </w:pPr>
      <w:r w:rsidRPr="007448DF"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</w:rPr>
        <w:t>Poskytnutie súčinnosti na účely výkonu kontroly</w:t>
      </w:r>
    </w:p>
    <w:p w14:paraId="65E751D1" w14:textId="77777777" w:rsidR="00E70A7F" w:rsidRPr="007448DF" w:rsidRDefault="00E70A7F" w:rsidP="00E70A7F">
      <w:pPr>
        <w:jc w:val="both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</w:pPr>
      <w:r w:rsidRPr="007448DF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Povinnosti na úseku kritickej infraštruktúry sú kritické subjekty povinné plniť aj v aktuálne platnom zákone č. 45/2011 Z. z. Z uvedeného dôvodu odhadujeme administratívne zaťaženie na kritické subjekty, ktoré bude mať rozdielny dopad v závislosti od sektora, resp. podsektora čo sa týka časového a administratívneho zaťaženia kontroly.</w:t>
      </w:r>
    </w:p>
    <w:p w14:paraId="33E41C48" w14:textId="77777777" w:rsidR="00E70A7F" w:rsidRPr="009467E6" w:rsidRDefault="00E70A7F" w:rsidP="009467E6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2CCF6D0" w14:textId="77777777" w:rsidR="009467E6" w:rsidRPr="001F1B43" w:rsidRDefault="009467E6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56A83C3" w14:textId="1633C9EE" w:rsidR="00B21D1F" w:rsidRDefault="00B21D1F" w:rsidP="00054C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5BD65E11" w14:textId="49E38B44" w:rsidR="009467E6" w:rsidRDefault="009467E6" w:rsidP="00054C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3962886B" w14:textId="14184D1C" w:rsidR="009467E6" w:rsidRDefault="009467E6" w:rsidP="00054C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0352F5A8" w14:textId="20A6D047" w:rsidR="009467E6" w:rsidRDefault="009467E6" w:rsidP="00054C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3A90E7A5" w14:textId="64138A18" w:rsidR="009467E6" w:rsidRDefault="009467E6" w:rsidP="00054C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5CA59CCC" w14:textId="587D3565" w:rsidR="009467E6" w:rsidRDefault="009467E6" w:rsidP="00054C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56764420" w14:textId="122050B3" w:rsidR="009467E6" w:rsidRDefault="009467E6" w:rsidP="00054C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7CC4AB08" w14:textId="1FE2411A" w:rsidR="009467E6" w:rsidRDefault="009467E6" w:rsidP="00054C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45E84B33" w14:textId="7B99CBAD" w:rsidR="009467E6" w:rsidRDefault="009467E6" w:rsidP="00054C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5627981E" w14:textId="4803A2DF" w:rsidR="009467E6" w:rsidRDefault="009467E6" w:rsidP="00054C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4E8C1509" w14:textId="6F0FD3CE" w:rsidR="009467E6" w:rsidRDefault="009467E6" w:rsidP="00054C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4D3D885C" w14:textId="4CA51B72" w:rsidR="009467E6" w:rsidRDefault="009467E6" w:rsidP="00054C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47A4B2DA" w14:textId="77777777" w:rsidR="00142154" w:rsidRDefault="00142154"/>
    <w:sectPr w:rsidR="00142154" w:rsidSect="00231B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776EAD" w14:textId="77777777" w:rsidR="00C05FC0" w:rsidRDefault="00C05FC0" w:rsidP="00054C41">
      <w:pPr>
        <w:spacing w:after="0" w:line="240" w:lineRule="auto"/>
      </w:pPr>
      <w:r>
        <w:separator/>
      </w:r>
    </w:p>
  </w:endnote>
  <w:endnote w:type="continuationSeparator" w:id="0">
    <w:p w14:paraId="0371E215" w14:textId="77777777" w:rsidR="00C05FC0" w:rsidRDefault="00C05FC0" w:rsidP="00054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52DF2A" w14:textId="77777777" w:rsidR="007448DF" w:rsidRDefault="007448DF">
    <w:pPr>
      <w:pStyle w:val="Pt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03509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D55F2F5" w14:textId="33170AA5" w:rsidR="00080CF2" w:rsidRPr="006045CB" w:rsidRDefault="00080CF2" w:rsidP="00054C41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302CC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556761F" w14:textId="77777777" w:rsidR="00080CF2" w:rsidRPr="00FF7125" w:rsidRDefault="00080CF2" w:rsidP="00054C41">
    <w:pPr>
      <w:pStyle w:val="Pta"/>
      <w:rPr>
        <w:sz w:val="24"/>
        <w:szCs w:val="24"/>
      </w:rPr>
    </w:pPr>
  </w:p>
  <w:p w14:paraId="20FE6A4A" w14:textId="77777777" w:rsidR="00080CF2" w:rsidRDefault="00080CF2">
    <w:pPr>
      <w:pStyle w:val="Pt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861B71" w14:textId="77777777" w:rsidR="007448DF" w:rsidRDefault="007448DF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1417F9" w14:textId="77777777" w:rsidR="00C05FC0" w:rsidRDefault="00C05FC0" w:rsidP="00054C41">
      <w:pPr>
        <w:spacing w:after="0" w:line="240" w:lineRule="auto"/>
      </w:pPr>
      <w:r>
        <w:separator/>
      </w:r>
    </w:p>
  </w:footnote>
  <w:footnote w:type="continuationSeparator" w:id="0">
    <w:p w14:paraId="6094883C" w14:textId="77777777" w:rsidR="00C05FC0" w:rsidRDefault="00C05FC0" w:rsidP="00054C41">
      <w:pPr>
        <w:spacing w:after="0" w:line="240" w:lineRule="auto"/>
      </w:pPr>
      <w:r>
        <w:continuationSeparator/>
      </w:r>
    </w:p>
  </w:footnote>
  <w:footnote w:id="1">
    <w:p w14:paraId="6CC680CB" w14:textId="6BF8CDC6" w:rsidR="00080CF2" w:rsidRPr="000A6B7F" w:rsidRDefault="00080CF2" w:rsidP="00C929AE">
      <w:pPr>
        <w:pStyle w:val="Textpoznmkypodiarou"/>
        <w:rPr>
          <w:rFonts w:ascii="Times New Roman" w:hAnsi="Times New Roman" w:cs="Times New Roman"/>
        </w:rPr>
      </w:pPr>
      <w:r>
        <w:rPr>
          <w:rStyle w:val="Odkaznapoznmkupodiarou"/>
        </w:rPr>
        <w:footnoteRef/>
      </w:r>
      <w:r>
        <w:t xml:space="preserve"> </w:t>
      </w:r>
      <w:r w:rsidRPr="000A6B7F">
        <w:rPr>
          <w:rFonts w:ascii="Times New Roman" w:hAnsi="Times New Roman" w:cs="Times New Roman"/>
        </w:rPr>
        <w:t xml:space="preserve">Definícia </w:t>
      </w:r>
      <w:proofErr w:type="spellStart"/>
      <w:r w:rsidRPr="000A6B7F">
        <w:rPr>
          <w:rFonts w:ascii="Times New Roman" w:hAnsi="Times New Roman" w:cs="Times New Roman"/>
        </w:rPr>
        <w:t>goldplatingu</w:t>
      </w:r>
      <w:proofErr w:type="spellEnd"/>
      <w:r w:rsidRPr="000A6B7F">
        <w:rPr>
          <w:rFonts w:ascii="Times New Roman" w:hAnsi="Times New Roman" w:cs="Times New Roman"/>
        </w:rPr>
        <w:t xml:space="preserve"> </w:t>
      </w:r>
      <w:r w:rsidRPr="00D114ED">
        <w:rPr>
          <w:rFonts w:ascii="Times New Roman" w:hAnsi="Times New Roman" w:cs="Times New Roman"/>
        </w:rPr>
        <w:t>je uvedená v bode 4 časti III. jednotnej metodiky.</w:t>
      </w:r>
    </w:p>
  </w:footnote>
  <w:footnote w:id="2">
    <w:p w14:paraId="1647D7DF" w14:textId="77777777" w:rsidR="00080CF2" w:rsidRPr="00804BC8" w:rsidRDefault="00080CF2" w:rsidP="00804BC8">
      <w:pPr>
        <w:pStyle w:val="Textpoznmkypodiarou"/>
        <w:jc w:val="both"/>
        <w:rPr>
          <w:rFonts w:ascii="Times New Roman" w:hAnsi="Times New Roman" w:cs="Times New Roman"/>
        </w:rPr>
      </w:pPr>
      <w:r w:rsidRPr="0099544D">
        <w:rPr>
          <w:rStyle w:val="Odkaznapoznmkupodiarou"/>
          <w:rFonts w:ascii="Times New Roman" w:hAnsi="Times New Roman" w:cs="Times New Roman"/>
        </w:rPr>
        <w:footnoteRef/>
      </w:r>
      <w:r w:rsidRPr="0099544D">
        <w:rPr>
          <w:rFonts w:ascii="Times New Roman" w:hAnsi="Times New Roman" w:cs="Times New Roman"/>
        </w:rPr>
        <w:t xml:space="preserve"> </w:t>
      </w:r>
      <w:r w:rsidRPr="00804BC8">
        <w:rPr>
          <w:rFonts w:ascii="Times New Roman" w:hAnsi="Times New Roman" w:cs="Times New Roman"/>
        </w:rPr>
        <w:t xml:space="preserve">Informácie sa uvádzajú  iba v prípade, ak sa predkladaným návrhom regulácie vykonáva transpozícia smernice </w:t>
      </w:r>
      <w:r w:rsidRPr="0099544D">
        <w:rPr>
          <w:rFonts w:ascii="Times New Roman" w:hAnsi="Times New Roman" w:cs="Times New Roman"/>
        </w:rPr>
        <w:t>EÚ</w:t>
      </w:r>
      <w:r w:rsidRPr="00804BC8">
        <w:rPr>
          <w:rFonts w:ascii="Times New Roman" w:hAnsi="Times New Roman" w:cs="Times New Roman"/>
        </w:rPr>
        <w:t xml:space="preserve"> a bol identifikovaný goldplating podľa tabuľky zhody alebo sa vykonáva implementácia nariadenia EÚ s </w:t>
      </w:r>
      <w:proofErr w:type="spellStart"/>
      <w:r w:rsidRPr="00804BC8">
        <w:rPr>
          <w:rFonts w:ascii="Times New Roman" w:hAnsi="Times New Roman" w:cs="Times New Roman"/>
        </w:rPr>
        <w:t>goldplatingom</w:t>
      </w:r>
      <w:proofErr w:type="spellEnd"/>
      <w:r w:rsidRPr="00804BC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Informácie sa uvádzajú aj v prípade</w:t>
      </w:r>
      <w:r w:rsidRPr="00CF4D09">
        <w:rPr>
          <w:rFonts w:ascii="Times New Roman" w:hAnsi="Times New Roman" w:cs="Times New Roman"/>
        </w:rPr>
        <w:t xml:space="preserve"> (ak nejde o transpozíciu smernice EÚ alebo implementáciu nariadenia EÚ)</w:t>
      </w:r>
      <w:r>
        <w:rPr>
          <w:rFonts w:ascii="Times New Roman" w:hAnsi="Times New Roman" w:cs="Times New Roman"/>
        </w:rPr>
        <w:t>, ak sa predloženým návrhom odstraňuje goldplating, ktorého pôvod je v skoršom zachovaní existujúcej právnej úpravy (existujúcich vnútroštátnych požiadaviek).</w:t>
      </w:r>
    </w:p>
    <w:p w14:paraId="5D313DAF" w14:textId="77777777" w:rsidR="00080CF2" w:rsidRDefault="00080CF2" w:rsidP="00512BA7">
      <w:pPr>
        <w:pStyle w:val="Textpoznmkypodiarou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844DF5" w14:textId="77777777" w:rsidR="007448DF" w:rsidRDefault="007448DF">
    <w:pPr>
      <w:pStyle w:val="Hlavik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8E057A" w14:textId="77777777" w:rsidR="007448DF" w:rsidRDefault="007448DF">
    <w:pPr>
      <w:pStyle w:val="Hlavik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684D93" w14:textId="77777777" w:rsidR="007448DF" w:rsidRDefault="007448DF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A226B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>
    <w:nsid w:val="16B66859"/>
    <w:multiLevelType w:val="hybridMultilevel"/>
    <w:tmpl w:val="6BFACF3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5E2235"/>
    <w:multiLevelType w:val="hybridMultilevel"/>
    <w:tmpl w:val="93EC2C2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982F49"/>
    <w:multiLevelType w:val="hybridMultilevel"/>
    <w:tmpl w:val="22E4D5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8C5B47"/>
    <w:multiLevelType w:val="hybridMultilevel"/>
    <w:tmpl w:val="60400C9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9B4294"/>
    <w:multiLevelType w:val="hybridMultilevel"/>
    <w:tmpl w:val="DB90B4D4"/>
    <w:lvl w:ilvl="0" w:tplc="A80C46B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F7276D"/>
    <w:multiLevelType w:val="hybridMultilevel"/>
    <w:tmpl w:val="50AE822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C45921"/>
    <w:multiLevelType w:val="hybridMultilevel"/>
    <w:tmpl w:val="15C4862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21570F"/>
    <w:multiLevelType w:val="hybridMultilevel"/>
    <w:tmpl w:val="22E4D5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252805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0">
    <w:nsid w:val="70BB77D5"/>
    <w:multiLevelType w:val="hybridMultilevel"/>
    <w:tmpl w:val="F7CE6636"/>
    <w:lvl w:ilvl="0" w:tplc="041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36C4BD0"/>
    <w:multiLevelType w:val="hybridMultilevel"/>
    <w:tmpl w:val="5AD88732"/>
    <w:lvl w:ilvl="0" w:tplc="3E049D2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6FD0C6E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145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>
    <w:abstractNumId w:val="1"/>
  </w:num>
  <w:num w:numId="2">
    <w:abstractNumId w:val="10"/>
  </w:num>
  <w:num w:numId="3">
    <w:abstractNumId w:val="11"/>
  </w:num>
  <w:num w:numId="4">
    <w:abstractNumId w:val="9"/>
  </w:num>
  <w:num w:numId="5">
    <w:abstractNumId w:val="7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3"/>
  </w:num>
  <w:num w:numId="11">
    <w:abstractNumId w:val="5"/>
  </w:num>
  <w:num w:numId="12">
    <w:abstractNumId w:val="0"/>
  </w:num>
  <w:num w:numId="13">
    <w:abstractNumId w:val="12"/>
  </w:num>
  <w:num w:numId="14">
    <w:abstractNumId w:val="6"/>
  </w:num>
  <w:num w:numId="15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Barbora Bíbelová">
    <w15:presenceInfo w15:providerId="None" w15:userId="Barbora Bíbelová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C41"/>
    <w:rsid w:val="0002425A"/>
    <w:rsid w:val="00024EE4"/>
    <w:rsid w:val="00035FCA"/>
    <w:rsid w:val="00047C70"/>
    <w:rsid w:val="00050AAB"/>
    <w:rsid w:val="00054A53"/>
    <w:rsid w:val="00054C41"/>
    <w:rsid w:val="00060DA1"/>
    <w:rsid w:val="00061E85"/>
    <w:rsid w:val="000627C7"/>
    <w:rsid w:val="00080CF2"/>
    <w:rsid w:val="000820E0"/>
    <w:rsid w:val="00091A43"/>
    <w:rsid w:val="0009490E"/>
    <w:rsid w:val="000A1E10"/>
    <w:rsid w:val="000A6B7F"/>
    <w:rsid w:val="000C4E6E"/>
    <w:rsid w:val="000C5419"/>
    <w:rsid w:val="000C5E9A"/>
    <w:rsid w:val="000D15F0"/>
    <w:rsid w:val="000D4AC8"/>
    <w:rsid w:val="000F127E"/>
    <w:rsid w:val="0011003B"/>
    <w:rsid w:val="001133DA"/>
    <w:rsid w:val="0012245E"/>
    <w:rsid w:val="00126A2B"/>
    <w:rsid w:val="00142154"/>
    <w:rsid w:val="00142375"/>
    <w:rsid w:val="001476A4"/>
    <w:rsid w:val="00152C08"/>
    <w:rsid w:val="00162C6C"/>
    <w:rsid w:val="0016512E"/>
    <w:rsid w:val="00176591"/>
    <w:rsid w:val="0018715C"/>
    <w:rsid w:val="001A1561"/>
    <w:rsid w:val="001B4C03"/>
    <w:rsid w:val="001C7B91"/>
    <w:rsid w:val="001D1083"/>
    <w:rsid w:val="001D3FA0"/>
    <w:rsid w:val="001E24E8"/>
    <w:rsid w:val="001E53CB"/>
    <w:rsid w:val="00207F43"/>
    <w:rsid w:val="00213DE2"/>
    <w:rsid w:val="002232D3"/>
    <w:rsid w:val="00225A83"/>
    <w:rsid w:val="00231B8F"/>
    <w:rsid w:val="00270EA5"/>
    <w:rsid w:val="002712B9"/>
    <w:rsid w:val="00280C81"/>
    <w:rsid w:val="00284B8C"/>
    <w:rsid w:val="0029483F"/>
    <w:rsid w:val="002B10F1"/>
    <w:rsid w:val="002B5020"/>
    <w:rsid w:val="002B7374"/>
    <w:rsid w:val="002C2FC0"/>
    <w:rsid w:val="002F44CA"/>
    <w:rsid w:val="00302A17"/>
    <w:rsid w:val="00314D25"/>
    <w:rsid w:val="00315BE2"/>
    <w:rsid w:val="003302CC"/>
    <w:rsid w:val="003322EE"/>
    <w:rsid w:val="00337630"/>
    <w:rsid w:val="00340CFD"/>
    <w:rsid w:val="003413D5"/>
    <w:rsid w:val="00342621"/>
    <w:rsid w:val="003536E7"/>
    <w:rsid w:val="00357F22"/>
    <w:rsid w:val="0036748D"/>
    <w:rsid w:val="00376039"/>
    <w:rsid w:val="0038255E"/>
    <w:rsid w:val="00391648"/>
    <w:rsid w:val="0039304E"/>
    <w:rsid w:val="0039334E"/>
    <w:rsid w:val="00394AD2"/>
    <w:rsid w:val="00396342"/>
    <w:rsid w:val="003A02AF"/>
    <w:rsid w:val="003A3124"/>
    <w:rsid w:val="003A686F"/>
    <w:rsid w:val="003A7ACF"/>
    <w:rsid w:val="003E2F3D"/>
    <w:rsid w:val="003E3FE0"/>
    <w:rsid w:val="003E58B8"/>
    <w:rsid w:val="003F06D7"/>
    <w:rsid w:val="003F5E56"/>
    <w:rsid w:val="00400224"/>
    <w:rsid w:val="00400BA5"/>
    <w:rsid w:val="00410E62"/>
    <w:rsid w:val="00414FA7"/>
    <w:rsid w:val="00417C91"/>
    <w:rsid w:val="00420090"/>
    <w:rsid w:val="004239D1"/>
    <w:rsid w:val="00433DF6"/>
    <w:rsid w:val="00445638"/>
    <w:rsid w:val="00446432"/>
    <w:rsid w:val="00446512"/>
    <w:rsid w:val="00466D7A"/>
    <w:rsid w:val="0048237B"/>
    <w:rsid w:val="00484D16"/>
    <w:rsid w:val="00491853"/>
    <w:rsid w:val="004A14CD"/>
    <w:rsid w:val="004A2C6B"/>
    <w:rsid w:val="004C544B"/>
    <w:rsid w:val="004D20CB"/>
    <w:rsid w:val="004D65B2"/>
    <w:rsid w:val="004D681D"/>
    <w:rsid w:val="004E2324"/>
    <w:rsid w:val="004F63E6"/>
    <w:rsid w:val="005103DA"/>
    <w:rsid w:val="00511F8F"/>
    <w:rsid w:val="00512BA7"/>
    <w:rsid w:val="00515726"/>
    <w:rsid w:val="00545CA0"/>
    <w:rsid w:val="00550672"/>
    <w:rsid w:val="005605AF"/>
    <w:rsid w:val="00562527"/>
    <w:rsid w:val="00562A1E"/>
    <w:rsid w:val="00562F30"/>
    <w:rsid w:val="00563427"/>
    <w:rsid w:val="00581EB9"/>
    <w:rsid w:val="005B0B14"/>
    <w:rsid w:val="005B4E6E"/>
    <w:rsid w:val="005B56E4"/>
    <w:rsid w:val="005C09C6"/>
    <w:rsid w:val="005C795C"/>
    <w:rsid w:val="005D0E50"/>
    <w:rsid w:val="005D39D8"/>
    <w:rsid w:val="0061097B"/>
    <w:rsid w:val="006137D5"/>
    <w:rsid w:val="0061612F"/>
    <w:rsid w:val="006177C8"/>
    <w:rsid w:val="0062600A"/>
    <w:rsid w:val="00626D93"/>
    <w:rsid w:val="0063777D"/>
    <w:rsid w:val="00643358"/>
    <w:rsid w:val="00646084"/>
    <w:rsid w:val="00646900"/>
    <w:rsid w:val="00653380"/>
    <w:rsid w:val="006564C3"/>
    <w:rsid w:val="006578CB"/>
    <w:rsid w:val="0066648F"/>
    <w:rsid w:val="006A4E85"/>
    <w:rsid w:val="006A60C0"/>
    <w:rsid w:val="006A712F"/>
    <w:rsid w:val="006B5D74"/>
    <w:rsid w:val="006C25BE"/>
    <w:rsid w:val="006D7AD8"/>
    <w:rsid w:val="006F1D57"/>
    <w:rsid w:val="0070364C"/>
    <w:rsid w:val="00710EDF"/>
    <w:rsid w:val="0072221D"/>
    <w:rsid w:val="0072357C"/>
    <w:rsid w:val="007259CB"/>
    <w:rsid w:val="00726031"/>
    <w:rsid w:val="007448DF"/>
    <w:rsid w:val="00751DA9"/>
    <w:rsid w:val="00755E69"/>
    <w:rsid w:val="007648EE"/>
    <w:rsid w:val="0077106D"/>
    <w:rsid w:val="00780ACC"/>
    <w:rsid w:val="00787A11"/>
    <w:rsid w:val="00797B40"/>
    <w:rsid w:val="007A0C9D"/>
    <w:rsid w:val="007B40FB"/>
    <w:rsid w:val="007B62AF"/>
    <w:rsid w:val="007E24B2"/>
    <w:rsid w:val="007E2DA4"/>
    <w:rsid w:val="007E6815"/>
    <w:rsid w:val="007E7632"/>
    <w:rsid w:val="007F1C84"/>
    <w:rsid w:val="007F4579"/>
    <w:rsid w:val="00801596"/>
    <w:rsid w:val="00804BC8"/>
    <w:rsid w:val="00806E23"/>
    <w:rsid w:val="00807981"/>
    <w:rsid w:val="00823F5A"/>
    <w:rsid w:val="00845D3B"/>
    <w:rsid w:val="00851DBF"/>
    <w:rsid w:val="0085321C"/>
    <w:rsid w:val="00857EFE"/>
    <w:rsid w:val="008634E9"/>
    <w:rsid w:val="0086385B"/>
    <w:rsid w:val="008801B5"/>
    <w:rsid w:val="00880578"/>
    <w:rsid w:val="00882407"/>
    <w:rsid w:val="008920C3"/>
    <w:rsid w:val="00894052"/>
    <w:rsid w:val="008A7B87"/>
    <w:rsid w:val="008B4AA1"/>
    <w:rsid w:val="008C1C71"/>
    <w:rsid w:val="008C4ED7"/>
    <w:rsid w:val="008D7A9D"/>
    <w:rsid w:val="008E1AD0"/>
    <w:rsid w:val="008E315F"/>
    <w:rsid w:val="008E6B82"/>
    <w:rsid w:val="008F6ADE"/>
    <w:rsid w:val="0091269B"/>
    <w:rsid w:val="00914694"/>
    <w:rsid w:val="00923C0C"/>
    <w:rsid w:val="0093101E"/>
    <w:rsid w:val="00942C0D"/>
    <w:rsid w:val="009467E6"/>
    <w:rsid w:val="0095170D"/>
    <w:rsid w:val="00952CF6"/>
    <w:rsid w:val="00960413"/>
    <w:rsid w:val="0096180D"/>
    <w:rsid w:val="00964817"/>
    <w:rsid w:val="00970BD2"/>
    <w:rsid w:val="00981995"/>
    <w:rsid w:val="00981C7F"/>
    <w:rsid w:val="00985515"/>
    <w:rsid w:val="00986806"/>
    <w:rsid w:val="00990813"/>
    <w:rsid w:val="0099544D"/>
    <w:rsid w:val="00997513"/>
    <w:rsid w:val="009A0E2C"/>
    <w:rsid w:val="009A4D56"/>
    <w:rsid w:val="009B1F04"/>
    <w:rsid w:val="009C00B8"/>
    <w:rsid w:val="009E09F7"/>
    <w:rsid w:val="009E2D5C"/>
    <w:rsid w:val="009E3E44"/>
    <w:rsid w:val="009F4175"/>
    <w:rsid w:val="009F66A4"/>
    <w:rsid w:val="009F6C80"/>
    <w:rsid w:val="00A000DA"/>
    <w:rsid w:val="00A1736E"/>
    <w:rsid w:val="00A216DF"/>
    <w:rsid w:val="00A21E3C"/>
    <w:rsid w:val="00A22B34"/>
    <w:rsid w:val="00A33F2C"/>
    <w:rsid w:val="00A50EE3"/>
    <w:rsid w:val="00A83E11"/>
    <w:rsid w:val="00A94A0F"/>
    <w:rsid w:val="00AA3C6D"/>
    <w:rsid w:val="00AB57C4"/>
    <w:rsid w:val="00B11CF5"/>
    <w:rsid w:val="00B209FA"/>
    <w:rsid w:val="00B21D1F"/>
    <w:rsid w:val="00B410BA"/>
    <w:rsid w:val="00B43D68"/>
    <w:rsid w:val="00B44A3A"/>
    <w:rsid w:val="00B5600C"/>
    <w:rsid w:val="00B66E33"/>
    <w:rsid w:val="00B72FB1"/>
    <w:rsid w:val="00B953DA"/>
    <w:rsid w:val="00BA19B0"/>
    <w:rsid w:val="00BA3228"/>
    <w:rsid w:val="00BA6C8F"/>
    <w:rsid w:val="00BB3870"/>
    <w:rsid w:val="00BB45A7"/>
    <w:rsid w:val="00BD0EF7"/>
    <w:rsid w:val="00BD6778"/>
    <w:rsid w:val="00C01599"/>
    <w:rsid w:val="00C048D1"/>
    <w:rsid w:val="00C05563"/>
    <w:rsid w:val="00C05FC0"/>
    <w:rsid w:val="00C11132"/>
    <w:rsid w:val="00C115B9"/>
    <w:rsid w:val="00C12FDD"/>
    <w:rsid w:val="00C145AA"/>
    <w:rsid w:val="00C14655"/>
    <w:rsid w:val="00C21399"/>
    <w:rsid w:val="00C350E9"/>
    <w:rsid w:val="00C446E2"/>
    <w:rsid w:val="00C535F5"/>
    <w:rsid w:val="00C560C4"/>
    <w:rsid w:val="00C6542B"/>
    <w:rsid w:val="00C6748F"/>
    <w:rsid w:val="00C74337"/>
    <w:rsid w:val="00C75DC8"/>
    <w:rsid w:val="00C929AE"/>
    <w:rsid w:val="00C95222"/>
    <w:rsid w:val="00CA4344"/>
    <w:rsid w:val="00CA6348"/>
    <w:rsid w:val="00CB1232"/>
    <w:rsid w:val="00CB17A0"/>
    <w:rsid w:val="00CC3B7D"/>
    <w:rsid w:val="00CD5AE4"/>
    <w:rsid w:val="00CD5E86"/>
    <w:rsid w:val="00CE3B21"/>
    <w:rsid w:val="00CF3537"/>
    <w:rsid w:val="00CF4D09"/>
    <w:rsid w:val="00D005F2"/>
    <w:rsid w:val="00D03A8E"/>
    <w:rsid w:val="00D114ED"/>
    <w:rsid w:val="00D3032C"/>
    <w:rsid w:val="00D31A3B"/>
    <w:rsid w:val="00D5309D"/>
    <w:rsid w:val="00D631FA"/>
    <w:rsid w:val="00D71064"/>
    <w:rsid w:val="00D750FB"/>
    <w:rsid w:val="00D811BB"/>
    <w:rsid w:val="00D82356"/>
    <w:rsid w:val="00D84EEE"/>
    <w:rsid w:val="00D90A61"/>
    <w:rsid w:val="00D946EF"/>
    <w:rsid w:val="00D95553"/>
    <w:rsid w:val="00DA0257"/>
    <w:rsid w:val="00DC355F"/>
    <w:rsid w:val="00DD1E4C"/>
    <w:rsid w:val="00DE331A"/>
    <w:rsid w:val="00DE6ACB"/>
    <w:rsid w:val="00DF02CE"/>
    <w:rsid w:val="00DF1462"/>
    <w:rsid w:val="00E030DA"/>
    <w:rsid w:val="00E214C0"/>
    <w:rsid w:val="00E30D85"/>
    <w:rsid w:val="00E444EB"/>
    <w:rsid w:val="00E70A7F"/>
    <w:rsid w:val="00E77A69"/>
    <w:rsid w:val="00E81A42"/>
    <w:rsid w:val="00E961E8"/>
    <w:rsid w:val="00E96244"/>
    <w:rsid w:val="00E96DE0"/>
    <w:rsid w:val="00EA4003"/>
    <w:rsid w:val="00EB2BEC"/>
    <w:rsid w:val="00EB74BF"/>
    <w:rsid w:val="00EC0704"/>
    <w:rsid w:val="00EC508B"/>
    <w:rsid w:val="00ED6B5D"/>
    <w:rsid w:val="00EE4C99"/>
    <w:rsid w:val="00F153D7"/>
    <w:rsid w:val="00F1599C"/>
    <w:rsid w:val="00F17936"/>
    <w:rsid w:val="00F2433F"/>
    <w:rsid w:val="00F244DC"/>
    <w:rsid w:val="00F378F4"/>
    <w:rsid w:val="00F47912"/>
    <w:rsid w:val="00F541B6"/>
    <w:rsid w:val="00F57702"/>
    <w:rsid w:val="00F61361"/>
    <w:rsid w:val="00F613E8"/>
    <w:rsid w:val="00F71A4F"/>
    <w:rsid w:val="00F74D3C"/>
    <w:rsid w:val="00F74FC9"/>
    <w:rsid w:val="00F91F47"/>
    <w:rsid w:val="00FA4F36"/>
    <w:rsid w:val="00FA6FFE"/>
    <w:rsid w:val="00FB1189"/>
    <w:rsid w:val="00FC121B"/>
    <w:rsid w:val="00FD26C7"/>
    <w:rsid w:val="00FD3DFB"/>
    <w:rsid w:val="00FF0272"/>
    <w:rsid w:val="00FF3B8B"/>
    <w:rsid w:val="00FF414B"/>
    <w:rsid w:val="00FF4B7A"/>
    <w:rsid w:val="00FF5915"/>
    <w:rsid w:val="00FF6FF5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D44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054C4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054C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54C41"/>
  </w:style>
  <w:style w:type="paragraph" w:styleId="Normlnywebov">
    <w:name w:val="Normal (Web)"/>
    <w:basedOn w:val="Normlny"/>
    <w:uiPriority w:val="99"/>
    <w:unhideWhenUsed/>
    <w:rsid w:val="00054C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table" w:customStyle="1" w:styleId="Mriekatabuky2">
    <w:name w:val="Mriežka tabuľky2"/>
    <w:basedOn w:val="Normlnatabuka"/>
    <w:next w:val="Mriekatabuky"/>
    <w:uiPriority w:val="59"/>
    <w:rsid w:val="0005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05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ta">
    <w:name w:val="footer"/>
    <w:basedOn w:val="Normlny"/>
    <w:link w:val="PtaChar"/>
    <w:uiPriority w:val="99"/>
    <w:unhideWhenUsed/>
    <w:rsid w:val="00054C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54C41"/>
  </w:style>
  <w:style w:type="paragraph" w:styleId="Textbubliny">
    <w:name w:val="Balloon Text"/>
    <w:basedOn w:val="Normlny"/>
    <w:link w:val="TextbublinyChar"/>
    <w:uiPriority w:val="99"/>
    <w:semiHidden/>
    <w:unhideWhenUsed/>
    <w:rsid w:val="001B4C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B4C03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1B4C0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B4C0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B4C03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B4C0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B4C03"/>
    <w:rPr>
      <w:b/>
      <w:bCs/>
      <w:sz w:val="20"/>
      <w:szCs w:val="20"/>
    </w:rPr>
  </w:style>
  <w:style w:type="paragraph" w:styleId="Odsekzoznamu">
    <w:name w:val="List Paragraph"/>
    <w:basedOn w:val="Normlny"/>
    <w:uiPriority w:val="34"/>
    <w:qFormat/>
    <w:rsid w:val="00EE4C99"/>
    <w:pPr>
      <w:ind w:left="720"/>
      <w:contextualSpacing/>
    </w:pPr>
  </w:style>
  <w:style w:type="paragraph" w:customStyle="1" w:styleId="gmail-m-1648484718305530482msolistparagraph">
    <w:name w:val="gmail-m_-1648484718305530482msolistparagraph"/>
    <w:basedOn w:val="Normlny"/>
    <w:rsid w:val="00A50EE3"/>
    <w:pPr>
      <w:spacing w:before="100" w:beforeAutospacing="1" w:after="100" w:afterAutospacing="1" w:line="240" w:lineRule="auto"/>
    </w:pPr>
    <w:rPr>
      <w:rFonts w:ascii="Calibri" w:hAnsi="Calibri" w:cs="Calibri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C929AE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C929AE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C929AE"/>
    <w:rPr>
      <w:vertAlign w:val="superscript"/>
    </w:rPr>
  </w:style>
  <w:style w:type="paragraph" w:styleId="Revzia">
    <w:name w:val="Revision"/>
    <w:hidden/>
    <w:uiPriority w:val="99"/>
    <w:semiHidden/>
    <w:rsid w:val="00DE6AC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054C4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054C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54C41"/>
  </w:style>
  <w:style w:type="paragraph" w:styleId="Normlnywebov">
    <w:name w:val="Normal (Web)"/>
    <w:basedOn w:val="Normlny"/>
    <w:uiPriority w:val="99"/>
    <w:unhideWhenUsed/>
    <w:rsid w:val="00054C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table" w:customStyle="1" w:styleId="Mriekatabuky2">
    <w:name w:val="Mriežka tabuľky2"/>
    <w:basedOn w:val="Normlnatabuka"/>
    <w:next w:val="Mriekatabuky"/>
    <w:uiPriority w:val="59"/>
    <w:rsid w:val="0005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05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ta">
    <w:name w:val="footer"/>
    <w:basedOn w:val="Normlny"/>
    <w:link w:val="PtaChar"/>
    <w:uiPriority w:val="99"/>
    <w:unhideWhenUsed/>
    <w:rsid w:val="00054C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54C41"/>
  </w:style>
  <w:style w:type="paragraph" w:styleId="Textbubliny">
    <w:name w:val="Balloon Text"/>
    <w:basedOn w:val="Normlny"/>
    <w:link w:val="TextbublinyChar"/>
    <w:uiPriority w:val="99"/>
    <w:semiHidden/>
    <w:unhideWhenUsed/>
    <w:rsid w:val="001B4C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B4C03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1B4C0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B4C0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B4C03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B4C0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B4C03"/>
    <w:rPr>
      <w:b/>
      <w:bCs/>
      <w:sz w:val="20"/>
      <w:szCs w:val="20"/>
    </w:rPr>
  </w:style>
  <w:style w:type="paragraph" w:styleId="Odsekzoznamu">
    <w:name w:val="List Paragraph"/>
    <w:basedOn w:val="Normlny"/>
    <w:uiPriority w:val="34"/>
    <w:qFormat/>
    <w:rsid w:val="00EE4C99"/>
    <w:pPr>
      <w:ind w:left="720"/>
      <w:contextualSpacing/>
    </w:pPr>
  </w:style>
  <w:style w:type="paragraph" w:customStyle="1" w:styleId="gmail-m-1648484718305530482msolistparagraph">
    <w:name w:val="gmail-m_-1648484718305530482msolistparagraph"/>
    <w:basedOn w:val="Normlny"/>
    <w:rsid w:val="00A50EE3"/>
    <w:pPr>
      <w:spacing w:before="100" w:beforeAutospacing="1" w:after="100" w:afterAutospacing="1" w:line="240" w:lineRule="auto"/>
    </w:pPr>
    <w:rPr>
      <w:rFonts w:ascii="Calibri" w:hAnsi="Calibri" w:cs="Calibri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C929AE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C929AE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C929AE"/>
    <w:rPr>
      <w:vertAlign w:val="superscript"/>
    </w:rPr>
  </w:style>
  <w:style w:type="paragraph" w:styleId="Revzia">
    <w:name w:val="Revision"/>
    <w:hidden/>
    <w:uiPriority w:val="99"/>
    <w:semiHidden/>
    <w:rsid w:val="00DE6AC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microsoft.com/office/2011/relationships/people" Target="peop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analyza-vplyvov_-PP"/>
    <f:field ref="objsubject" par="" edit="true" text=""/>
    <f:field ref="objcreatedby" par="" text="Harmatová, Lucia"/>
    <f:field ref="objcreatedat" par="" text="6.6.2024 12:19:17"/>
    <f:field ref="objchangedby" par="" text="Administrator, System"/>
    <f:field ref="objmodifiedat" par="" text="6.6.2024 12:19:17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8337048E-4FB8-4619-BB19-AA6E38290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1988</Words>
  <Characters>11333</Characters>
  <Application>Microsoft Office Word</Application>
  <DocSecurity>0</DocSecurity>
  <Lines>94</Lines>
  <Paragraphs>26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13295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 SR</dc:creator>
  <cp:lastModifiedBy>Veronika Hurychová</cp:lastModifiedBy>
  <cp:revision>16</cp:revision>
  <dcterms:created xsi:type="dcterms:W3CDTF">2024-03-21T13:37:00Z</dcterms:created>
  <dcterms:modified xsi:type="dcterms:W3CDTF">2024-06-03T09:00:00Z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>&lt;p&gt;Verejnosť bola o&amp;nbsp;príprave návrhu zákona o kritickej infraštruktúre, ktorého predkladateľom je Ministerstvo vnútra Slovenskej republiky (ďalej len „MV SR“) informovaná prostredníctvom predbežnej informácie č. PI/2023/320. Cieľom návrhu je transpozícia a implementácia právnych predpisov Európskej únie, ktorými sa mení smernica Európskeho parlamentu a Rady smernice Európskeho parlamentu a Rady (EÚ) 2022/2557 o odolnosti kritických subjektov (ďalej len „CER“) a delegované nariadenie Komisie (EÚ) 2023/2450, ktorým sa dopĺňa smernica Európskeho parlamentu a Rady (EÚ) 2022/2557 stanovením zoznamu základných služieb (ďalej len „&amp;nbsp;zoznam základných služieb“).&lt;/p&gt;&lt;p&gt;K predbežnej informácii č. PI/2023/320, ktorá bola na portáli Slov-lex zverejnená 10 dní, konkrétne v&amp;nbsp;termíne od 22.11.2023 do 05.12.2023, boli predložené celkovo tri vyjadrenia zo strany verejnosti. Jedno z&amp;nbsp;vyjadrení zo strany verejnosti bolo zaslané prostredníctvom emailovej komunikácie. V nadväznosti na prebiehajúcu fázu legislatívneho procesu MV SR zorganizovalo konzultácie v rámci predbežnej informácie k návrhu zákona s Potravinárskou komorou Slovenska (ďalej len „PKS“) za účasti Ministerstva pôdohospodárstva a rozvoja vidieka Slovenskej republiky dňa 04.12.2023, s Republikovou úniou zamestnávateľov dňa 11.12.2023 a Klubom 500 za účasti Ministerstva hospodárstva Slovenskej republiky dňa 12.12.2023.&lt;/p&gt;&lt;p&gt;PKS na stretnutí apelovalo na správne nastavenie prahových hodnôt týkajúcich sa kritérií pri identifikácií kritického subjektov a&amp;nbsp;spôsobu oboznamovania sa s prahovými hodnotami. Dôvodom stretnutia boli aj nejasnosti ohľadom duplicitného zaťaženia budúcich kritických subjektov a&amp;nbsp;spôsobu ich identifikácie.&lt;/p&gt;&lt;p&gt;Na stretnutiach so zástupcami RÚZ a Klubu 500 boli prediskutované otázky ohľadom transponovania jednotlivých ustanovení smernice CER. MV SR uviedlo, že cieľom zákona je maximálna harmonizácia so smernicou CER a&amp;nbsp;naradením o&amp;nbsp;základných službách.&lt;/p&gt;&lt;p&gt;Po konzultáciách neboli MV SR predložené žiadne ďalšie pripomienky.&lt;/p&gt;</vt:lpwstr>
  </property>
  <property name="FSC#SKEDITIONSLOVLEX@103.510:typpredpis" pid="3" fmtid="{D5CDD505-2E9C-101B-9397-08002B2CF9AE}">
    <vt:lpwstr>Zákon</vt:lpwstr>
  </property>
  <property name="FSC#SKEDITIONSLOVLEX@103.510:aktualnyrok" pid="4" fmtid="{D5CDD505-2E9C-101B-9397-08002B2CF9AE}">
    <vt:lpwstr>2024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Vyhodnotenie medzirezortného pripomienkového konania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Správne právo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Lucia Harmatová</vt:lpwstr>
  </property>
  <property name="FSC#SKEDITIONSLOVLEX@103.510:zodppredkladatel" pid="12" fmtid="{D5CDD505-2E9C-101B-9397-08002B2CF9AE}">
    <vt:lpwstr>Matúš Šutaj Eštok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 o kritickej infraštruktúre a o zmene a doplnení niektorých zákonov </vt:lpwstr>
  </property>
  <property name="FSC#SKEDITIONSLOVLEX@103.510:nazovpredpis1" pid="15" fmtid="{D5CDD505-2E9C-101B-9397-08002B2CF9AE}">
    <vt:lpwstr/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Ministerstvo vnútra Slovenskej republiky</vt:lpwstr>
  </property>
  <property name="FSC#SKEDITIONSLOVLEX@103.510:pripomienkovatelia" pid="20" fmtid="{D5CDD505-2E9C-101B-9397-08002B2CF9AE}">
    <vt:lpwstr/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Legislatívny plán na rok 2024</vt:lpwstr>
  </property>
  <property name="FSC#SKEDITIONSLOVLEX@103.510:plnynazovpredpis" pid="23" fmtid="{D5CDD505-2E9C-101B-9397-08002B2CF9AE}">
    <vt:lpwstr> Zákon o kritickej infraštruktúre a o zmene a doplnení niektorých zákonov </vt:lpwstr>
  </property>
  <property name="FSC#SKEDITIONSLOVLEX@103.510:plnynazovpredpis1" pid="24" fmtid="{D5CDD505-2E9C-101B-9397-08002B2CF9AE}">
    <vt:lpwstr/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SLPS-OLVS-2024/007087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LP/2024/275</vt:lpwstr>
  </property>
  <property name="FSC#SKEDITIONSLOVLEX@103.510:typsprievdok" pid="37" fmtid="{D5CDD505-2E9C-101B-9397-08002B2CF9AE}">
    <vt:lpwstr>Doložka vplyvov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/>
  </property>
  <property name="FSC#SKEDITIONSLOVLEX@103.510:AttrStrListDocPropPrimarnePravoEU" pid="46" fmtid="{D5CDD505-2E9C-101B-9397-08002B2CF9AE}">
    <vt:lpwstr/>
  </property>
  <property name="FSC#SKEDITIONSLOVLEX@103.510:AttrStrListDocPropSekundarneLegPravoPO" pid="47" fmtid="{D5CDD505-2E9C-101B-9397-08002B2CF9AE}">
    <vt:lpwstr/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/>
  </property>
  <property name="FSC#SKEDITIONSLOVLEX@103.510:AttrStrListDocPropLehotaPrebratieSmernice" pid="52" fmtid="{D5CDD505-2E9C-101B-9397-08002B2CF9AE}">
    <vt:lpwstr/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/>
  </property>
  <property name="FSC#SKEDITIONSLOVLEX@103.510:AttrStrListDocPropInfoUzPreberanePP" pid="55" fmtid="{D5CDD505-2E9C-101B-9397-08002B2CF9AE}">
    <vt:lpwstr/>
  </property>
  <property name="FSC#SKEDITIONSLOVLEX@103.510:AttrStrListDocPropStupenZlucitelnostiPP" pid="56" fmtid="{D5CDD505-2E9C-101B-9397-08002B2CF9AE}">
    <vt:lpwstr/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/>
  </property>
  <property name="FSC#SKEDITIONSLOVLEX@103.510:AttrStrDocPropVplyvPodnikatelskeProstr" pid="61" fmtid="{D5CDD505-2E9C-101B-9397-08002B2CF9AE}">
    <vt:lpwstr/>
  </property>
  <property name="FSC#SKEDITIONSLOVLEX@103.510:AttrStrDocPropVplyvSocialny" pid="62" fmtid="{D5CDD505-2E9C-101B-9397-08002B2CF9AE}">
    <vt:lpwstr/>
  </property>
  <property name="FSC#SKEDITIONSLOVLEX@103.510:AttrStrDocPropVplyvNaZivotProstr" pid="63" fmtid="{D5CDD505-2E9C-101B-9397-08002B2CF9AE}">
    <vt:lpwstr/>
  </property>
  <property name="FSC#SKEDITIONSLOVLEX@103.510:AttrStrDocPropVplyvNaInformatizaciu" pid="64" fmtid="{D5CDD505-2E9C-101B-9397-08002B2CF9AE}">
    <vt:lpwstr/>
  </property>
  <property name="FSC#SKEDITIONSLOVLEX@103.510:AttrStrListDocPropPoznamkaVplyv" pid="65" fmtid="{D5CDD505-2E9C-101B-9397-08002B2CF9AE}">
    <vt:lpwstr/>
  </property>
  <property name="FSC#SKEDITIONSLOVLEX@103.510:AttrStrListDocPropAltRiesenia" pid="66" fmtid="{D5CDD505-2E9C-101B-9397-08002B2CF9AE}">
    <vt:lpwstr/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>predseda vlády Slovenskej republiky_x000d__x000a_Minister vnútra Slovenskej republiky</vt:lpwstr>
  </property>
  <property name="FSC#SKEDITIONSLOVLEX@103.510:AttrStrListDocPropUznesenieNaVedomie" pid="137" fmtid="{D5CDD505-2E9C-101B-9397-08002B2CF9AE}">
    <vt:lpwstr>predseda Národnej rady Slovenskej republiky</vt:lpwstr>
  </property>
  <property name="FSC#SKEDITIONSLOVLEX@103.510:funkciaPred" pid="138" fmtid="{D5CDD505-2E9C-101B-9397-08002B2CF9AE}">
    <vt:lpwstr/>
  </property>
  <property name="FSC#SKEDITIONSLOVLEX@103.510:funkciaPredAkuzativ" pid="139" fmtid="{D5CDD505-2E9C-101B-9397-08002B2CF9AE}">
    <vt:lpwstr/>
  </property>
  <property name="FSC#SKEDITIONSLOVLEX@103.510:funkciaPredDativ" pid="140" fmtid="{D5CDD505-2E9C-101B-9397-08002B2CF9AE}">
    <vt:lpwstr/>
  </property>
  <property name="FSC#SKEDITIONSLOVLEX@103.510:funkciaZodpPred" pid="141" fmtid="{D5CDD505-2E9C-101B-9397-08002B2CF9AE}">
    <vt:lpwstr>Minister vnútra Slovenskej republiky</vt:lpwstr>
  </property>
  <property name="FSC#SKEDITIONSLOVLEX@103.510:funkciaZodpPredAkuzativ" pid="142" fmtid="{D5CDD505-2E9C-101B-9397-08002B2CF9AE}">
    <vt:lpwstr>Ministra vnútra Slovenskej republiky</vt:lpwstr>
  </property>
  <property name="FSC#SKEDITIONSLOVLEX@103.510:funkciaZodpPredDativ" pid="143" fmtid="{D5CDD505-2E9C-101B-9397-08002B2CF9AE}">
    <vt:lpwstr>Ministrovi vnútra Slovenskej republiky</vt:lpwstr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Matúš Šutaj Eštok_x000d__x000a_Minister vnútra Slovenskej republiky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>&lt;p style="text-align:justify;text-justify:inter-ideograph;text-indent:36.0pt"&gt;Ministerstvo vnútra Slovenskej republiky predkladá do&amp;nbsp;medzirezortného pripomienkového konania návrh zákona o&amp;nbsp;kritickej infraštruktúre a&amp;nbsp;o&amp;nbsp;zmene a&amp;nbsp;doplnení niektorých zákonov.&lt;o:p&gt;&lt;/o:p&gt;&lt;/p&gt;&lt;p style="text-align:justify;text-justify:inter-ideograph;text-indent:36.0pt"&gt;Návrhom zákona sa vykonáva transpozícia a&amp;nbsp;implementácia právne záväzných aktov Európskej únie do právneho poriadku Slovenskej republiky a&amp;nbsp;to konkrétne:&lt;o:p&gt;&lt;/o:p&gt;&lt;/p&gt;&lt;p style="text-align:justify;text-justify:inter-ideograph;text-indent:36.0pt"&gt;• Smernica Európskeho parlamentu a Rady (EÚ) 2022/2557 zo 14. decembra 2022 o&amp;nbsp;odolnosti kritických subjektov a o zrušení smernice Rady 2008/114/ES z 8. decembra 2008 o&amp;nbsp;identifikácii a označení európskych kritických infraštruktúr a zhodnotení potreby zlepšiť ich ochranu,&lt;o:p&gt;&lt;/o:p&gt;&lt;/p&gt;&lt;p style="text-align:justify;text-justify:inter-ideograph;text-indent:36.0pt"&gt;• Delegované nariadenie Komisie (EÚ) 2023/2450 z 25. júla 2023, ktorým sa dopĺňa smernica Európskeho parlamentu a Rady (EÚ) 2022/2557 stanovením zoznamu základných služieb.&lt;o:p&gt;&lt;/o:p&gt;&lt;/p&gt;&lt;p style="text-align:justify;text-justify:inter-ideograph;text-indent:36.0pt"&gt;Cieľom návrhu zákona je posilniť poskytovanie základných služieb, ktoré sú nevyhnutné na zachovanie životne dôležitých spoločenských funkcií alebo hospodárskych činností, a&amp;nbsp;to&amp;nbsp;zvýšením odolnosti kritických subjektov, ktoré takéto služby poskytujú. Je zrejmé, že&amp;nbsp;v&amp;nbsp;súčasnosti legislatívny rámec na ochranu kritickej infraštruktúry nepostačuje na riešenie súčasných výziev pre kritické infraštruktúry a subjekty, ktoré ich prevádzkujú. Vzhľadom na čoraz väčšiu prepojenosť infraštruktúr, sietí a prevádzkovateľov poskytujúcich základné služby je nevyhnutné zásadne zmeniť súčasný prístup a prejsť od ochrany konkrétnych štruktúr k zvýšeniu odolnosti kritických subjektov, ktoré ich prevádzkujú.&lt;o:p&gt;&lt;/o:p&gt;&lt;/p&gt;&lt;p style="text-align:justify;text-justify:inter-ideograph;text-indent:36.0pt"&gt;Prevádzkové a bezpečnostné prostredie, v ktorom kritické subjekty pôsobia, sa v&amp;nbsp;posledných rokoch výrazne zmenilo. Po prvé, rizikové prostredie je zložitejšie ako v roku 2008 a v súčasnosti zahŕňa aj prírodné nebezpečenstvá (v mnohých prípadoch zhoršené zmenou klímy), štátmi podporované hybridné akcie, terorizmus, vnútorné hrozby, pandémie a havárie (ako sú napr. priemyselné havárie). Po druhé, prevádzkovatelia čelia výzvam pri integrácii nových technológií, ako napríklad 5G a bezpilotné letecké systémy (UAS) do svojej prevádzky, a zároveň riešia slabé miesta, ktoré by takéto technológie mohli potenciálne vytvoriť. Po tretie, vďaka týmto technológiám a iným trendom sa prevádzkovatelia čoraz viac spoliehajú jeden na druhého. Dôsledky sú jasné – narušenie, ktoré ovplyvní poskytovanie služieb jedným prevádzkovateľom v&amp;nbsp;jednom sektore môže vyvolať reťazové účinky na poskytovanie služieb v iných sektoroch a prípadne aj v iných členských štátoch alebo v celej Európskej únii.&lt;o:p&gt;&lt;/o:p&gt;&lt;/p&gt;&lt;p style="text-align:justify;text-justify:inter-ideograph;text-indent:36.0pt"&gt;Návrh zákona bol vypracovaný na základe podnetov medzirezortnej pracovnej skupiny zloženej zo zástupcov Ministerstva hospodárstva Slovenskej republiky, Ministerstva financií Slovenskej republiky, Ministerstva investícií, regionálneho rozvoja a informatizácie Slovenskej republiky, Ministerstva dopravy Slovenskej republiky, Ministerstva životného prostredia Slovenskej republiky, Ministerstva zdravotníctva Slovenskej republiky, Ministerstva pôdohospodárstva a rozvoja vidieka Slovenskej republiky a Národného bezpečnostného úradu. Na tvorbe návrhu zákona priamo participovalo aj vedenie Národného bezpečnostného úradu. Mimo zasadaní pracovnej skupiny sa viackrát konali bilaterálne rokovania s&amp;nbsp;ústrednými orgánmi na úseku kritickej infraštruktúry. Verejnosť bola o príprave návrhu zákona o&amp;nbsp;kritickej infraštruktúre informovaná prostredníctvom predbežnej informácie.&lt;o:p&gt;&lt;/o:p&gt;&lt;/p&gt;&lt;p style="text-align:justify;text-justify:inter-ideograph;text-indent:36.0pt"&gt;Návrh zákona nie je predmetom vnútrokomunitárneho pripomienkového konania.&lt;o:p&gt;&lt;/o:p&gt;&lt;/p&gt;</vt:lpwstr>
  </property>
  <property name="FSC#SKEDITIONSLOVLEX@103.510:vytvorenedna" pid="150" fmtid="{D5CDD505-2E9C-101B-9397-08002B2CF9AE}">
    <vt:lpwstr>6. 6. 2024</vt:lpwstr>
  </property>
  <property name="FSC#COOSYSTEM@1.1:Container" pid="151" fmtid="{D5CDD505-2E9C-101B-9397-08002B2CF9AE}">
    <vt:lpwstr>COO.2145.1000.3.6198763</vt:lpwstr>
  </property>
  <property name="FSC#FSCFOLIO@1.1001:docpropproject" pid="152" fmtid="{D5CDD505-2E9C-101B-9397-08002B2CF9AE}">
    <vt:lpwstr/>
  </property>
</Properties>
</file>