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774F9B49" w14:textId="6BF10292" w:rsidR="00FD0916" w:rsidRPr="00FD0916" w:rsidRDefault="00054C41" w:rsidP="00FD0916">
      <w:pPr>
        <w:ind w:left="1985" w:hanging="1985"/>
        <w:jc w:val="both"/>
        <w:rPr>
          <w:rFonts w:ascii="Times New Roman" w:eastAsia="Calibri" w:hAnsi="Times New Roman" w:cs="Times New Roman"/>
          <w:bCs/>
          <w:sz w:val="24"/>
          <w:szCs w:val="24"/>
        </w:rPr>
      </w:pPr>
      <w:r w:rsidRPr="001F1B43">
        <w:rPr>
          <w:rFonts w:ascii="Times New Roman" w:eastAsia="Calibri" w:hAnsi="Times New Roman" w:cs="Times New Roman"/>
          <w:b/>
          <w:sz w:val="24"/>
          <w:szCs w:val="24"/>
        </w:rPr>
        <w:t>Názov materiálu:</w:t>
      </w:r>
      <w:r w:rsidR="00FD0916">
        <w:rPr>
          <w:rFonts w:ascii="Times New Roman" w:eastAsia="Calibri" w:hAnsi="Times New Roman" w:cs="Times New Roman"/>
          <w:b/>
          <w:sz w:val="24"/>
          <w:szCs w:val="24"/>
        </w:rPr>
        <w:t xml:space="preserve"> </w:t>
      </w:r>
      <w:r w:rsidR="00FD0916" w:rsidRPr="00FD0916">
        <w:rPr>
          <w:rFonts w:ascii="Times New Roman" w:eastAsia="Calibri" w:hAnsi="Times New Roman" w:cs="Times New Roman"/>
          <w:bCs/>
          <w:sz w:val="24"/>
          <w:szCs w:val="24"/>
        </w:rPr>
        <w:t>Návrh zákona, ktorým sa mení a dopĺňa zákon č. 3</w:t>
      </w:r>
      <w:r w:rsidR="00FD0916">
        <w:rPr>
          <w:rFonts w:ascii="Times New Roman" w:eastAsia="Calibri" w:hAnsi="Times New Roman" w:cs="Times New Roman"/>
          <w:bCs/>
          <w:sz w:val="24"/>
          <w:szCs w:val="24"/>
        </w:rPr>
        <w:t>9/2015</w:t>
      </w:r>
      <w:r w:rsidR="00FD0916" w:rsidRPr="00FD0916">
        <w:rPr>
          <w:rFonts w:ascii="Times New Roman" w:eastAsia="Calibri" w:hAnsi="Times New Roman" w:cs="Times New Roman"/>
          <w:bCs/>
          <w:sz w:val="24"/>
          <w:szCs w:val="24"/>
        </w:rPr>
        <w:t xml:space="preserve"> Z. z. o po</w:t>
      </w:r>
      <w:r w:rsidR="00FD0916">
        <w:rPr>
          <w:rFonts w:ascii="Times New Roman" w:eastAsia="Calibri" w:hAnsi="Times New Roman" w:cs="Times New Roman"/>
          <w:bCs/>
          <w:sz w:val="24"/>
          <w:szCs w:val="24"/>
        </w:rPr>
        <w:t>isťovníctve</w:t>
      </w:r>
      <w:r w:rsidR="00FD0916" w:rsidRPr="00FD0916">
        <w:rPr>
          <w:rFonts w:ascii="Times New Roman" w:eastAsia="Calibri" w:hAnsi="Times New Roman" w:cs="Times New Roman"/>
          <w:bCs/>
          <w:sz w:val="24"/>
          <w:szCs w:val="24"/>
        </w:rPr>
        <w:t xml:space="preserve"> a o zmene a doplnení niektorých zákonov v znení neskorších predpisov </w:t>
      </w:r>
      <w:r w:rsidR="00185AFE" w:rsidRPr="00185AFE">
        <w:rPr>
          <w:rFonts w:ascii="Times New Roman" w:eastAsia="Calibri" w:hAnsi="Times New Roman" w:cs="Times New Roman"/>
          <w:bCs/>
          <w:sz w:val="24"/>
          <w:szCs w:val="24"/>
        </w:rPr>
        <w:t>a ktorým sa mení a dopĺňa zákon č. 566/2001 Z. z. o cenných papieroch a investičných službách a o zmene a doplnení niektorých zákonov (zákon o cenných papieroch) v znení neskorších predpisov.</w:t>
      </w:r>
    </w:p>
    <w:p w14:paraId="2711DC2C" w14:textId="48EC285B" w:rsidR="00054C41" w:rsidRPr="00FD0916" w:rsidRDefault="00054C41" w:rsidP="00054C41">
      <w:pPr>
        <w:jc w:val="both"/>
        <w:rPr>
          <w:rFonts w:ascii="Times New Roman" w:eastAsia="Calibri" w:hAnsi="Times New Roman" w:cs="Times New Roman"/>
          <w:bCs/>
          <w:sz w:val="24"/>
          <w:szCs w:val="24"/>
        </w:rPr>
      </w:pPr>
      <w:r w:rsidRPr="001F1B43">
        <w:rPr>
          <w:rFonts w:ascii="Times New Roman" w:eastAsia="Calibri" w:hAnsi="Times New Roman" w:cs="Times New Roman"/>
          <w:b/>
          <w:sz w:val="24"/>
          <w:szCs w:val="24"/>
        </w:rPr>
        <w:t>Predkladateľ:</w:t>
      </w:r>
      <w:r w:rsidR="00FD0916">
        <w:rPr>
          <w:rFonts w:ascii="Times New Roman" w:eastAsia="Calibri" w:hAnsi="Times New Roman" w:cs="Times New Roman"/>
          <w:b/>
          <w:sz w:val="24"/>
          <w:szCs w:val="24"/>
        </w:rPr>
        <w:t xml:space="preserve">         </w:t>
      </w:r>
      <w:r w:rsidR="00FD0916" w:rsidRPr="00FD0916">
        <w:rPr>
          <w:rFonts w:ascii="Times New Roman" w:eastAsia="Calibri" w:hAnsi="Times New Roman" w:cs="Times New Roman"/>
          <w:bCs/>
          <w:sz w:val="24"/>
          <w:szCs w:val="24"/>
        </w:rPr>
        <w:t>Ministerstvo financií Slovenskej republiky</w:t>
      </w:r>
    </w:p>
    <w:p w14:paraId="515DBCE3" w14:textId="17FC9C12"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46E8F87A" w14:textId="77777777" w:rsidR="00847E21" w:rsidRDefault="00847E21" w:rsidP="00054C41">
      <w:pPr>
        <w:rPr>
          <w:noProof/>
        </w:rPr>
      </w:pPr>
    </w:p>
    <w:p w14:paraId="3303C1AD" w14:textId="66C77776" w:rsidR="00FA2E4B" w:rsidRDefault="00FF56C3" w:rsidP="00054C41">
      <w:pPr>
        <w:rPr>
          <w:rFonts w:ascii="Times New Roman" w:eastAsia="Calibri" w:hAnsi="Times New Roman" w:cs="Times New Roman"/>
          <w:b/>
          <w:sz w:val="24"/>
          <w:szCs w:val="24"/>
        </w:rPr>
      </w:pPr>
      <w:r w:rsidRPr="00FF56C3">
        <w:rPr>
          <w:rFonts w:ascii="Times New Roman" w:eastAsia="Calibri" w:hAnsi="Times New Roman" w:cs="Times New Roman"/>
          <w:b/>
          <w:noProof/>
          <w:sz w:val="24"/>
          <w:szCs w:val="24"/>
        </w:rPr>
        <w:drawing>
          <wp:inline distT="0" distB="0" distL="0" distR="0" wp14:anchorId="0D3ECBE0" wp14:editId="67B95292">
            <wp:extent cx="5394037" cy="4172174"/>
            <wp:effectExtent l="0" t="0" r="0" b="0"/>
            <wp:docPr id="19938536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85365" name=""/>
                    <pic:cNvPicPr/>
                  </pic:nvPicPr>
                  <pic:blipFill>
                    <a:blip r:embed="rId10"/>
                    <a:stretch>
                      <a:fillRect/>
                    </a:stretch>
                  </pic:blipFill>
                  <pic:spPr>
                    <a:xfrm>
                      <a:off x="0" y="0"/>
                      <a:ext cx="5407193" cy="4182350"/>
                    </a:xfrm>
                    <a:prstGeom prst="rect">
                      <a:avLst/>
                    </a:prstGeom>
                  </pic:spPr>
                </pic:pic>
              </a:graphicData>
            </a:graphic>
          </wp:inline>
        </w:drawing>
      </w:r>
    </w:p>
    <w:p w14:paraId="5F4E2C4C" w14:textId="77777777" w:rsidR="00E0435F" w:rsidRDefault="00E0435F" w:rsidP="00054C41">
      <w:pPr>
        <w:rPr>
          <w:rFonts w:ascii="Times New Roman" w:eastAsia="Calibri" w:hAnsi="Times New Roman" w:cs="Times New Roman"/>
          <w:b/>
          <w:sz w:val="24"/>
          <w:szCs w:val="24"/>
        </w:rPr>
      </w:pPr>
    </w:p>
    <w:p w14:paraId="0C4E1024" w14:textId="066D4B55" w:rsidR="00E0435F" w:rsidRPr="00895898" w:rsidRDefault="00E0435F" w:rsidP="00054C41">
      <w:pPr>
        <w:rPr>
          <w:rFonts w:ascii="Times New Roman" w:eastAsia="Calibri" w:hAnsi="Times New Roman" w:cs="Times New Roman"/>
          <w:b/>
          <w:sz w:val="24"/>
          <w:szCs w:val="24"/>
        </w:rPr>
        <w:sectPr w:rsidR="00E0435F" w:rsidRPr="00895898" w:rsidSect="00142154">
          <w:headerReference w:type="default" r:id="rId11"/>
          <w:footerReference w:type="even" r:id="rId12"/>
          <w:footerReference w:type="default" r:id="rId13"/>
          <w:footerReference w:type="first" r:id="rId14"/>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487C835E" w14:textId="2014B8AF" w:rsidR="0033288B" w:rsidRPr="00FA2E4B"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5014F419" w14:textId="216E3E80" w:rsidR="00E0435F" w:rsidRDefault="00FF56C3" w:rsidP="00054C41">
      <w:pPr>
        <w:jc w:val="both"/>
        <w:rPr>
          <w:rFonts w:ascii="Times New Roman" w:eastAsia="Calibri" w:hAnsi="Times New Roman" w:cs="Times New Roman"/>
          <w:b/>
          <w:bCs/>
          <w:iCs/>
          <w:sz w:val="24"/>
          <w:szCs w:val="24"/>
        </w:rPr>
      </w:pPr>
      <w:r w:rsidRPr="00FF56C3">
        <w:rPr>
          <w:rFonts w:ascii="Times New Roman" w:eastAsia="Calibri" w:hAnsi="Times New Roman" w:cs="Times New Roman"/>
          <w:b/>
          <w:bCs/>
          <w:iCs/>
          <w:noProof/>
          <w:sz w:val="24"/>
          <w:szCs w:val="24"/>
        </w:rPr>
        <w:drawing>
          <wp:inline distT="0" distB="0" distL="0" distR="0" wp14:anchorId="1D607E9B" wp14:editId="4E6E19B9">
            <wp:extent cx="8095198" cy="4698343"/>
            <wp:effectExtent l="190500" t="190500" r="191770" b="198120"/>
            <wp:docPr id="1574468989"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468989" name=""/>
                    <pic:cNvPicPr/>
                  </pic:nvPicPr>
                  <pic:blipFill>
                    <a:blip r:embed="rId15"/>
                    <a:stretch>
                      <a:fillRect/>
                    </a:stretch>
                  </pic:blipFill>
                  <pic:spPr>
                    <a:xfrm>
                      <a:off x="0" y="0"/>
                      <a:ext cx="8142860" cy="4726006"/>
                    </a:xfrm>
                    <a:prstGeom prst="rect">
                      <a:avLst/>
                    </a:prstGeom>
                    <a:ln>
                      <a:noFill/>
                    </a:ln>
                    <a:effectLst>
                      <a:outerShdw blurRad="190500" algn="tl" rotWithShape="0">
                        <a:srgbClr val="000000">
                          <a:alpha val="70000"/>
                        </a:srgbClr>
                      </a:outerShdw>
                    </a:effectLst>
                  </pic:spPr>
                </pic:pic>
              </a:graphicData>
            </a:graphic>
          </wp:inline>
        </w:drawing>
      </w:r>
    </w:p>
    <w:p w14:paraId="76EEFF22" w14:textId="3004E846" w:rsidR="00FF56C3" w:rsidRDefault="00FF56C3" w:rsidP="00054C41">
      <w:pPr>
        <w:jc w:val="both"/>
        <w:rPr>
          <w:rFonts w:ascii="Times New Roman" w:eastAsia="Calibri" w:hAnsi="Times New Roman" w:cs="Times New Roman"/>
          <w:b/>
          <w:bCs/>
          <w:iCs/>
          <w:sz w:val="24"/>
          <w:szCs w:val="24"/>
        </w:rPr>
      </w:pPr>
      <w:r w:rsidRPr="00FF56C3">
        <w:rPr>
          <w:rFonts w:ascii="Times New Roman" w:eastAsia="Calibri" w:hAnsi="Times New Roman" w:cs="Times New Roman"/>
          <w:b/>
          <w:bCs/>
          <w:iCs/>
          <w:noProof/>
          <w:sz w:val="24"/>
          <w:szCs w:val="24"/>
        </w:rPr>
        <w:lastRenderedPageBreak/>
        <w:drawing>
          <wp:inline distT="0" distB="0" distL="0" distR="0" wp14:anchorId="474F977A" wp14:editId="3F0C4326">
            <wp:extent cx="7955973" cy="3753578"/>
            <wp:effectExtent l="190500" t="190500" r="197485" b="189865"/>
            <wp:docPr id="1187691142"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691142" name=""/>
                    <pic:cNvPicPr/>
                  </pic:nvPicPr>
                  <pic:blipFill>
                    <a:blip r:embed="rId16"/>
                    <a:stretch>
                      <a:fillRect/>
                    </a:stretch>
                  </pic:blipFill>
                  <pic:spPr>
                    <a:xfrm>
                      <a:off x="0" y="0"/>
                      <a:ext cx="7977773" cy="3763863"/>
                    </a:xfrm>
                    <a:prstGeom prst="rect">
                      <a:avLst/>
                    </a:prstGeom>
                    <a:ln>
                      <a:noFill/>
                    </a:ln>
                    <a:effectLst>
                      <a:outerShdw blurRad="190500" algn="tl" rotWithShape="0">
                        <a:srgbClr val="000000">
                          <a:alpha val="70000"/>
                        </a:srgbClr>
                      </a:outerShdw>
                    </a:effectLst>
                  </pic:spPr>
                </pic:pic>
              </a:graphicData>
            </a:graphic>
          </wp:inline>
        </w:drawing>
      </w:r>
    </w:p>
    <w:p w14:paraId="55912D01" w14:textId="77777777" w:rsidR="00FF56C3" w:rsidRDefault="00FF56C3" w:rsidP="00054C41">
      <w:pPr>
        <w:jc w:val="both"/>
        <w:rPr>
          <w:rFonts w:ascii="Times New Roman" w:eastAsia="Calibri" w:hAnsi="Times New Roman" w:cs="Times New Roman"/>
          <w:b/>
          <w:bCs/>
          <w:iCs/>
          <w:sz w:val="24"/>
          <w:szCs w:val="24"/>
        </w:rPr>
      </w:pPr>
    </w:p>
    <w:p w14:paraId="798179FB" w14:textId="5E0DF710" w:rsidR="00FA2E4B" w:rsidRPr="00847E21" w:rsidRDefault="00FA2E4B" w:rsidP="00054C41">
      <w:pPr>
        <w:jc w:val="both"/>
        <w:rPr>
          <w:rFonts w:ascii="Times New Roman" w:eastAsia="Calibri" w:hAnsi="Times New Roman" w:cs="Times New Roman"/>
          <w:b/>
          <w:bCs/>
          <w:iCs/>
          <w:sz w:val="24"/>
          <w:szCs w:val="24"/>
        </w:rPr>
        <w:sectPr w:rsidR="00FA2E4B" w:rsidRPr="00847E21"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1A43CED" w:rsidR="001E24E8" w:rsidRDefault="00A53296" w:rsidP="002B7AA7">
      <w:pPr>
        <w:contextualSpacing/>
        <w:jc w:val="both"/>
        <w:rPr>
          <w:rFonts w:ascii="Times New Roman" w:eastAsia="Calibri" w:hAnsi="Times New Roman" w:cs="Times New Roman"/>
          <w:bCs/>
          <w:color w:val="000000"/>
          <w:sz w:val="24"/>
          <w:szCs w:val="24"/>
        </w:rPr>
      </w:pPr>
      <w:r w:rsidRPr="00A53296">
        <w:rPr>
          <w:rFonts w:ascii="Times New Roman" w:eastAsia="Calibri" w:hAnsi="Times New Roman" w:cs="Times New Roman"/>
          <w:bCs/>
          <w:color w:val="000000"/>
          <w:sz w:val="24"/>
          <w:szCs w:val="24"/>
        </w:rPr>
        <w:t xml:space="preserve">V predkladanom návrhu zákona bolo identifikovaných </w:t>
      </w:r>
      <w:r w:rsidR="00322270">
        <w:rPr>
          <w:rFonts w:ascii="Times New Roman" w:eastAsia="Calibri" w:hAnsi="Times New Roman" w:cs="Times New Roman"/>
          <w:bCs/>
          <w:color w:val="000000"/>
          <w:sz w:val="24"/>
          <w:szCs w:val="24"/>
        </w:rPr>
        <w:t>24</w:t>
      </w:r>
      <w:r w:rsidRPr="00A53296">
        <w:rPr>
          <w:rFonts w:ascii="Times New Roman" w:eastAsia="Calibri" w:hAnsi="Times New Roman" w:cs="Times New Roman"/>
          <w:bCs/>
          <w:color w:val="000000"/>
          <w:sz w:val="24"/>
          <w:szCs w:val="24"/>
        </w:rPr>
        <w:t xml:space="preserve"> regulácií s vplyvom na podnikateľské prostredie. Predmetom kalkulačky nákladov sú regulácie súvisiace so zvýšením nepriamych finančných nákladov a administratívnej záťaže poisťov</w:t>
      </w:r>
      <w:r>
        <w:rPr>
          <w:rFonts w:ascii="Times New Roman" w:eastAsia="Calibri" w:hAnsi="Times New Roman" w:cs="Times New Roman"/>
          <w:bCs/>
          <w:color w:val="000000"/>
          <w:sz w:val="24"/>
          <w:szCs w:val="24"/>
        </w:rPr>
        <w:t xml:space="preserve">ní, zaisťovní, pobočiek poisťovní </w:t>
      </w:r>
      <w:r w:rsidR="009339CB">
        <w:rPr>
          <w:rFonts w:ascii="Times New Roman" w:eastAsia="Calibri" w:hAnsi="Times New Roman" w:cs="Times New Roman"/>
          <w:bCs/>
          <w:color w:val="000000"/>
          <w:sz w:val="24"/>
          <w:szCs w:val="24"/>
        </w:rPr>
        <w:t xml:space="preserve">z iného členského štátu </w:t>
      </w:r>
      <w:r>
        <w:rPr>
          <w:rFonts w:ascii="Times New Roman" w:eastAsia="Calibri" w:hAnsi="Times New Roman" w:cs="Times New Roman"/>
          <w:bCs/>
          <w:color w:val="000000"/>
          <w:sz w:val="24"/>
          <w:szCs w:val="24"/>
        </w:rPr>
        <w:t xml:space="preserve">a zaisťovní z iného členského štátu </w:t>
      </w:r>
      <w:r w:rsidRPr="00A53296">
        <w:rPr>
          <w:rFonts w:ascii="Times New Roman" w:eastAsia="Calibri" w:hAnsi="Times New Roman" w:cs="Times New Roman"/>
          <w:bCs/>
          <w:color w:val="000000"/>
          <w:sz w:val="24"/>
          <w:szCs w:val="24"/>
        </w:rPr>
        <w:t>v súvislosti s ich povinnosťami vyplývajúcimi z implementácie Smernice  Európskeho parlamentu a Rady (EÚ) 2025/2 z 27. novembra 2024, ktorou sa mení smernica 2009/138/ES, pokiaľ ide o proporcionalitu, kvalitu dohľadu, predkladanie informácií, opatrenia týkajúce sa dlhodobých záruk, makroprudenciálne nástroje, riziká ohrozujúce udržateľnosť a dohľad nad skupinou a cezhraničný dohľad, a ktorou sa menia smernice 2002/87/ES a 2013/34/EÚ.</w:t>
      </w:r>
    </w:p>
    <w:p w14:paraId="3733C9BA" w14:textId="2487D0D9" w:rsidR="002B7AA7" w:rsidRPr="001141F2" w:rsidRDefault="002B7AA7" w:rsidP="002B7AA7">
      <w:pPr>
        <w:contextualSpacing/>
        <w:jc w:val="both"/>
        <w:rPr>
          <w:rFonts w:ascii="Times New Roman" w:eastAsia="Calibri" w:hAnsi="Times New Roman" w:cs="Times New Roman"/>
          <w:bCs/>
          <w:color w:val="000000"/>
          <w:sz w:val="24"/>
          <w:szCs w:val="24"/>
          <w:u w:val="single"/>
        </w:rPr>
      </w:pPr>
      <w:r w:rsidRPr="001141F2">
        <w:rPr>
          <w:rFonts w:ascii="Times New Roman" w:eastAsia="Calibri" w:hAnsi="Times New Roman" w:cs="Times New Roman"/>
          <w:bCs/>
          <w:color w:val="000000"/>
          <w:sz w:val="24"/>
          <w:szCs w:val="24"/>
          <w:u w:val="single"/>
        </w:rPr>
        <w:t>Počet subjektov:</w:t>
      </w:r>
    </w:p>
    <w:p w14:paraId="0792BFD0" w14:textId="13BF5CE4" w:rsidR="002B7AA7" w:rsidRDefault="001141F2" w:rsidP="002B7AA7">
      <w:pPr>
        <w:contextualSpacing/>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Poisťovne a zaisťovne: 9</w:t>
      </w:r>
    </w:p>
    <w:p w14:paraId="56CC2FA3" w14:textId="7465B849" w:rsidR="001E177F" w:rsidRDefault="001141F2" w:rsidP="002B7AA7">
      <w:pPr>
        <w:contextualSpacing/>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Pobočky poisťovní z iného členského štátu a zaisťovní z iného členského štátu: 1</w:t>
      </w:r>
      <w:r w:rsidR="001E177F">
        <w:rPr>
          <w:rFonts w:ascii="Times New Roman" w:eastAsia="Calibri" w:hAnsi="Times New Roman" w:cs="Times New Roman"/>
          <w:bCs/>
          <w:color w:val="000000"/>
          <w:sz w:val="24"/>
          <w:szCs w:val="24"/>
        </w:rPr>
        <w:t>5</w:t>
      </w:r>
    </w:p>
    <w:p w14:paraId="5772290E" w14:textId="1BEE3D80" w:rsidR="002B7AA7" w:rsidRDefault="001141F2" w:rsidP="002B7AA7">
      <w:pPr>
        <w:contextualSpacing/>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Pobočky zahraničných poisťovní: 0</w:t>
      </w:r>
    </w:p>
    <w:p w14:paraId="79BFF2D0" w14:textId="4DA107FE" w:rsidR="009339CB" w:rsidRDefault="001141F2" w:rsidP="002B7AA7">
      <w:pPr>
        <w:contextualSpacing/>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Zdroj: </w:t>
      </w:r>
      <w:hyperlink r:id="rId17" w:history="1">
        <w:r w:rsidR="002B7AA7" w:rsidRPr="00DE6413">
          <w:rPr>
            <w:rStyle w:val="Hypertextovprepojenie"/>
            <w:rFonts w:ascii="Times New Roman" w:eastAsia="Calibri" w:hAnsi="Times New Roman" w:cs="Times New Roman"/>
            <w:bCs/>
            <w:sz w:val="24"/>
            <w:szCs w:val="24"/>
          </w:rPr>
          <w:t>https://subjekty.nbs.sk/sk/?s=985</w:t>
        </w:r>
      </w:hyperlink>
    </w:p>
    <w:p w14:paraId="19DA2BBA" w14:textId="77777777" w:rsidR="001141F2" w:rsidRDefault="001141F2" w:rsidP="002B7AA7">
      <w:pPr>
        <w:contextualSpacing/>
        <w:jc w:val="both"/>
        <w:rPr>
          <w:rFonts w:ascii="Times New Roman" w:eastAsia="Calibri" w:hAnsi="Times New Roman" w:cs="Times New Roman"/>
          <w:bCs/>
          <w:color w:val="000000"/>
          <w:sz w:val="24"/>
          <w:szCs w:val="24"/>
        </w:rPr>
      </w:pPr>
    </w:p>
    <w:p w14:paraId="19925AE1" w14:textId="394E1AD3" w:rsidR="0026393E" w:rsidRPr="00F571F7" w:rsidRDefault="0026393E" w:rsidP="002B7AA7">
      <w:pPr>
        <w:contextualSpacing/>
        <w:jc w:val="both"/>
        <w:rPr>
          <w:rFonts w:ascii="Times New Roman" w:eastAsia="Calibri" w:hAnsi="Times New Roman" w:cs="Times New Roman"/>
          <w:bCs/>
          <w:i/>
          <w:iCs/>
          <w:color w:val="000000"/>
          <w:sz w:val="24"/>
          <w:szCs w:val="24"/>
          <w:u w:val="single"/>
        </w:rPr>
      </w:pPr>
      <w:r w:rsidRPr="00F571F7">
        <w:rPr>
          <w:rFonts w:ascii="Times New Roman" w:eastAsia="Calibri" w:hAnsi="Times New Roman" w:cs="Times New Roman"/>
          <w:bCs/>
          <w:i/>
          <w:iCs/>
          <w:color w:val="000000"/>
          <w:sz w:val="24"/>
          <w:szCs w:val="24"/>
          <w:u w:val="single"/>
        </w:rPr>
        <w:t>Opatrenia (opisy regulácií) č. 1 až</w:t>
      </w:r>
      <w:r w:rsidR="00FA3F0B">
        <w:rPr>
          <w:rFonts w:ascii="Times New Roman" w:eastAsia="Calibri" w:hAnsi="Times New Roman" w:cs="Times New Roman"/>
          <w:bCs/>
          <w:i/>
          <w:iCs/>
          <w:color w:val="000000"/>
          <w:sz w:val="24"/>
          <w:szCs w:val="24"/>
          <w:u w:val="single"/>
        </w:rPr>
        <w:t xml:space="preserve"> </w:t>
      </w:r>
      <w:r w:rsidR="00322270">
        <w:rPr>
          <w:rFonts w:ascii="Times New Roman" w:eastAsia="Calibri" w:hAnsi="Times New Roman" w:cs="Times New Roman"/>
          <w:bCs/>
          <w:i/>
          <w:iCs/>
          <w:color w:val="000000"/>
          <w:sz w:val="24"/>
          <w:szCs w:val="24"/>
          <w:u w:val="single"/>
        </w:rPr>
        <w:t>24</w:t>
      </w:r>
      <w:r w:rsidRPr="00F571F7">
        <w:rPr>
          <w:rFonts w:ascii="Times New Roman" w:eastAsia="Calibri" w:hAnsi="Times New Roman" w:cs="Times New Roman"/>
          <w:bCs/>
          <w:i/>
          <w:iCs/>
          <w:color w:val="000000"/>
          <w:sz w:val="24"/>
          <w:szCs w:val="24"/>
          <w:u w:val="single"/>
        </w:rPr>
        <w:t xml:space="preserve"> </w:t>
      </w:r>
    </w:p>
    <w:p w14:paraId="1EB51739" w14:textId="5F660807" w:rsidR="0026393E" w:rsidRDefault="00A53296" w:rsidP="002B7AA7">
      <w:pPr>
        <w:pStyle w:val="Odsekzoznamu"/>
        <w:numPr>
          <w:ilvl w:val="0"/>
          <w:numId w:val="15"/>
        </w:numPr>
        <w:ind w:left="284" w:firstLine="142"/>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Oboznámenie sa s novou právnou úpravou</w:t>
      </w:r>
    </w:p>
    <w:p w14:paraId="31E31C30" w14:textId="10498FB3" w:rsidR="00A53296" w:rsidRDefault="00A644D2" w:rsidP="00A53296">
      <w:pPr>
        <w:jc w:val="both"/>
        <w:rPr>
          <w:rFonts w:ascii="Times New Roman" w:eastAsia="Calibri" w:hAnsi="Times New Roman" w:cs="Times New Roman"/>
          <w:bCs/>
          <w:color w:val="000000"/>
          <w:sz w:val="24"/>
          <w:szCs w:val="24"/>
        </w:rPr>
      </w:pPr>
      <w:r w:rsidRPr="00A644D2">
        <w:rPr>
          <w:rFonts w:ascii="Times New Roman" w:eastAsia="Calibri" w:hAnsi="Times New Roman" w:cs="Times New Roman"/>
          <w:bCs/>
          <w:color w:val="000000"/>
          <w:sz w:val="24"/>
          <w:szCs w:val="24"/>
        </w:rPr>
        <w:t>Predmetná regulácia zvyšuje administratívnu záťaž</w:t>
      </w:r>
      <w:r>
        <w:rPr>
          <w:rFonts w:ascii="Times New Roman" w:eastAsia="Calibri" w:hAnsi="Times New Roman" w:cs="Times New Roman"/>
          <w:bCs/>
          <w:color w:val="000000"/>
          <w:sz w:val="24"/>
          <w:szCs w:val="24"/>
        </w:rPr>
        <w:t xml:space="preserve"> </w:t>
      </w:r>
      <w:r w:rsidRPr="00A644D2">
        <w:rPr>
          <w:rFonts w:ascii="Times New Roman" w:eastAsia="Calibri" w:hAnsi="Times New Roman" w:cs="Times New Roman"/>
          <w:bCs/>
          <w:color w:val="000000"/>
          <w:sz w:val="24"/>
          <w:szCs w:val="24"/>
        </w:rPr>
        <w:t xml:space="preserve">poisťovní, zaisťovní, pobočiek poisťovní </w:t>
      </w:r>
      <w:r>
        <w:rPr>
          <w:rFonts w:ascii="Times New Roman" w:eastAsia="Calibri" w:hAnsi="Times New Roman" w:cs="Times New Roman"/>
          <w:bCs/>
          <w:color w:val="000000"/>
          <w:sz w:val="24"/>
          <w:szCs w:val="24"/>
        </w:rPr>
        <w:t xml:space="preserve">z iného členského štátu </w:t>
      </w:r>
      <w:r w:rsidRPr="00A644D2">
        <w:rPr>
          <w:rFonts w:ascii="Times New Roman" w:eastAsia="Calibri" w:hAnsi="Times New Roman" w:cs="Times New Roman"/>
          <w:bCs/>
          <w:color w:val="000000"/>
          <w:sz w:val="24"/>
          <w:szCs w:val="24"/>
        </w:rPr>
        <w:t>a zaisťovní z iného členského štátu</w:t>
      </w:r>
      <w:r>
        <w:rPr>
          <w:rFonts w:ascii="Times New Roman" w:eastAsia="Calibri" w:hAnsi="Times New Roman" w:cs="Times New Roman"/>
          <w:bCs/>
          <w:color w:val="000000"/>
          <w:sz w:val="24"/>
          <w:szCs w:val="24"/>
        </w:rPr>
        <w:t xml:space="preserve">. </w:t>
      </w:r>
      <w:r w:rsidRPr="00A644D2">
        <w:rPr>
          <w:rFonts w:ascii="Times New Roman" w:eastAsia="Calibri" w:hAnsi="Times New Roman" w:cs="Times New Roman"/>
          <w:bCs/>
          <w:color w:val="000000"/>
          <w:sz w:val="24"/>
          <w:szCs w:val="24"/>
        </w:rPr>
        <w:t xml:space="preserve">Časová náročnosť pre administratívne náklady bola vypočítaná ako súčin </w:t>
      </w:r>
      <w:r>
        <w:rPr>
          <w:rFonts w:ascii="Times New Roman" w:eastAsia="Calibri" w:hAnsi="Times New Roman" w:cs="Times New Roman"/>
          <w:bCs/>
          <w:color w:val="000000"/>
          <w:sz w:val="24"/>
          <w:szCs w:val="24"/>
        </w:rPr>
        <w:t>480</w:t>
      </w:r>
      <w:r w:rsidRPr="00A644D2">
        <w:rPr>
          <w:rFonts w:ascii="Times New Roman" w:eastAsia="Calibri" w:hAnsi="Times New Roman" w:cs="Times New Roman"/>
          <w:bCs/>
          <w:color w:val="000000"/>
          <w:sz w:val="24"/>
          <w:szCs w:val="24"/>
        </w:rPr>
        <w:t xml:space="preserve"> minút (</w:t>
      </w:r>
      <w:r>
        <w:rPr>
          <w:rFonts w:ascii="Times New Roman" w:eastAsia="Calibri" w:hAnsi="Times New Roman" w:cs="Times New Roman"/>
          <w:bCs/>
          <w:color w:val="000000"/>
          <w:sz w:val="24"/>
          <w:szCs w:val="24"/>
        </w:rPr>
        <w:t>osem</w:t>
      </w:r>
      <w:r w:rsidRPr="00A644D2">
        <w:rPr>
          <w:rFonts w:ascii="Times New Roman" w:eastAsia="Calibri" w:hAnsi="Times New Roman" w:cs="Times New Roman"/>
          <w:bCs/>
          <w:color w:val="000000"/>
          <w:sz w:val="24"/>
          <w:szCs w:val="24"/>
        </w:rPr>
        <w:t xml:space="preserve"> hod</w:t>
      </w:r>
      <w:r>
        <w:rPr>
          <w:rFonts w:ascii="Times New Roman" w:eastAsia="Calibri" w:hAnsi="Times New Roman" w:cs="Times New Roman"/>
          <w:bCs/>
          <w:color w:val="000000"/>
          <w:sz w:val="24"/>
          <w:szCs w:val="24"/>
        </w:rPr>
        <w:t>ín</w:t>
      </w:r>
      <w:r w:rsidRPr="00A644D2">
        <w:rPr>
          <w:rFonts w:ascii="Times New Roman" w:eastAsia="Calibri" w:hAnsi="Times New Roman" w:cs="Times New Roman"/>
          <w:bCs/>
          <w:color w:val="000000"/>
          <w:sz w:val="24"/>
          <w:szCs w:val="24"/>
        </w:rPr>
        <w:t xml:space="preserve"> denne) a počtu pracovných dní</w:t>
      </w:r>
      <w:r>
        <w:rPr>
          <w:rFonts w:ascii="Times New Roman" w:eastAsia="Calibri" w:hAnsi="Times New Roman" w:cs="Times New Roman"/>
          <w:bCs/>
          <w:color w:val="000000"/>
          <w:sz w:val="24"/>
          <w:szCs w:val="24"/>
        </w:rPr>
        <w:t xml:space="preserve"> potrebných na naštudovanie novej právnej úpravy</w:t>
      </w:r>
      <w:r w:rsidRPr="00A644D2">
        <w:rPr>
          <w:rFonts w:ascii="Times New Roman" w:eastAsia="Calibri" w:hAnsi="Times New Roman" w:cs="Times New Roman"/>
          <w:bCs/>
          <w:color w:val="000000"/>
          <w:sz w:val="24"/>
          <w:szCs w:val="24"/>
        </w:rPr>
        <w:t>, ktorých</w:t>
      </w:r>
      <w:r w:rsidR="006A7BD0">
        <w:rPr>
          <w:rFonts w:ascii="Times New Roman" w:eastAsia="Calibri" w:hAnsi="Times New Roman" w:cs="Times New Roman"/>
          <w:bCs/>
          <w:color w:val="000000"/>
          <w:sz w:val="24"/>
          <w:szCs w:val="24"/>
        </w:rPr>
        <w:t xml:space="preserve"> na základe expertného odhadu predkladateľa je </w:t>
      </w:r>
      <w:r>
        <w:rPr>
          <w:rFonts w:ascii="Times New Roman" w:eastAsia="Calibri" w:hAnsi="Times New Roman" w:cs="Times New Roman"/>
          <w:bCs/>
          <w:color w:val="000000"/>
          <w:sz w:val="24"/>
          <w:szCs w:val="24"/>
        </w:rPr>
        <w:t xml:space="preserve">v trvaní </w:t>
      </w:r>
      <w:r w:rsidR="00FF763D">
        <w:rPr>
          <w:rFonts w:ascii="Times New Roman" w:eastAsia="Calibri" w:hAnsi="Times New Roman" w:cs="Times New Roman"/>
          <w:bCs/>
          <w:color w:val="000000"/>
          <w:sz w:val="24"/>
          <w:szCs w:val="24"/>
        </w:rPr>
        <w:t>4</w:t>
      </w:r>
      <w:r>
        <w:rPr>
          <w:rFonts w:ascii="Times New Roman" w:eastAsia="Calibri" w:hAnsi="Times New Roman" w:cs="Times New Roman"/>
          <w:bCs/>
          <w:color w:val="000000"/>
          <w:sz w:val="24"/>
          <w:szCs w:val="24"/>
        </w:rPr>
        <w:t xml:space="preserve">0 pracovných dní </w:t>
      </w:r>
      <w:r w:rsidRPr="00A644D2">
        <w:rPr>
          <w:rFonts w:ascii="Times New Roman" w:eastAsia="Calibri" w:hAnsi="Times New Roman" w:cs="Times New Roman"/>
          <w:bCs/>
          <w:color w:val="000000"/>
          <w:sz w:val="24"/>
          <w:szCs w:val="24"/>
        </w:rPr>
        <w:t xml:space="preserve">(t. j. </w:t>
      </w:r>
      <w:r>
        <w:rPr>
          <w:rFonts w:ascii="Times New Roman" w:eastAsia="Calibri" w:hAnsi="Times New Roman" w:cs="Times New Roman"/>
          <w:bCs/>
          <w:color w:val="000000"/>
          <w:sz w:val="24"/>
          <w:szCs w:val="24"/>
        </w:rPr>
        <w:t>480</w:t>
      </w:r>
      <w:r w:rsidRPr="00A644D2">
        <w:rPr>
          <w:rFonts w:ascii="Times New Roman" w:eastAsia="Calibri" w:hAnsi="Times New Roman" w:cs="Times New Roman"/>
          <w:bCs/>
          <w:color w:val="000000"/>
          <w:sz w:val="24"/>
          <w:szCs w:val="24"/>
        </w:rPr>
        <w:t xml:space="preserve"> min. * </w:t>
      </w:r>
      <w:r w:rsidR="00FF763D">
        <w:rPr>
          <w:rFonts w:ascii="Times New Roman" w:eastAsia="Calibri" w:hAnsi="Times New Roman" w:cs="Times New Roman"/>
          <w:bCs/>
          <w:color w:val="000000"/>
          <w:sz w:val="24"/>
          <w:szCs w:val="24"/>
        </w:rPr>
        <w:t>4</w:t>
      </w:r>
      <w:r w:rsidRPr="00A644D2">
        <w:rPr>
          <w:rFonts w:ascii="Times New Roman" w:eastAsia="Calibri" w:hAnsi="Times New Roman" w:cs="Times New Roman"/>
          <w:bCs/>
          <w:color w:val="000000"/>
          <w:sz w:val="24"/>
          <w:szCs w:val="24"/>
        </w:rPr>
        <w:t xml:space="preserve">0 pracovných dní = </w:t>
      </w:r>
      <w:r w:rsidR="00FF763D">
        <w:rPr>
          <w:rFonts w:ascii="Times New Roman" w:eastAsia="Calibri" w:hAnsi="Times New Roman" w:cs="Times New Roman"/>
          <w:bCs/>
          <w:color w:val="000000"/>
          <w:sz w:val="24"/>
          <w:szCs w:val="24"/>
        </w:rPr>
        <w:t>1</w:t>
      </w:r>
      <w:r>
        <w:rPr>
          <w:rFonts w:ascii="Times New Roman" w:eastAsia="Calibri" w:hAnsi="Times New Roman" w:cs="Times New Roman"/>
          <w:bCs/>
          <w:color w:val="000000"/>
          <w:sz w:val="24"/>
          <w:szCs w:val="24"/>
        </w:rPr>
        <w:t>9.</w:t>
      </w:r>
      <w:r w:rsidR="00FF763D">
        <w:rPr>
          <w:rFonts w:ascii="Times New Roman" w:eastAsia="Calibri" w:hAnsi="Times New Roman" w:cs="Times New Roman"/>
          <w:bCs/>
          <w:color w:val="000000"/>
          <w:sz w:val="24"/>
          <w:szCs w:val="24"/>
        </w:rPr>
        <w:t>2</w:t>
      </w:r>
      <w:r>
        <w:rPr>
          <w:rFonts w:ascii="Times New Roman" w:eastAsia="Calibri" w:hAnsi="Times New Roman" w:cs="Times New Roman"/>
          <w:bCs/>
          <w:color w:val="000000"/>
          <w:sz w:val="24"/>
          <w:szCs w:val="24"/>
        </w:rPr>
        <w:t>00</w:t>
      </w:r>
      <w:r w:rsidRPr="00A644D2">
        <w:rPr>
          <w:rFonts w:ascii="Times New Roman" w:eastAsia="Calibri" w:hAnsi="Times New Roman" w:cs="Times New Roman"/>
          <w:bCs/>
          <w:color w:val="000000"/>
          <w:sz w:val="24"/>
          <w:szCs w:val="24"/>
        </w:rPr>
        <w:t xml:space="preserve"> min.)</w:t>
      </w:r>
      <w:r>
        <w:rPr>
          <w:rFonts w:ascii="Times New Roman" w:eastAsia="Calibri" w:hAnsi="Times New Roman" w:cs="Times New Roman"/>
          <w:bCs/>
          <w:color w:val="000000"/>
          <w:sz w:val="24"/>
          <w:szCs w:val="24"/>
        </w:rPr>
        <w:t xml:space="preserve"> na jeden subjekt</w:t>
      </w:r>
      <w:r w:rsidRPr="00A644D2">
        <w:rPr>
          <w:rFonts w:ascii="Times New Roman" w:eastAsia="Calibri" w:hAnsi="Times New Roman" w:cs="Times New Roman"/>
          <w:bCs/>
          <w:color w:val="000000"/>
          <w:sz w:val="24"/>
          <w:szCs w:val="24"/>
        </w:rPr>
        <w:t xml:space="preserve">. Frekvencia plnenia bola na základe vyššie uvedenej kvantifikácie určená </w:t>
      </w:r>
      <w:r>
        <w:rPr>
          <w:rFonts w:ascii="Times New Roman" w:eastAsia="Calibri" w:hAnsi="Times New Roman" w:cs="Times New Roman"/>
          <w:bCs/>
          <w:color w:val="000000"/>
          <w:sz w:val="24"/>
          <w:szCs w:val="24"/>
        </w:rPr>
        <w:t>ako nepravidelná</w:t>
      </w:r>
      <w:r w:rsidRPr="00A644D2">
        <w:rPr>
          <w:rFonts w:ascii="Times New Roman" w:eastAsia="Calibri" w:hAnsi="Times New Roman" w:cs="Times New Roman"/>
          <w:bCs/>
          <w:color w:val="000000"/>
          <w:sz w:val="24"/>
          <w:szCs w:val="24"/>
        </w:rPr>
        <w:t>.</w:t>
      </w:r>
    </w:p>
    <w:p w14:paraId="20D1235D" w14:textId="671F2D6A" w:rsidR="0032719E" w:rsidRDefault="00A644D2" w:rsidP="0032719E">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2.</w:t>
      </w:r>
      <w:r w:rsidR="00FA3F0B">
        <w:rPr>
          <w:rFonts w:ascii="Times New Roman" w:eastAsia="Calibri" w:hAnsi="Times New Roman" w:cs="Times New Roman"/>
          <w:bCs/>
          <w:i/>
          <w:iCs/>
          <w:color w:val="000000"/>
          <w:sz w:val="24"/>
          <w:szCs w:val="24"/>
        </w:rPr>
        <w:t xml:space="preserve"> </w:t>
      </w:r>
      <w:r w:rsidR="0032719E">
        <w:rPr>
          <w:rFonts w:ascii="Times New Roman" w:eastAsia="Calibri" w:hAnsi="Times New Roman" w:cs="Times New Roman"/>
          <w:bCs/>
          <w:i/>
          <w:iCs/>
          <w:color w:val="000000"/>
          <w:sz w:val="24"/>
          <w:szCs w:val="24"/>
        </w:rPr>
        <w:t>Zmena činnosti</w:t>
      </w:r>
    </w:p>
    <w:p w14:paraId="416DA1D5" w14:textId="618B69C0" w:rsidR="0032719E" w:rsidRDefault="0032719E" w:rsidP="0032719E">
      <w:pPr>
        <w:jc w:val="both"/>
        <w:rPr>
          <w:rFonts w:ascii="Times New Roman" w:eastAsia="Calibri" w:hAnsi="Times New Roman" w:cs="Times New Roman"/>
          <w:bCs/>
          <w:color w:val="000000"/>
          <w:sz w:val="24"/>
          <w:szCs w:val="24"/>
        </w:rPr>
      </w:pPr>
      <w:r w:rsidRPr="0032719E">
        <w:rPr>
          <w:rFonts w:ascii="Times New Roman" w:eastAsia="Calibri" w:hAnsi="Times New Roman" w:cs="Times New Roman"/>
          <w:bCs/>
          <w:color w:val="000000"/>
          <w:sz w:val="24"/>
          <w:szCs w:val="24"/>
        </w:rPr>
        <w:t xml:space="preserve">Regulácia zvyšuje </w:t>
      </w:r>
      <w:r>
        <w:rPr>
          <w:rFonts w:ascii="Times New Roman" w:eastAsia="Calibri" w:hAnsi="Times New Roman" w:cs="Times New Roman"/>
          <w:bCs/>
          <w:color w:val="000000"/>
          <w:sz w:val="24"/>
          <w:szCs w:val="24"/>
        </w:rPr>
        <w:t>administratívne náklady poisťovní a zaisťovní</w:t>
      </w:r>
      <w:r w:rsidRPr="0032719E">
        <w:rPr>
          <w:rFonts w:ascii="Times New Roman" w:eastAsia="Calibri" w:hAnsi="Times New Roman" w:cs="Times New Roman"/>
          <w:bCs/>
          <w:color w:val="000000"/>
          <w:sz w:val="24"/>
          <w:szCs w:val="24"/>
        </w:rPr>
        <w:t xml:space="preserve">. </w:t>
      </w:r>
      <w:r w:rsidR="00DF0FFE">
        <w:rPr>
          <w:rFonts w:ascii="Times New Roman" w:eastAsia="Calibri" w:hAnsi="Times New Roman" w:cs="Times New Roman"/>
          <w:bCs/>
          <w:color w:val="000000"/>
          <w:sz w:val="24"/>
          <w:szCs w:val="24"/>
        </w:rPr>
        <w:t xml:space="preserve">Uvedenou reguláciou sa </w:t>
      </w:r>
      <w:r w:rsidRPr="0032719E">
        <w:rPr>
          <w:rFonts w:ascii="Times New Roman" w:eastAsia="Calibri" w:hAnsi="Times New Roman" w:cs="Times New Roman"/>
          <w:bCs/>
          <w:color w:val="000000"/>
          <w:sz w:val="24"/>
          <w:szCs w:val="24"/>
        </w:rPr>
        <w:t>požad</w:t>
      </w:r>
      <w:r w:rsidR="00DF0FFE">
        <w:rPr>
          <w:rFonts w:ascii="Times New Roman" w:eastAsia="Calibri" w:hAnsi="Times New Roman" w:cs="Times New Roman"/>
          <w:bCs/>
          <w:color w:val="000000"/>
          <w:sz w:val="24"/>
          <w:szCs w:val="24"/>
        </w:rPr>
        <w:t>uje</w:t>
      </w:r>
      <w:r w:rsidRPr="0032719E">
        <w:rPr>
          <w:rFonts w:ascii="Times New Roman" w:eastAsia="Calibri" w:hAnsi="Times New Roman" w:cs="Times New Roman"/>
          <w:bCs/>
          <w:color w:val="000000"/>
          <w:sz w:val="24"/>
          <w:szCs w:val="24"/>
        </w:rPr>
        <w:t xml:space="preserve"> </w:t>
      </w:r>
      <w:r>
        <w:rPr>
          <w:rFonts w:ascii="Times New Roman" w:eastAsia="Calibri" w:hAnsi="Times New Roman" w:cs="Times New Roman"/>
          <w:bCs/>
          <w:color w:val="000000"/>
          <w:sz w:val="24"/>
          <w:szCs w:val="24"/>
        </w:rPr>
        <w:t>informovať Národn</w:t>
      </w:r>
      <w:r w:rsidR="00DF0FFE">
        <w:rPr>
          <w:rFonts w:ascii="Times New Roman" w:eastAsia="Calibri" w:hAnsi="Times New Roman" w:cs="Times New Roman"/>
          <w:bCs/>
          <w:color w:val="000000"/>
          <w:sz w:val="24"/>
          <w:szCs w:val="24"/>
        </w:rPr>
        <w:t>ú banku Slovenska o takej zmene činnosti, ktorá významne zasahuje do rizikového profilu poisťovne a zaisťovne v hostiteľskom členskom štáte</w:t>
      </w:r>
      <w:r w:rsidRPr="0032719E">
        <w:rPr>
          <w:rFonts w:ascii="Times New Roman" w:eastAsia="Calibri" w:hAnsi="Times New Roman" w:cs="Times New Roman"/>
          <w:bCs/>
          <w:color w:val="000000"/>
          <w:sz w:val="24"/>
          <w:szCs w:val="24"/>
        </w:rPr>
        <w:t>. Frekvencia plnenia</w:t>
      </w:r>
      <w:r w:rsidR="003F02DD">
        <w:rPr>
          <w:rFonts w:ascii="Times New Roman" w:eastAsia="Calibri" w:hAnsi="Times New Roman" w:cs="Times New Roman"/>
          <w:bCs/>
          <w:color w:val="000000"/>
          <w:sz w:val="24"/>
          <w:szCs w:val="24"/>
        </w:rPr>
        <w:t xml:space="preserve"> tejto povinnosti je </w:t>
      </w:r>
      <w:r w:rsidR="00DF0FFE">
        <w:rPr>
          <w:rFonts w:ascii="Times New Roman" w:eastAsia="Calibri" w:hAnsi="Times New Roman" w:cs="Times New Roman"/>
          <w:bCs/>
          <w:color w:val="000000"/>
          <w:sz w:val="24"/>
          <w:szCs w:val="24"/>
        </w:rPr>
        <w:t>nepravidelná</w:t>
      </w:r>
      <w:r w:rsidR="003F02DD">
        <w:rPr>
          <w:rFonts w:ascii="Times New Roman" w:eastAsia="Calibri" w:hAnsi="Times New Roman" w:cs="Times New Roman"/>
          <w:bCs/>
          <w:color w:val="000000"/>
          <w:sz w:val="24"/>
          <w:szCs w:val="24"/>
        </w:rPr>
        <w:t xml:space="preserve"> a závisí od konkrétnych zmien v činnosti poisťovne alebo zaisťovne. Celkový vplyv na podnikateľské prostredie nepredstavuje významnú regulačnú záťaž.</w:t>
      </w:r>
    </w:p>
    <w:p w14:paraId="617C70B4" w14:textId="2A46F6FD" w:rsidR="002E1614" w:rsidRDefault="00FA3F0B" w:rsidP="00FA3F0B">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3</w:t>
      </w:r>
      <w:r w:rsidR="003F02DD">
        <w:rPr>
          <w:rFonts w:ascii="Times New Roman" w:eastAsia="Calibri" w:hAnsi="Times New Roman" w:cs="Times New Roman"/>
          <w:bCs/>
          <w:i/>
          <w:iCs/>
          <w:color w:val="000000"/>
          <w:sz w:val="24"/>
          <w:szCs w:val="24"/>
        </w:rPr>
        <w:t>.</w:t>
      </w:r>
      <w:r>
        <w:rPr>
          <w:rFonts w:ascii="Times New Roman" w:eastAsia="Calibri" w:hAnsi="Times New Roman" w:cs="Times New Roman"/>
          <w:bCs/>
          <w:i/>
          <w:iCs/>
          <w:color w:val="000000"/>
          <w:sz w:val="24"/>
          <w:szCs w:val="24"/>
        </w:rPr>
        <w:t xml:space="preserve"> </w:t>
      </w:r>
      <w:r w:rsidR="002E1614">
        <w:rPr>
          <w:rFonts w:ascii="Times New Roman" w:eastAsia="Calibri" w:hAnsi="Times New Roman" w:cs="Times New Roman"/>
          <w:bCs/>
          <w:i/>
          <w:iCs/>
          <w:color w:val="000000"/>
          <w:sz w:val="24"/>
          <w:szCs w:val="24"/>
        </w:rPr>
        <w:t>Posudzovanie rizík ohrozujúcich udržateľnosť</w:t>
      </w:r>
    </w:p>
    <w:p w14:paraId="22ADE678" w14:textId="3BC389F9" w:rsidR="003F02DD" w:rsidRDefault="002E1614" w:rsidP="002E1614">
      <w:pPr>
        <w:jc w:val="both"/>
        <w:rPr>
          <w:rFonts w:ascii="Times New Roman" w:eastAsia="Calibri" w:hAnsi="Times New Roman" w:cs="Times New Roman"/>
          <w:bCs/>
          <w:color w:val="000000"/>
          <w:sz w:val="24"/>
          <w:szCs w:val="24"/>
        </w:rPr>
      </w:pPr>
      <w:r w:rsidRPr="002E1614">
        <w:rPr>
          <w:rFonts w:ascii="Times New Roman" w:eastAsia="Calibri" w:hAnsi="Times New Roman" w:cs="Times New Roman"/>
          <w:bCs/>
          <w:color w:val="000000"/>
          <w:sz w:val="24"/>
          <w:szCs w:val="24"/>
        </w:rPr>
        <w:lastRenderedPageBreak/>
        <w:t xml:space="preserve">Predmetná regulácia zvyšuje administratívnu záťaž poisťovní, zaisťovní, pobočiek </w:t>
      </w:r>
      <w:r>
        <w:rPr>
          <w:rFonts w:ascii="Times New Roman" w:eastAsia="Calibri" w:hAnsi="Times New Roman" w:cs="Times New Roman"/>
          <w:bCs/>
          <w:color w:val="000000"/>
          <w:sz w:val="24"/>
          <w:szCs w:val="24"/>
        </w:rPr>
        <w:t xml:space="preserve">zahraničných </w:t>
      </w:r>
      <w:r w:rsidRPr="002E1614">
        <w:rPr>
          <w:rFonts w:ascii="Times New Roman" w:eastAsia="Calibri" w:hAnsi="Times New Roman" w:cs="Times New Roman"/>
          <w:bCs/>
          <w:color w:val="000000"/>
          <w:sz w:val="24"/>
          <w:szCs w:val="24"/>
        </w:rPr>
        <w:t>poisťovní a</w:t>
      </w:r>
      <w:r>
        <w:rPr>
          <w:rFonts w:ascii="Times New Roman" w:eastAsia="Calibri" w:hAnsi="Times New Roman" w:cs="Times New Roman"/>
          <w:bCs/>
          <w:color w:val="000000"/>
          <w:sz w:val="24"/>
          <w:szCs w:val="24"/>
        </w:rPr>
        <w:t xml:space="preserve"> pobočiek zahraničných </w:t>
      </w:r>
      <w:r w:rsidRPr="002E1614">
        <w:rPr>
          <w:rFonts w:ascii="Times New Roman" w:eastAsia="Calibri" w:hAnsi="Times New Roman" w:cs="Times New Roman"/>
          <w:bCs/>
          <w:color w:val="000000"/>
          <w:sz w:val="24"/>
          <w:szCs w:val="24"/>
        </w:rPr>
        <w:t>zaisťovní</w:t>
      </w:r>
      <w:r>
        <w:rPr>
          <w:rFonts w:ascii="Times New Roman" w:eastAsia="Calibri" w:hAnsi="Times New Roman" w:cs="Times New Roman"/>
          <w:bCs/>
          <w:color w:val="000000"/>
          <w:sz w:val="24"/>
          <w:szCs w:val="24"/>
        </w:rPr>
        <w:t xml:space="preserve">. </w:t>
      </w:r>
      <w:r w:rsidRPr="002E1614">
        <w:rPr>
          <w:rFonts w:ascii="Times New Roman" w:eastAsia="Calibri" w:hAnsi="Times New Roman" w:cs="Times New Roman"/>
          <w:bCs/>
          <w:color w:val="000000"/>
          <w:sz w:val="24"/>
          <w:szCs w:val="24"/>
        </w:rPr>
        <w:t xml:space="preserve">Časová náročnosť pre administratívne náklady bola </w:t>
      </w:r>
      <w:r w:rsidR="00375D16" w:rsidRPr="00375D16">
        <w:rPr>
          <w:rFonts w:ascii="Times New Roman" w:eastAsia="Calibri" w:hAnsi="Times New Roman" w:cs="Times New Roman"/>
          <w:bCs/>
          <w:color w:val="000000"/>
          <w:sz w:val="24"/>
          <w:szCs w:val="24"/>
        </w:rPr>
        <w:t xml:space="preserve">na základe expertného odhadu predkladateľa </w:t>
      </w:r>
      <w:r w:rsidRPr="002E1614">
        <w:rPr>
          <w:rFonts w:ascii="Times New Roman" w:eastAsia="Calibri" w:hAnsi="Times New Roman" w:cs="Times New Roman"/>
          <w:bCs/>
          <w:color w:val="000000"/>
          <w:sz w:val="24"/>
          <w:szCs w:val="24"/>
        </w:rPr>
        <w:t xml:space="preserve">vypočítaná ako súčin 480 minút (osem hodín denne) a počtu pracovných dní </w:t>
      </w:r>
      <w:r w:rsidR="009B3221">
        <w:rPr>
          <w:rFonts w:ascii="Times New Roman" w:eastAsia="Calibri" w:hAnsi="Times New Roman" w:cs="Times New Roman"/>
          <w:bCs/>
          <w:color w:val="000000"/>
          <w:sz w:val="24"/>
          <w:szCs w:val="24"/>
        </w:rPr>
        <w:t>potrebných na vykonanie posúdenia rizík</w:t>
      </w:r>
      <w:r w:rsidRPr="002E1614">
        <w:rPr>
          <w:rFonts w:ascii="Times New Roman" w:eastAsia="Calibri" w:hAnsi="Times New Roman" w:cs="Times New Roman"/>
          <w:bCs/>
          <w:color w:val="000000"/>
          <w:sz w:val="24"/>
          <w:szCs w:val="24"/>
        </w:rPr>
        <w:t xml:space="preserve">, ktorých odhadujeme v trvaní </w:t>
      </w:r>
      <w:r w:rsidR="003A0DF0">
        <w:rPr>
          <w:rFonts w:ascii="Times New Roman" w:eastAsia="Calibri" w:hAnsi="Times New Roman" w:cs="Times New Roman"/>
          <w:bCs/>
          <w:color w:val="000000"/>
          <w:sz w:val="24"/>
          <w:szCs w:val="24"/>
        </w:rPr>
        <w:t>125</w:t>
      </w:r>
      <w:r w:rsidRPr="002E1614">
        <w:rPr>
          <w:rFonts w:ascii="Times New Roman" w:eastAsia="Calibri" w:hAnsi="Times New Roman" w:cs="Times New Roman"/>
          <w:bCs/>
          <w:color w:val="000000"/>
          <w:sz w:val="24"/>
          <w:szCs w:val="24"/>
        </w:rPr>
        <w:t xml:space="preserve"> pracovných dní (t. j. 480 min. * </w:t>
      </w:r>
      <w:r w:rsidR="003A0DF0">
        <w:rPr>
          <w:rFonts w:ascii="Times New Roman" w:eastAsia="Calibri" w:hAnsi="Times New Roman" w:cs="Times New Roman"/>
          <w:bCs/>
          <w:color w:val="000000"/>
          <w:sz w:val="24"/>
          <w:szCs w:val="24"/>
        </w:rPr>
        <w:t>125</w:t>
      </w:r>
      <w:r w:rsidRPr="002E1614">
        <w:rPr>
          <w:rFonts w:ascii="Times New Roman" w:eastAsia="Calibri" w:hAnsi="Times New Roman" w:cs="Times New Roman"/>
          <w:bCs/>
          <w:color w:val="000000"/>
          <w:sz w:val="24"/>
          <w:szCs w:val="24"/>
        </w:rPr>
        <w:t xml:space="preserve"> pracovných dní = </w:t>
      </w:r>
      <w:r w:rsidR="003A0DF0">
        <w:rPr>
          <w:rFonts w:ascii="Times New Roman" w:eastAsia="Calibri" w:hAnsi="Times New Roman" w:cs="Times New Roman"/>
          <w:bCs/>
          <w:color w:val="000000"/>
          <w:sz w:val="24"/>
          <w:szCs w:val="24"/>
        </w:rPr>
        <w:t>60.000</w:t>
      </w:r>
      <w:r w:rsidRPr="002E1614">
        <w:rPr>
          <w:rFonts w:ascii="Times New Roman" w:eastAsia="Calibri" w:hAnsi="Times New Roman" w:cs="Times New Roman"/>
          <w:bCs/>
          <w:color w:val="000000"/>
          <w:sz w:val="24"/>
          <w:szCs w:val="24"/>
        </w:rPr>
        <w:t xml:space="preserve"> min.) na jeden subjekt. Frekvencia plnenia bola na základe vyššie uvedenej kvantifikácie určená ako nepravidelná.</w:t>
      </w:r>
    </w:p>
    <w:p w14:paraId="6F382958" w14:textId="2366257F" w:rsidR="003A0DF0" w:rsidRDefault="00FA3F0B" w:rsidP="003A0DF0">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4</w:t>
      </w:r>
      <w:r w:rsidR="003A0DF0">
        <w:rPr>
          <w:rFonts w:ascii="Times New Roman" w:eastAsia="Calibri" w:hAnsi="Times New Roman" w:cs="Times New Roman"/>
          <w:bCs/>
          <w:i/>
          <w:iCs/>
          <w:color w:val="000000"/>
          <w:sz w:val="24"/>
          <w:szCs w:val="24"/>
        </w:rPr>
        <w:t xml:space="preserve">. </w:t>
      </w:r>
      <w:r w:rsidR="00C1716B">
        <w:rPr>
          <w:rFonts w:ascii="Times New Roman" w:eastAsia="Calibri" w:hAnsi="Times New Roman" w:cs="Times New Roman"/>
          <w:bCs/>
          <w:i/>
          <w:iCs/>
          <w:color w:val="000000"/>
          <w:sz w:val="24"/>
          <w:szCs w:val="24"/>
        </w:rPr>
        <w:t>Vypracovanie plánov udržateľnosti</w:t>
      </w:r>
    </w:p>
    <w:p w14:paraId="1BD326C3" w14:textId="58DBE3C2" w:rsidR="00C1716B" w:rsidRDefault="00C1716B" w:rsidP="00C1716B">
      <w:pPr>
        <w:jc w:val="both"/>
        <w:rPr>
          <w:rFonts w:ascii="Times New Roman" w:eastAsia="Calibri" w:hAnsi="Times New Roman" w:cs="Times New Roman"/>
          <w:bCs/>
          <w:color w:val="000000"/>
          <w:sz w:val="24"/>
          <w:szCs w:val="24"/>
        </w:rPr>
      </w:pPr>
      <w:r w:rsidRPr="00C1716B">
        <w:rPr>
          <w:rFonts w:ascii="Times New Roman" w:eastAsia="Calibri" w:hAnsi="Times New Roman" w:cs="Times New Roman"/>
          <w:bCs/>
          <w:color w:val="000000"/>
          <w:sz w:val="24"/>
          <w:szCs w:val="24"/>
        </w:rPr>
        <w:t xml:space="preserve">Predmetná regulácia zvyšuje administratívnu záťaž poisťovní, zaisťovní, pobočiek zahraničných poisťovní a pobočiek zahraničných zaisťovní. Časová náročnosť pre administratívne náklady bola </w:t>
      </w:r>
      <w:r w:rsidR="00375D16" w:rsidRPr="00375D16">
        <w:rPr>
          <w:rFonts w:ascii="Times New Roman" w:eastAsia="Calibri" w:hAnsi="Times New Roman" w:cs="Times New Roman"/>
          <w:bCs/>
          <w:color w:val="000000"/>
          <w:sz w:val="24"/>
          <w:szCs w:val="24"/>
        </w:rPr>
        <w:t xml:space="preserve">na základe expertného odhadu predkladateľa </w:t>
      </w:r>
      <w:r w:rsidRPr="00C1716B">
        <w:rPr>
          <w:rFonts w:ascii="Times New Roman" w:eastAsia="Calibri" w:hAnsi="Times New Roman" w:cs="Times New Roman"/>
          <w:bCs/>
          <w:color w:val="000000"/>
          <w:sz w:val="24"/>
          <w:szCs w:val="24"/>
        </w:rPr>
        <w:t xml:space="preserve">vypočítaná ako súčin 480 minút (osem hodín denne) a počtu pracovných dní potrebných </w:t>
      </w:r>
      <w:r w:rsidR="009B3221">
        <w:rPr>
          <w:rFonts w:ascii="Times New Roman" w:eastAsia="Calibri" w:hAnsi="Times New Roman" w:cs="Times New Roman"/>
          <w:bCs/>
          <w:color w:val="000000"/>
          <w:sz w:val="24"/>
          <w:szCs w:val="24"/>
        </w:rPr>
        <w:t>na vypracovanie plánov</w:t>
      </w:r>
      <w:r w:rsidRPr="00C1716B">
        <w:rPr>
          <w:rFonts w:ascii="Times New Roman" w:eastAsia="Calibri" w:hAnsi="Times New Roman" w:cs="Times New Roman"/>
          <w:bCs/>
          <w:color w:val="000000"/>
          <w:sz w:val="24"/>
          <w:szCs w:val="24"/>
        </w:rPr>
        <w:t>, ktorých odhadujeme v trvaní 1</w:t>
      </w:r>
      <w:r w:rsidR="00570103">
        <w:rPr>
          <w:rFonts w:ascii="Times New Roman" w:eastAsia="Calibri" w:hAnsi="Times New Roman" w:cs="Times New Roman"/>
          <w:bCs/>
          <w:color w:val="000000"/>
          <w:sz w:val="24"/>
          <w:szCs w:val="24"/>
        </w:rPr>
        <w:t>90</w:t>
      </w:r>
      <w:r w:rsidRPr="00C1716B">
        <w:rPr>
          <w:rFonts w:ascii="Times New Roman" w:eastAsia="Calibri" w:hAnsi="Times New Roman" w:cs="Times New Roman"/>
          <w:bCs/>
          <w:color w:val="000000"/>
          <w:sz w:val="24"/>
          <w:szCs w:val="24"/>
        </w:rPr>
        <w:t xml:space="preserve"> pracovných dní (t. j. 480 min. * 1</w:t>
      </w:r>
      <w:r>
        <w:rPr>
          <w:rFonts w:ascii="Times New Roman" w:eastAsia="Calibri" w:hAnsi="Times New Roman" w:cs="Times New Roman"/>
          <w:bCs/>
          <w:color w:val="000000"/>
          <w:sz w:val="24"/>
          <w:szCs w:val="24"/>
        </w:rPr>
        <w:t>90</w:t>
      </w:r>
      <w:r w:rsidRPr="00C1716B">
        <w:rPr>
          <w:rFonts w:ascii="Times New Roman" w:eastAsia="Calibri" w:hAnsi="Times New Roman" w:cs="Times New Roman"/>
          <w:bCs/>
          <w:color w:val="000000"/>
          <w:sz w:val="24"/>
          <w:szCs w:val="24"/>
        </w:rPr>
        <w:t xml:space="preserve"> pracovných dní = </w:t>
      </w:r>
      <w:r>
        <w:rPr>
          <w:rFonts w:ascii="Times New Roman" w:eastAsia="Calibri" w:hAnsi="Times New Roman" w:cs="Times New Roman"/>
          <w:bCs/>
          <w:color w:val="000000"/>
          <w:sz w:val="24"/>
          <w:szCs w:val="24"/>
        </w:rPr>
        <w:t>91</w:t>
      </w:r>
      <w:r w:rsidRPr="00C1716B">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rPr>
        <w:t>2</w:t>
      </w:r>
      <w:r w:rsidRPr="00C1716B">
        <w:rPr>
          <w:rFonts w:ascii="Times New Roman" w:eastAsia="Calibri" w:hAnsi="Times New Roman" w:cs="Times New Roman"/>
          <w:bCs/>
          <w:color w:val="000000"/>
          <w:sz w:val="24"/>
          <w:szCs w:val="24"/>
        </w:rPr>
        <w:t>00 min.) na jeden subjekt. Frekvencia plnenia bola na základe vyššie uvedenej kvantifikácie určená ako nepravidelná.</w:t>
      </w:r>
    </w:p>
    <w:p w14:paraId="045F37C3" w14:textId="7BEE4953" w:rsidR="00C1716B" w:rsidRDefault="00FA3F0B" w:rsidP="00C1716B">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5</w:t>
      </w:r>
      <w:r w:rsidR="00C1716B">
        <w:rPr>
          <w:rFonts w:ascii="Times New Roman" w:eastAsia="Calibri" w:hAnsi="Times New Roman" w:cs="Times New Roman"/>
          <w:bCs/>
          <w:i/>
          <w:iCs/>
          <w:color w:val="000000"/>
          <w:sz w:val="24"/>
          <w:szCs w:val="24"/>
        </w:rPr>
        <w:t xml:space="preserve">. </w:t>
      </w:r>
      <w:r w:rsidR="00D475AB">
        <w:rPr>
          <w:rFonts w:ascii="Times New Roman" w:eastAsia="Calibri" w:hAnsi="Times New Roman" w:cs="Times New Roman"/>
          <w:bCs/>
          <w:i/>
          <w:iCs/>
          <w:color w:val="000000"/>
          <w:sz w:val="24"/>
          <w:szCs w:val="24"/>
        </w:rPr>
        <w:t>Zverejňovanie kvantifikovateľných cieľov</w:t>
      </w:r>
    </w:p>
    <w:p w14:paraId="1F9F690A" w14:textId="723C8E75" w:rsidR="00D475AB" w:rsidRDefault="00D475AB" w:rsidP="00D475AB">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Uvedená</w:t>
      </w:r>
      <w:r w:rsidRPr="00D475AB">
        <w:rPr>
          <w:rFonts w:ascii="Times New Roman" w:eastAsia="Calibri" w:hAnsi="Times New Roman" w:cs="Times New Roman"/>
          <w:bCs/>
          <w:color w:val="000000"/>
          <w:sz w:val="24"/>
          <w:szCs w:val="24"/>
        </w:rPr>
        <w:t xml:space="preserve"> regulácia zvyšuje administratívnu záťaž</w:t>
      </w:r>
      <w:r>
        <w:rPr>
          <w:rFonts w:ascii="Times New Roman" w:eastAsia="Calibri" w:hAnsi="Times New Roman" w:cs="Times New Roman"/>
          <w:bCs/>
          <w:color w:val="000000"/>
          <w:sz w:val="24"/>
          <w:szCs w:val="24"/>
        </w:rPr>
        <w:t xml:space="preserve"> </w:t>
      </w:r>
      <w:r w:rsidRPr="00D475AB">
        <w:rPr>
          <w:rFonts w:ascii="Times New Roman" w:eastAsia="Calibri" w:hAnsi="Times New Roman" w:cs="Times New Roman"/>
          <w:bCs/>
          <w:color w:val="000000"/>
          <w:sz w:val="24"/>
          <w:szCs w:val="24"/>
        </w:rPr>
        <w:t>poisťovní, zaisťovní, pobočiek zahraničných poisťovní a pobočiek zahraničných zaisťovní</w:t>
      </w:r>
      <w:r>
        <w:rPr>
          <w:rFonts w:ascii="Times New Roman" w:eastAsia="Calibri" w:hAnsi="Times New Roman" w:cs="Times New Roman"/>
          <w:bCs/>
          <w:color w:val="000000"/>
          <w:sz w:val="24"/>
          <w:szCs w:val="24"/>
        </w:rPr>
        <w:t xml:space="preserve"> vyplývajúcu zo zverejňovania kvantifikovateľných cieľov zahrnutých do plánov ud</w:t>
      </w:r>
      <w:r w:rsidR="0008142F">
        <w:rPr>
          <w:rFonts w:ascii="Times New Roman" w:eastAsia="Calibri" w:hAnsi="Times New Roman" w:cs="Times New Roman"/>
          <w:bCs/>
          <w:color w:val="000000"/>
          <w:sz w:val="24"/>
          <w:szCs w:val="24"/>
        </w:rPr>
        <w:t>ržateľnosti.</w:t>
      </w:r>
      <w:r w:rsidRPr="00D475AB">
        <w:rPr>
          <w:rFonts w:ascii="Times New Roman" w:eastAsia="Calibri" w:hAnsi="Times New Roman" w:cs="Times New Roman"/>
          <w:bCs/>
          <w:color w:val="000000"/>
          <w:sz w:val="24"/>
          <w:szCs w:val="24"/>
        </w:rPr>
        <w:t xml:space="preserve"> Frekvencia plnenia </w:t>
      </w:r>
      <w:r w:rsidR="0008142F">
        <w:rPr>
          <w:rFonts w:ascii="Times New Roman" w:eastAsia="Calibri" w:hAnsi="Times New Roman" w:cs="Times New Roman"/>
          <w:bCs/>
          <w:color w:val="000000"/>
          <w:sz w:val="24"/>
          <w:szCs w:val="24"/>
        </w:rPr>
        <w:t>je na základe navrhovanej právnej úpravy</w:t>
      </w:r>
      <w:r w:rsidRPr="00D475AB">
        <w:rPr>
          <w:rFonts w:ascii="Times New Roman" w:eastAsia="Calibri" w:hAnsi="Times New Roman" w:cs="Times New Roman"/>
          <w:bCs/>
          <w:color w:val="000000"/>
          <w:sz w:val="24"/>
          <w:szCs w:val="24"/>
        </w:rPr>
        <w:t xml:space="preserve"> určená na 1-krát ročne.</w:t>
      </w:r>
    </w:p>
    <w:p w14:paraId="56AB4DAC" w14:textId="68485495" w:rsidR="0008142F" w:rsidRDefault="00FA3F0B" w:rsidP="0008142F">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6</w:t>
      </w:r>
      <w:r w:rsidR="0008142F">
        <w:rPr>
          <w:rFonts w:ascii="Times New Roman" w:eastAsia="Calibri" w:hAnsi="Times New Roman" w:cs="Times New Roman"/>
          <w:bCs/>
          <w:i/>
          <w:iCs/>
          <w:color w:val="000000"/>
          <w:sz w:val="24"/>
          <w:szCs w:val="24"/>
        </w:rPr>
        <w:t>. Analýza scenára klimatických zmien</w:t>
      </w:r>
    </w:p>
    <w:p w14:paraId="5EED2FE8" w14:textId="370B22E7" w:rsidR="0008142F" w:rsidRDefault="008B5C8A" w:rsidP="0008142F">
      <w:pPr>
        <w:jc w:val="both"/>
        <w:rPr>
          <w:rFonts w:ascii="Times New Roman" w:eastAsia="Calibri" w:hAnsi="Times New Roman" w:cs="Times New Roman"/>
          <w:bCs/>
          <w:color w:val="000000"/>
          <w:sz w:val="24"/>
          <w:szCs w:val="24"/>
        </w:rPr>
      </w:pPr>
      <w:r w:rsidRPr="008B5C8A">
        <w:rPr>
          <w:rFonts w:ascii="Times New Roman" w:eastAsia="Calibri" w:hAnsi="Times New Roman" w:cs="Times New Roman"/>
          <w:bCs/>
          <w:color w:val="000000"/>
          <w:sz w:val="24"/>
          <w:szCs w:val="24"/>
        </w:rPr>
        <w:t xml:space="preserve">Predmetná regulácia zvyšuje administratívnu záťaž poisťovní, zaisťovní, pobočiek zahraničných poisťovní a pobočiek zahraničných zaisťovní. Časová náročnosť pre administratívne náklady bola </w:t>
      </w:r>
      <w:r w:rsidR="00375D16" w:rsidRPr="00375D16">
        <w:rPr>
          <w:rFonts w:ascii="Times New Roman" w:eastAsia="Calibri" w:hAnsi="Times New Roman" w:cs="Times New Roman"/>
          <w:bCs/>
          <w:color w:val="000000"/>
          <w:sz w:val="24"/>
          <w:szCs w:val="24"/>
        </w:rPr>
        <w:t xml:space="preserve">základe expertného odhadu predkladateľa </w:t>
      </w:r>
      <w:r w:rsidRPr="008B5C8A">
        <w:rPr>
          <w:rFonts w:ascii="Times New Roman" w:eastAsia="Calibri" w:hAnsi="Times New Roman" w:cs="Times New Roman"/>
          <w:bCs/>
          <w:color w:val="000000"/>
          <w:sz w:val="24"/>
          <w:szCs w:val="24"/>
        </w:rPr>
        <w:t xml:space="preserve">vypočítaná ako súčin 480 minút (osem hodín denne) a počtu pracovných dní potrebných </w:t>
      </w:r>
      <w:r>
        <w:rPr>
          <w:rFonts w:ascii="Times New Roman" w:eastAsia="Calibri" w:hAnsi="Times New Roman" w:cs="Times New Roman"/>
          <w:bCs/>
          <w:color w:val="000000"/>
          <w:sz w:val="24"/>
          <w:szCs w:val="24"/>
        </w:rPr>
        <w:t>vypracovanie analýzy scenára klimatických zmien</w:t>
      </w:r>
      <w:r w:rsidRPr="008B5C8A">
        <w:rPr>
          <w:rFonts w:ascii="Times New Roman" w:eastAsia="Calibri" w:hAnsi="Times New Roman" w:cs="Times New Roman"/>
          <w:bCs/>
          <w:color w:val="000000"/>
          <w:sz w:val="24"/>
          <w:szCs w:val="24"/>
        </w:rPr>
        <w:t xml:space="preserve">, ktorých odhadujeme v trvaní 125 pracovných dní (t. j. 480 min. * 125 pracovných dní = 60.000 min.) na jeden subjekt. Frekvencia plnenia bola na základe vyššie uvedenej kvantifikácie určená ako </w:t>
      </w:r>
      <w:r>
        <w:rPr>
          <w:rFonts w:ascii="Times New Roman" w:eastAsia="Calibri" w:hAnsi="Times New Roman" w:cs="Times New Roman"/>
          <w:bCs/>
          <w:color w:val="000000"/>
          <w:sz w:val="24"/>
          <w:szCs w:val="24"/>
        </w:rPr>
        <w:t>raz za tri roky</w:t>
      </w:r>
      <w:r w:rsidRPr="008B5C8A">
        <w:rPr>
          <w:rFonts w:ascii="Times New Roman" w:eastAsia="Calibri" w:hAnsi="Times New Roman" w:cs="Times New Roman"/>
          <w:bCs/>
          <w:color w:val="000000"/>
          <w:sz w:val="24"/>
          <w:szCs w:val="24"/>
        </w:rPr>
        <w:t>.</w:t>
      </w:r>
    </w:p>
    <w:p w14:paraId="4D6FB51B" w14:textId="26B3D7E2" w:rsidR="00694476" w:rsidRDefault="00FA3F0B" w:rsidP="00694476">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7</w:t>
      </w:r>
      <w:r w:rsidR="00694476">
        <w:rPr>
          <w:rFonts w:ascii="Times New Roman" w:eastAsia="Calibri" w:hAnsi="Times New Roman" w:cs="Times New Roman"/>
          <w:bCs/>
          <w:i/>
          <w:iCs/>
          <w:color w:val="000000"/>
          <w:sz w:val="24"/>
          <w:szCs w:val="24"/>
        </w:rPr>
        <w:t>. Správa o solventnosti a finančnom stave</w:t>
      </w:r>
    </w:p>
    <w:p w14:paraId="26601DA4" w14:textId="74D2D6D8" w:rsidR="00694476" w:rsidRDefault="00694476" w:rsidP="00694476">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P</w:t>
      </w:r>
      <w:r w:rsidRPr="008B5C8A">
        <w:rPr>
          <w:rFonts w:ascii="Times New Roman" w:eastAsia="Calibri" w:hAnsi="Times New Roman" w:cs="Times New Roman"/>
          <w:bCs/>
          <w:color w:val="000000"/>
          <w:sz w:val="24"/>
          <w:szCs w:val="24"/>
        </w:rPr>
        <w:t>oisťov</w:t>
      </w:r>
      <w:r>
        <w:rPr>
          <w:rFonts w:ascii="Times New Roman" w:eastAsia="Calibri" w:hAnsi="Times New Roman" w:cs="Times New Roman"/>
          <w:bCs/>
          <w:color w:val="000000"/>
          <w:sz w:val="24"/>
          <w:szCs w:val="24"/>
        </w:rPr>
        <w:t>niam</w:t>
      </w:r>
      <w:r w:rsidRPr="008B5C8A">
        <w:rPr>
          <w:rFonts w:ascii="Times New Roman" w:eastAsia="Calibri" w:hAnsi="Times New Roman" w:cs="Times New Roman"/>
          <w:bCs/>
          <w:color w:val="000000"/>
          <w:sz w:val="24"/>
          <w:szCs w:val="24"/>
        </w:rPr>
        <w:t>, zaisťov</w:t>
      </w:r>
      <w:r>
        <w:rPr>
          <w:rFonts w:ascii="Times New Roman" w:eastAsia="Calibri" w:hAnsi="Times New Roman" w:cs="Times New Roman"/>
          <w:bCs/>
          <w:color w:val="000000"/>
          <w:sz w:val="24"/>
          <w:szCs w:val="24"/>
        </w:rPr>
        <w:t>niam</w:t>
      </w:r>
      <w:r w:rsidRPr="008B5C8A">
        <w:rPr>
          <w:rFonts w:ascii="Times New Roman" w:eastAsia="Calibri" w:hAnsi="Times New Roman" w:cs="Times New Roman"/>
          <w:bCs/>
          <w:color w:val="000000"/>
          <w:sz w:val="24"/>
          <w:szCs w:val="24"/>
        </w:rPr>
        <w:t>, pobočk</w:t>
      </w:r>
      <w:r>
        <w:rPr>
          <w:rFonts w:ascii="Times New Roman" w:eastAsia="Calibri" w:hAnsi="Times New Roman" w:cs="Times New Roman"/>
          <w:bCs/>
          <w:color w:val="000000"/>
          <w:sz w:val="24"/>
          <w:szCs w:val="24"/>
        </w:rPr>
        <w:t>ám</w:t>
      </w:r>
      <w:r w:rsidRPr="008B5C8A">
        <w:rPr>
          <w:rFonts w:ascii="Times New Roman" w:eastAsia="Calibri" w:hAnsi="Times New Roman" w:cs="Times New Roman"/>
          <w:bCs/>
          <w:color w:val="000000"/>
          <w:sz w:val="24"/>
          <w:szCs w:val="24"/>
        </w:rPr>
        <w:t xml:space="preserve"> zahraničných poisťovní a pobočk</w:t>
      </w:r>
      <w:r>
        <w:rPr>
          <w:rFonts w:ascii="Times New Roman" w:eastAsia="Calibri" w:hAnsi="Times New Roman" w:cs="Times New Roman"/>
          <w:bCs/>
          <w:color w:val="000000"/>
          <w:sz w:val="24"/>
          <w:szCs w:val="24"/>
        </w:rPr>
        <w:t>ám</w:t>
      </w:r>
      <w:r w:rsidRPr="008B5C8A">
        <w:rPr>
          <w:rFonts w:ascii="Times New Roman" w:eastAsia="Calibri" w:hAnsi="Times New Roman" w:cs="Times New Roman"/>
          <w:bCs/>
          <w:color w:val="000000"/>
          <w:sz w:val="24"/>
          <w:szCs w:val="24"/>
        </w:rPr>
        <w:t xml:space="preserve"> zahraničných zaisťovní</w:t>
      </w:r>
      <w:r>
        <w:rPr>
          <w:rFonts w:ascii="Times New Roman" w:eastAsia="Calibri" w:hAnsi="Times New Roman" w:cs="Times New Roman"/>
          <w:bCs/>
          <w:color w:val="000000"/>
          <w:sz w:val="24"/>
          <w:szCs w:val="24"/>
        </w:rPr>
        <w:t xml:space="preserve"> uvedená</w:t>
      </w:r>
      <w:r w:rsidRPr="00694476">
        <w:rPr>
          <w:rFonts w:ascii="Times New Roman" w:eastAsia="Calibri" w:hAnsi="Times New Roman" w:cs="Times New Roman"/>
          <w:bCs/>
          <w:color w:val="000000"/>
          <w:sz w:val="24"/>
          <w:szCs w:val="24"/>
        </w:rPr>
        <w:t xml:space="preserve"> regulácia zvyšuje administratívnu záťaž</w:t>
      </w:r>
      <w:r w:rsidRPr="008B5C8A">
        <w:rPr>
          <w:rFonts w:ascii="Times New Roman" w:eastAsia="Calibri" w:hAnsi="Times New Roman" w:cs="Times New Roman"/>
          <w:bCs/>
          <w:color w:val="000000"/>
          <w:sz w:val="24"/>
          <w:szCs w:val="24"/>
        </w:rPr>
        <w:t xml:space="preserve">. Časová náročnosť pre administratívne náklady bola </w:t>
      </w:r>
      <w:r w:rsidR="00375D16" w:rsidRPr="00375D16">
        <w:rPr>
          <w:rFonts w:ascii="Times New Roman" w:eastAsia="Calibri" w:hAnsi="Times New Roman" w:cs="Times New Roman"/>
          <w:bCs/>
          <w:color w:val="000000"/>
          <w:sz w:val="24"/>
          <w:szCs w:val="24"/>
        </w:rPr>
        <w:t xml:space="preserve">na základe expertného odhadu predkladateľa </w:t>
      </w:r>
      <w:r w:rsidRPr="008B5C8A">
        <w:rPr>
          <w:rFonts w:ascii="Times New Roman" w:eastAsia="Calibri" w:hAnsi="Times New Roman" w:cs="Times New Roman"/>
          <w:bCs/>
          <w:color w:val="000000"/>
          <w:sz w:val="24"/>
          <w:szCs w:val="24"/>
        </w:rPr>
        <w:t xml:space="preserve">vypočítaná ako súčin 480 minút (osem hodín denne) a počtu pracovných dní potrebných </w:t>
      </w:r>
      <w:r>
        <w:rPr>
          <w:rFonts w:ascii="Times New Roman" w:eastAsia="Calibri" w:hAnsi="Times New Roman" w:cs="Times New Roman"/>
          <w:bCs/>
          <w:color w:val="000000"/>
          <w:sz w:val="24"/>
          <w:szCs w:val="24"/>
        </w:rPr>
        <w:t xml:space="preserve">vypracovanie </w:t>
      </w:r>
      <w:r w:rsidR="009B3221">
        <w:rPr>
          <w:rFonts w:ascii="Times New Roman" w:eastAsia="Calibri" w:hAnsi="Times New Roman" w:cs="Times New Roman"/>
          <w:bCs/>
          <w:color w:val="000000"/>
          <w:sz w:val="24"/>
          <w:szCs w:val="24"/>
        </w:rPr>
        <w:t>správy</w:t>
      </w:r>
      <w:r w:rsidRPr="008B5C8A">
        <w:rPr>
          <w:rFonts w:ascii="Times New Roman" w:eastAsia="Calibri" w:hAnsi="Times New Roman" w:cs="Times New Roman"/>
          <w:bCs/>
          <w:color w:val="000000"/>
          <w:sz w:val="24"/>
          <w:szCs w:val="24"/>
        </w:rPr>
        <w:t xml:space="preserve">, ktorých odhadujeme v trvaní </w:t>
      </w:r>
      <w:r>
        <w:rPr>
          <w:rFonts w:ascii="Times New Roman" w:eastAsia="Calibri" w:hAnsi="Times New Roman" w:cs="Times New Roman"/>
          <w:bCs/>
          <w:color w:val="000000"/>
          <w:sz w:val="24"/>
          <w:szCs w:val="24"/>
        </w:rPr>
        <w:t>65</w:t>
      </w:r>
      <w:r w:rsidRPr="008B5C8A">
        <w:rPr>
          <w:rFonts w:ascii="Times New Roman" w:eastAsia="Calibri" w:hAnsi="Times New Roman" w:cs="Times New Roman"/>
          <w:bCs/>
          <w:color w:val="000000"/>
          <w:sz w:val="24"/>
          <w:szCs w:val="24"/>
        </w:rPr>
        <w:t xml:space="preserve"> pracovných dní (t. j. 480 min. * </w:t>
      </w:r>
      <w:r>
        <w:rPr>
          <w:rFonts w:ascii="Times New Roman" w:eastAsia="Calibri" w:hAnsi="Times New Roman" w:cs="Times New Roman"/>
          <w:bCs/>
          <w:color w:val="000000"/>
          <w:sz w:val="24"/>
          <w:szCs w:val="24"/>
        </w:rPr>
        <w:t>65</w:t>
      </w:r>
      <w:r w:rsidRPr="008B5C8A">
        <w:rPr>
          <w:rFonts w:ascii="Times New Roman" w:eastAsia="Calibri" w:hAnsi="Times New Roman" w:cs="Times New Roman"/>
          <w:bCs/>
          <w:color w:val="000000"/>
          <w:sz w:val="24"/>
          <w:szCs w:val="24"/>
        </w:rPr>
        <w:t xml:space="preserve"> pracovných dní = </w:t>
      </w:r>
      <w:r>
        <w:rPr>
          <w:rFonts w:ascii="Times New Roman" w:eastAsia="Calibri" w:hAnsi="Times New Roman" w:cs="Times New Roman"/>
          <w:bCs/>
          <w:color w:val="000000"/>
          <w:sz w:val="24"/>
          <w:szCs w:val="24"/>
        </w:rPr>
        <w:t>31</w:t>
      </w:r>
      <w:r w:rsidRPr="008B5C8A">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rPr>
        <w:t>2</w:t>
      </w:r>
      <w:r w:rsidRPr="008B5C8A">
        <w:rPr>
          <w:rFonts w:ascii="Times New Roman" w:eastAsia="Calibri" w:hAnsi="Times New Roman" w:cs="Times New Roman"/>
          <w:bCs/>
          <w:color w:val="000000"/>
          <w:sz w:val="24"/>
          <w:szCs w:val="24"/>
        </w:rPr>
        <w:t xml:space="preserve">00 min.) na jeden subjekt. Frekvencia plnenia bola na základe vyššie uvedenej kvantifikácie určená ako </w:t>
      </w:r>
      <w:r>
        <w:rPr>
          <w:rFonts w:ascii="Times New Roman" w:eastAsia="Calibri" w:hAnsi="Times New Roman" w:cs="Times New Roman"/>
          <w:bCs/>
          <w:color w:val="000000"/>
          <w:sz w:val="24"/>
          <w:szCs w:val="24"/>
        </w:rPr>
        <w:t>1-krát ročne</w:t>
      </w:r>
      <w:r w:rsidRPr="008B5C8A">
        <w:rPr>
          <w:rFonts w:ascii="Times New Roman" w:eastAsia="Calibri" w:hAnsi="Times New Roman" w:cs="Times New Roman"/>
          <w:bCs/>
          <w:color w:val="000000"/>
          <w:sz w:val="24"/>
          <w:szCs w:val="24"/>
        </w:rPr>
        <w:t>.</w:t>
      </w:r>
    </w:p>
    <w:p w14:paraId="791BEE41" w14:textId="74AF63A5" w:rsidR="00E25B84" w:rsidRPr="00E25B84" w:rsidRDefault="00FA3F0B" w:rsidP="00E25B84">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8</w:t>
      </w:r>
      <w:r w:rsidR="00E25B84">
        <w:rPr>
          <w:rFonts w:ascii="Times New Roman" w:eastAsia="Calibri" w:hAnsi="Times New Roman" w:cs="Times New Roman"/>
          <w:bCs/>
          <w:i/>
          <w:iCs/>
          <w:color w:val="000000"/>
          <w:sz w:val="24"/>
          <w:szCs w:val="24"/>
        </w:rPr>
        <w:t xml:space="preserve">. </w:t>
      </w:r>
      <w:r w:rsidR="00783D6F">
        <w:rPr>
          <w:rFonts w:ascii="Times New Roman" w:eastAsia="Calibri" w:hAnsi="Times New Roman" w:cs="Times New Roman"/>
          <w:bCs/>
          <w:i/>
          <w:iCs/>
          <w:color w:val="000000"/>
          <w:sz w:val="24"/>
          <w:szCs w:val="24"/>
        </w:rPr>
        <w:t>E</w:t>
      </w:r>
      <w:r w:rsidR="00E25B84">
        <w:rPr>
          <w:rFonts w:ascii="Times New Roman" w:eastAsia="Calibri" w:hAnsi="Times New Roman" w:cs="Times New Roman"/>
          <w:bCs/>
          <w:i/>
          <w:iCs/>
          <w:color w:val="000000"/>
          <w:sz w:val="24"/>
          <w:szCs w:val="24"/>
        </w:rPr>
        <w:t>videnci</w:t>
      </w:r>
      <w:r w:rsidR="00783D6F">
        <w:rPr>
          <w:rFonts w:ascii="Times New Roman" w:eastAsia="Calibri" w:hAnsi="Times New Roman" w:cs="Times New Roman"/>
          <w:bCs/>
          <w:i/>
          <w:iCs/>
          <w:color w:val="000000"/>
          <w:sz w:val="24"/>
          <w:szCs w:val="24"/>
        </w:rPr>
        <w:t>a</w:t>
      </w:r>
      <w:r w:rsidR="00E25B84">
        <w:rPr>
          <w:rFonts w:ascii="Times New Roman" w:eastAsia="Calibri" w:hAnsi="Times New Roman" w:cs="Times New Roman"/>
          <w:bCs/>
          <w:i/>
          <w:iCs/>
          <w:color w:val="000000"/>
          <w:sz w:val="24"/>
          <w:szCs w:val="24"/>
        </w:rPr>
        <w:t xml:space="preserve"> aktív</w:t>
      </w:r>
    </w:p>
    <w:p w14:paraId="0C14E261" w14:textId="7AB6E6C8" w:rsidR="00694476" w:rsidRDefault="00783D6F" w:rsidP="00694476">
      <w:pPr>
        <w:jc w:val="both"/>
        <w:rPr>
          <w:rFonts w:ascii="Times New Roman" w:eastAsia="Calibri" w:hAnsi="Times New Roman" w:cs="Times New Roman"/>
          <w:bCs/>
          <w:color w:val="000000"/>
          <w:sz w:val="24"/>
          <w:szCs w:val="24"/>
        </w:rPr>
      </w:pPr>
      <w:r w:rsidRPr="00783D6F">
        <w:rPr>
          <w:rFonts w:ascii="Times New Roman" w:eastAsia="Calibri" w:hAnsi="Times New Roman" w:cs="Times New Roman"/>
          <w:bCs/>
          <w:color w:val="000000"/>
          <w:sz w:val="24"/>
          <w:szCs w:val="24"/>
        </w:rPr>
        <w:t>Predmetná regulácia zvyšuje administratívnu záťaž poisťovní. Časová náročnosť pre administratívne náklady bola vypočítaná ako súčin 480 minút (osem hodín denne) a počtu pracovných dní, ktorých</w:t>
      </w:r>
      <w:r w:rsidR="00375D16" w:rsidRPr="00375D16">
        <w:rPr>
          <w:rFonts w:ascii="Times New Roman" w:eastAsia="Calibri" w:hAnsi="Times New Roman" w:cs="Times New Roman"/>
          <w:bCs/>
          <w:color w:val="000000"/>
          <w:sz w:val="24"/>
          <w:szCs w:val="24"/>
        </w:rPr>
        <w:t xml:space="preserve"> na základe expertného odhadu predkladateľa </w:t>
      </w:r>
      <w:r w:rsidRPr="00783D6F">
        <w:rPr>
          <w:rFonts w:ascii="Times New Roman" w:eastAsia="Calibri" w:hAnsi="Times New Roman" w:cs="Times New Roman"/>
          <w:bCs/>
          <w:color w:val="000000"/>
          <w:sz w:val="24"/>
          <w:szCs w:val="24"/>
        </w:rPr>
        <w:t>odhadujeme v trvaní 2</w:t>
      </w:r>
      <w:r>
        <w:rPr>
          <w:rFonts w:ascii="Times New Roman" w:eastAsia="Calibri" w:hAnsi="Times New Roman" w:cs="Times New Roman"/>
          <w:bCs/>
          <w:color w:val="000000"/>
          <w:sz w:val="24"/>
          <w:szCs w:val="24"/>
        </w:rPr>
        <w:t>0</w:t>
      </w:r>
      <w:r w:rsidRPr="00783D6F">
        <w:rPr>
          <w:rFonts w:ascii="Times New Roman" w:eastAsia="Calibri" w:hAnsi="Times New Roman" w:cs="Times New Roman"/>
          <w:bCs/>
          <w:color w:val="000000"/>
          <w:sz w:val="24"/>
          <w:szCs w:val="24"/>
        </w:rPr>
        <w:t xml:space="preserve"> </w:t>
      </w:r>
      <w:r w:rsidRPr="00783D6F">
        <w:rPr>
          <w:rFonts w:ascii="Times New Roman" w:eastAsia="Calibri" w:hAnsi="Times New Roman" w:cs="Times New Roman"/>
          <w:bCs/>
          <w:color w:val="000000"/>
          <w:sz w:val="24"/>
          <w:szCs w:val="24"/>
        </w:rPr>
        <w:lastRenderedPageBreak/>
        <w:t xml:space="preserve">pracovných dní (t. j. 480 min. * </w:t>
      </w:r>
      <w:r>
        <w:rPr>
          <w:rFonts w:ascii="Times New Roman" w:eastAsia="Calibri" w:hAnsi="Times New Roman" w:cs="Times New Roman"/>
          <w:bCs/>
          <w:color w:val="000000"/>
          <w:sz w:val="24"/>
          <w:szCs w:val="24"/>
        </w:rPr>
        <w:t>2</w:t>
      </w:r>
      <w:r w:rsidRPr="00783D6F">
        <w:rPr>
          <w:rFonts w:ascii="Times New Roman" w:eastAsia="Calibri" w:hAnsi="Times New Roman" w:cs="Times New Roman"/>
          <w:bCs/>
          <w:color w:val="000000"/>
          <w:sz w:val="24"/>
          <w:szCs w:val="24"/>
        </w:rPr>
        <w:t>0 pracovných dní = 9.</w:t>
      </w:r>
      <w:r>
        <w:rPr>
          <w:rFonts w:ascii="Times New Roman" w:eastAsia="Calibri" w:hAnsi="Times New Roman" w:cs="Times New Roman"/>
          <w:bCs/>
          <w:color w:val="000000"/>
          <w:sz w:val="24"/>
          <w:szCs w:val="24"/>
        </w:rPr>
        <w:t>6</w:t>
      </w:r>
      <w:r w:rsidRPr="00783D6F">
        <w:rPr>
          <w:rFonts w:ascii="Times New Roman" w:eastAsia="Calibri" w:hAnsi="Times New Roman" w:cs="Times New Roman"/>
          <w:bCs/>
          <w:color w:val="000000"/>
          <w:sz w:val="24"/>
          <w:szCs w:val="24"/>
        </w:rPr>
        <w:t>00 min.) na jeden subjekt. Frekvencia plnenia bola na základe vyššie uvedenej kvantifikácie určená ako nepravidelná.</w:t>
      </w:r>
    </w:p>
    <w:p w14:paraId="74B5D0AF" w14:textId="36CDED72" w:rsidR="008B5FD7" w:rsidRDefault="00FA3F0B" w:rsidP="008B5FD7">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9</w:t>
      </w:r>
      <w:r w:rsidR="008B5FD7">
        <w:rPr>
          <w:rFonts w:ascii="Times New Roman" w:eastAsia="Calibri" w:hAnsi="Times New Roman" w:cs="Times New Roman"/>
          <w:bCs/>
          <w:i/>
          <w:iCs/>
          <w:color w:val="000000"/>
          <w:sz w:val="24"/>
          <w:szCs w:val="24"/>
        </w:rPr>
        <w:t>. Proporcionality poisťovní a zaisťovní</w:t>
      </w:r>
    </w:p>
    <w:p w14:paraId="7D22E9C2" w14:textId="76B40D81" w:rsidR="008B5FD7" w:rsidRDefault="00630D28" w:rsidP="008B5FD7">
      <w:pPr>
        <w:jc w:val="both"/>
        <w:rPr>
          <w:rFonts w:ascii="Times New Roman" w:eastAsia="Calibri" w:hAnsi="Times New Roman" w:cs="Times New Roman"/>
          <w:bCs/>
          <w:color w:val="000000"/>
          <w:sz w:val="24"/>
          <w:szCs w:val="24"/>
        </w:rPr>
      </w:pPr>
      <w:r w:rsidRPr="00630D28">
        <w:rPr>
          <w:rFonts w:ascii="Times New Roman" w:eastAsia="Calibri" w:hAnsi="Times New Roman" w:cs="Times New Roman"/>
          <w:bCs/>
          <w:color w:val="000000"/>
          <w:sz w:val="24"/>
          <w:szCs w:val="24"/>
        </w:rPr>
        <w:t xml:space="preserve">Regulácia zvyšuje administratívne náklady poisťovní a zaisťovní. </w:t>
      </w:r>
      <w:r>
        <w:rPr>
          <w:rFonts w:ascii="Times New Roman" w:eastAsia="Calibri" w:hAnsi="Times New Roman" w:cs="Times New Roman"/>
          <w:bCs/>
          <w:color w:val="000000"/>
          <w:sz w:val="24"/>
          <w:szCs w:val="24"/>
        </w:rPr>
        <w:t xml:space="preserve">Poisťovne a zaisťovne môžu požiadať o používanie niektorého z opatrení v oblasti proporcionality. </w:t>
      </w:r>
      <w:r w:rsidRPr="00630D28">
        <w:rPr>
          <w:rFonts w:ascii="Times New Roman" w:eastAsia="Calibri" w:hAnsi="Times New Roman" w:cs="Times New Roman"/>
          <w:bCs/>
          <w:color w:val="000000"/>
          <w:sz w:val="24"/>
          <w:szCs w:val="24"/>
        </w:rPr>
        <w:t>Frekvencia plnenia tejto povinnosti je nepravidelná</w:t>
      </w:r>
      <w:r>
        <w:rPr>
          <w:rFonts w:ascii="Times New Roman" w:eastAsia="Calibri" w:hAnsi="Times New Roman" w:cs="Times New Roman"/>
          <w:bCs/>
          <w:color w:val="000000"/>
          <w:sz w:val="24"/>
          <w:szCs w:val="24"/>
        </w:rPr>
        <w:t xml:space="preserve"> a závisí od rozhodnutia poisťovne alebo zaisťovne či chce využiť možnosti v oblasti proporcionality.</w:t>
      </w:r>
    </w:p>
    <w:p w14:paraId="50819D63" w14:textId="6DC421D2" w:rsidR="00FF7B8D" w:rsidRPr="00FF7B8D" w:rsidRDefault="00FF7B8D" w:rsidP="00FF7B8D">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1</w:t>
      </w:r>
      <w:r w:rsidR="00FA3F0B">
        <w:rPr>
          <w:rFonts w:ascii="Times New Roman" w:eastAsia="Calibri" w:hAnsi="Times New Roman" w:cs="Times New Roman"/>
          <w:bCs/>
          <w:i/>
          <w:iCs/>
          <w:color w:val="000000"/>
          <w:sz w:val="24"/>
          <w:szCs w:val="24"/>
        </w:rPr>
        <w:t>0</w:t>
      </w:r>
      <w:r>
        <w:rPr>
          <w:rFonts w:ascii="Times New Roman" w:eastAsia="Calibri" w:hAnsi="Times New Roman" w:cs="Times New Roman"/>
          <w:bCs/>
          <w:i/>
          <w:iCs/>
          <w:color w:val="000000"/>
          <w:sz w:val="24"/>
          <w:szCs w:val="24"/>
        </w:rPr>
        <w:t>. Monitorovanie opatrení proporcionality</w:t>
      </w:r>
    </w:p>
    <w:p w14:paraId="7400BE3C" w14:textId="7A3C3826" w:rsidR="00A53296" w:rsidRPr="00FF7B8D" w:rsidRDefault="00FF7B8D" w:rsidP="00A53296">
      <w:pPr>
        <w:jc w:val="both"/>
        <w:rPr>
          <w:rFonts w:ascii="Times New Roman" w:eastAsia="Calibri" w:hAnsi="Times New Roman" w:cs="Times New Roman"/>
          <w:bCs/>
          <w:color w:val="000000"/>
          <w:sz w:val="24"/>
          <w:szCs w:val="24"/>
        </w:rPr>
      </w:pPr>
      <w:r w:rsidRPr="00FF7B8D">
        <w:rPr>
          <w:rFonts w:ascii="Times New Roman" w:eastAsia="Calibri" w:hAnsi="Times New Roman" w:cs="Times New Roman"/>
          <w:bCs/>
          <w:color w:val="000000"/>
          <w:sz w:val="24"/>
          <w:szCs w:val="24"/>
        </w:rPr>
        <w:t>Regulácia zvyšuje administratívne náklady poisťovní</w:t>
      </w:r>
      <w:r>
        <w:rPr>
          <w:rFonts w:ascii="Times New Roman" w:eastAsia="Calibri" w:hAnsi="Times New Roman" w:cs="Times New Roman"/>
          <w:bCs/>
          <w:color w:val="000000"/>
          <w:sz w:val="24"/>
          <w:szCs w:val="24"/>
        </w:rPr>
        <w:t xml:space="preserve">, </w:t>
      </w:r>
      <w:r w:rsidRPr="00FF7B8D">
        <w:rPr>
          <w:rFonts w:ascii="Times New Roman" w:eastAsia="Calibri" w:hAnsi="Times New Roman" w:cs="Times New Roman"/>
          <w:bCs/>
          <w:color w:val="000000"/>
          <w:sz w:val="24"/>
          <w:szCs w:val="24"/>
        </w:rPr>
        <w:t>zaisťovní</w:t>
      </w:r>
      <w:r>
        <w:rPr>
          <w:rFonts w:ascii="Times New Roman" w:eastAsia="Calibri" w:hAnsi="Times New Roman" w:cs="Times New Roman"/>
          <w:bCs/>
          <w:color w:val="000000"/>
          <w:sz w:val="24"/>
          <w:szCs w:val="24"/>
        </w:rPr>
        <w:t xml:space="preserve"> a malých a menej zložitých poisťovní</w:t>
      </w:r>
      <w:r w:rsidRPr="00FF7B8D">
        <w:rPr>
          <w:rFonts w:ascii="Times New Roman" w:eastAsia="Calibri" w:hAnsi="Times New Roman" w:cs="Times New Roman"/>
          <w:bCs/>
          <w:color w:val="000000"/>
          <w:sz w:val="24"/>
          <w:szCs w:val="24"/>
        </w:rPr>
        <w:t>. Frekvencia plnenia tejto povinnosti je nepravidelná a</w:t>
      </w:r>
      <w:r>
        <w:rPr>
          <w:rFonts w:ascii="Times New Roman" w:eastAsia="Calibri" w:hAnsi="Times New Roman" w:cs="Times New Roman"/>
          <w:bCs/>
          <w:color w:val="000000"/>
          <w:sz w:val="24"/>
          <w:szCs w:val="24"/>
        </w:rPr>
        <w:t xml:space="preserve"> je </w:t>
      </w:r>
      <w:r w:rsidRPr="00FF7B8D">
        <w:rPr>
          <w:rFonts w:ascii="Times New Roman" w:eastAsia="Calibri" w:hAnsi="Times New Roman" w:cs="Times New Roman"/>
          <w:bCs/>
          <w:color w:val="000000"/>
          <w:sz w:val="24"/>
          <w:szCs w:val="24"/>
        </w:rPr>
        <w:t>závis</w:t>
      </w:r>
      <w:r>
        <w:rPr>
          <w:rFonts w:ascii="Times New Roman" w:eastAsia="Calibri" w:hAnsi="Times New Roman" w:cs="Times New Roman"/>
          <w:bCs/>
          <w:color w:val="000000"/>
          <w:sz w:val="24"/>
          <w:szCs w:val="24"/>
        </w:rPr>
        <w:t xml:space="preserve">lá </w:t>
      </w:r>
      <w:r w:rsidR="00FA3F0B">
        <w:rPr>
          <w:rFonts w:ascii="Times New Roman" w:eastAsia="Calibri" w:hAnsi="Times New Roman" w:cs="Times New Roman"/>
          <w:bCs/>
          <w:color w:val="000000"/>
          <w:sz w:val="24"/>
          <w:szCs w:val="24"/>
        </w:rPr>
        <w:t xml:space="preserve">od </w:t>
      </w:r>
      <w:r>
        <w:rPr>
          <w:rFonts w:ascii="Times New Roman" w:eastAsia="Calibri" w:hAnsi="Times New Roman" w:cs="Times New Roman"/>
          <w:bCs/>
          <w:color w:val="000000"/>
          <w:sz w:val="24"/>
          <w:szCs w:val="24"/>
        </w:rPr>
        <w:t xml:space="preserve">skutočnosti, či </w:t>
      </w:r>
      <w:r w:rsidRPr="00FF7B8D">
        <w:rPr>
          <w:rFonts w:ascii="Times New Roman" w:eastAsia="Calibri" w:hAnsi="Times New Roman" w:cs="Times New Roman"/>
          <w:bCs/>
          <w:color w:val="000000"/>
          <w:sz w:val="24"/>
          <w:szCs w:val="24"/>
        </w:rPr>
        <w:t>poisťov</w:t>
      </w:r>
      <w:r>
        <w:rPr>
          <w:rFonts w:ascii="Times New Roman" w:eastAsia="Calibri" w:hAnsi="Times New Roman" w:cs="Times New Roman"/>
          <w:bCs/>
          <w:color w:val="000000"/>
          <w:sz w:val="24"/>
          <w:szCs w:val="24"/>
        </w:rPr>
        <w:t>ňa</w:t>
      </w:r>
      <w:r w:rsidRPr="00FF7B8D">
        <w:rPr>
          <w:rFonts w:ascii="Times New Roman" w:eastAsia="Calibri" w:hAnsi="Times New Roman" w:cs="Times New Roman"/>
          <w:bCs/>
          <w:color w:val="000000"/>
          <w:sz w:val="24"/>
          <w:szCs w:val="24"/>
        </w:rPr>
        <w:t xml:space="preserve"> alebo zaisťov</w:t>
      </w:r>
      <w:r>
        <w:rPr>
          <w:rFonts w:ascii="Times New Roman" w:eastAsia="Calibri" w:hAnsi="Times New Roman" w:cs="Times New Roman"/>
          <w:bCs/>
          <w:color w:val="000000"/>
          <w:sz w:val="24"/>
          <w:szCs w:val="24"/>
        </w:rPr>
        <w:t xml:space="preserve">ňa má v úmysle meniť rozsah opatrení v oblasti </w:t>
      </w:r>
      <w:r w:rsidRPr="00FF7B8D">
        <w:rPr>
          <w:rFonts w:ascii="Times New Roman" w:eastAsia="Calibri" w:hAnsi="Times New Roman" w:cs="Times New Roman"/>
          <w:bCs/>
          <w:color w:val="000000"/>
          <w:sz w:val="24"/>
          <w:szCs w:val="24"/>
        </w:rPr>
        <w:t>proporcionality.</w:t>
      </w:r>
    </w:p>
    <w:p w14:paraId="19BDC089" w14:textId="29AF6B5B" w:rsidR="00A53296" w:rsidRDefault="00570103" w:rsidP="00967CAD">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1</w:t>
      </w:r>
      <w:r w:rsidR="00FA3F0B">
        <w:rPr>
          <w:rFonts w:ascii="Times New Roman" w:eastAsia="Calibri" w:hAnsi="Times New Roman" w:cs="Times New Roman"/>
          <w:bCs/>
          <w:i/>
          <w:iCs/>
          <w:color w:val="000000"/>
          <w:sz w:val="24"/>
          <w:szCs w:val="24"/>
        </w:rPr>
        <w:t>1</w:t>
      </w:r>
      <w:r>
        <w:rPr>
          <w:rFonts w:ascii="Times New Roman" w:eastAsia="Calibri" w:hAnsi="Times New Roman" w:cs="Times New Roman"/>
          <w:bCs/>
          <w:i/>
          <w:iCs/>
          <w:color w:val="000000"/>
          <w:sz w:val="24"/>
          <w:szCs w:val="24"/>
        </w:rPr>
        <w:t xml:space="preserve">. </w:t>
      </w:r>
      <w:r w:rsidR="004A268B">
        <w:rPr>
          <w:rFonts w:ascii="Times New Roman" w:eastAsia="Calibri" w:hAnsi="Times New Roman" w:cs="Times New Roman"/>
          <w:bCs/>
          <w:i/>
          <w:iCs/>
          <w:color w:val="000000"/>
          <w:sz w:val="24"/>
          <w:szCs w:val="24"/>
        </w:rPr>
        <w:t>Plán riadenia rizika likvidity</w:t>
      </w:r>
    </w:p>
    <w:p w14:paraId="4C8AEBCE" w14:textId="092389A9" w:rsidR="004A268B" w:rsidRDefault="004A268B" w:rsidP="004A268B">
      <w:pPr>
        <w:jc w:val="both"/>
        <w:rPr>
          <w:rFonts w:ascii="Times New Roman" w:eastAsia="Calibri" w:hAnsi="Times New Roman" w:cs="Times New Roman"/>
          <w:bCs/>
          <w:color w:val="000000"/>
          <w:sz w:val="24"/>
          <w:szCs w:val="24"/>
        </w:rPr>
      </w:pPr>
      <w:r w:rsidRPr="004A268B">
        <w:rPr>
          <w:rFonts w:ascii="Times New Roman" w:eastAsia="Calibri" w:hAnsi="Times New Roman" w:cs="Times New Roman"/>
          <w:bCs/>
          <w:color w:val="000000"/>
          <w:sz w:val="24"/>
          <w:szCs w:val="24"/>
        </w:rPr>
        <w:t>Poisťovniam, zaisťovniam, pobočkám zahraničných poisťovní a pobočkám zahraničných zaisťovní uvedená regulácia zvyšuje administratívnu záťaž</w:t>
      </w:r>
      <w:r>
        <w:rPr>
          <w:rFonts w:ascii="Times New Roman" w:eastAsia="Calibri" w:hAnsi="Times New Roman" w:cs="Times New Roman"/>
          <w:bCs/>
          <w:color w:val="000000"/>
          <w:sz w:val="24"/>
          <w:szCs w:val="24"/>
        </w:rPr>
        <w:t xml:space="preserve"> z dôvodu vypracovávania, aktualizácie a predkladania plánu riadenia rizika likvidity</w:t>
      </w:r>
      <w:r w:rsidRPr="004A268B">
        <w:rPr>
          <w:rFonts w:ascii="Times New Roman" w:eastAsia="Calibri" w:hAnsi="Times New Roman" w:cs="Times New Roman"/>
          <w:bCs/>
          <w:color w:val="000000"/>
          <w:sz w:val="24"/>
          <w:szCs w:val="24"/>
        </w:rPr>
        <w:t xml:space="preserve">. Časová náročnosť pre administratívne náklady bola </w:t>
      </w:r>
      <w:r w:rsidR="00375D16" w:rsidRPr="00375D16">
        <w:rPr>
          <w:rFonts w:ascii="Times New Roman" w:eastAsia="Calibri" w:hAnsi="Times New Roman" w:cs="Times New Roman"/>
          <w:bCs/>
          <w:color w:val="000000"/>
          <w:sz w:val="24"/>
          <w:szCs w:val="24"/>
        </w:rPr>
        <w:t xml:space="preserve">na základe expertného odhadu predkladateľa </w:t>
      </w:r>
      <w:r w:rsidRPr="004A268B">
        <w:rPr>
          <w:rFonts w:ascii="Times New Roman" w:eastAsia="Calibri" w:hAnsi="Times New Roman" w:cs="Times New Roman"/>
          <w:bCs/>
          <w:color w:val="000000"/>
          <w:sz w:val="24"/>
          <w:szCs w:val="24"/>
        </w:rPr>
        <w:t xml:space="preserve">vypočítaná ako súčin 480 minút (osem hodín denne) a počtu pracovných dní, ktorých odhadujeme v trvaní </w:t>
      </w:r>
      <w:r w:rsidR="00D8021B">
        <w:rPr>
          <w:rFonts w:ascii="Times New Roman" w:eastAsia="Calibri" w:hAnsi="Times New Roman" w:cs="Times New Roman"/>
          <w:bCs/>
          <w:color w:val="000000"/>
          <w:sz w:val="24"/>
          <w:szCs w:val="24"/>
        </w:rPr>
        <w:t>65</w:t>
      </w:r>
      <w:r w:rsidRPr="004A268B">
        <w:rPr>
          <w:rFonts w:ascii="Times New Roman" w:eastAsia="Calibri" w:hAnsi="Times New Roman" w:cs="Times New Roman"/>
          <w:bCs/>
          <w:color w:val="000000"/>
          <w:sz w:val="24"/>
          <w:szCs w:val="24"/>
        </w:rPr>
        <w:t xml:space="preserve"> pracovných dní (t. j. 480 min. * 65 pracovných dní = 31.200 min.) na jeden subjekt. Frekvencia plnenia bola na základe vyššie uvedenej kvantifikácie určená </w:t>
      </w:r>
      <w:r w:rsidR="00D8021B">
        <w:rPr>
          <w:rFonts w:ascii="Times New Roman" w:eastAsia="Calibri" w:hAnsi="Times New Roman" w:cs="Times New Roman"/>
          <w:bCs/>
          <w:color w:val="000000"/>
          <w:sz w:val="24"/>
          <w:szCs w:val="24"/>
        </w:rPr>
        <w:t>nepravidelne</w:t>
      </w:r>
      <w:r w:rsidRPr="004A268B">
        <w:rPr>
          <w:rFonts w:ascii="Times New Roman" w:eastAsia="Calibri" w:hAnsi="Times New Roman" w:cs="Times New Roman"/>
          <w:bCs/>
          <w:color w:val="000000"/>
          <w:sz w:val="24"/>
          <w:szCs w:val="24"/>
        </w:rPr>
        <w:t>.</w:t>
      </w:r>
    </w:p>
    <w:p w14:paraId="709631D1" w14:textId="65158A89" w:rsidR="00B87A8A" w:rsidRDefault="00B87A8A" w:rsidP="00B87A8A">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12. Vymenovanie osôb do kľúčových funkcií</w:t>
      </w:r>
    </w:p>
    <w:p w14:paraId="1BFB6633" w14:textId="77777777" w:rsidR="00B87A8A" w:rsidRDefault="00B87A8A" w:rsidP="00B87A8A">
      <w:pPr>
        <w:jc w:val="both"/>
        <w:rPr>
          <w:rFonts w:ascii="Times New Roman" w:eastAsia="Calibri" w:hAnsi="Times New Roman" w:cs="Times New Roman"/>
          <w:bCs/>
          <w:color w:val="000000"/>
          <w:sz w:val="24"/>
          <w:szCs w:val="24"/>
        </w:rPr>
      </w:pPr>
      <w:r w:rsidRPr="00B87A8A">
        <w:rPr>
          <w:rFonts w:ascii="Times New Roman" w:eastAsia="Calibri" w:hAnsi="Times New Roman" w:cs="Times New Roman"/>
          <w:bCs/>
          <w:color w:val="000000"/>
          <w:sz w:val="24"/>
          <w:szCs w:val="24"/>
        </w:rPr>
        <w:t xml:space="preserve">Uvedená regulácia zvyšuje administratívnu záťaž poisťovní, zaisťovní, pobočiek zahraničných poisťovní a pobočiek zahraničných zaisťovní </w:t>
      </w:r>
      <w:r>
        <w:rPr>
          <w:rFonts w:ascii="Times New Roman" w:eastAsia="Calibri" w:hAnsi="Times New Roman" w:cs="Times New Roman"/>
          <w:bCs/>
          <w:color w:val="000000"/>
          <w:sz w:val="24"/>
          <w:szCs w:val="24"/>
        </w:rPr>
        <w:t xml:space="preserve">potrebnú na </w:t>
      </w:r>
      <w:r w:rsidRPr="00B87A8A">
        <w:rPr>
          <w:rFonts w:ascii="Times New Roman" w:eastAsia="Calibri" w:hAnsi="Times New Roman" w:cs="Times New Roman"/>
          <w:bCs/>
          <w:color w:val="000000"/>
          <w:sz w:val="24"/>
          <w:szCs w:val="24"/>
        </w:rPr>
        <w:t>vymenova</w:t>
      </w:r>
      <w:r>
        <w:rPr>
          <w:rFonts w:ascii="Times New Roman" w:eastAsia="Calibri" w:hAnsi="Times New Roman" w:cs="Times New Roman"/>
          <w:bCs/>
          <w:color w:val="000000"/>
          <w:sz w:val="24"/>
          <w:szCs w:val="24"/>
        </w:rPr>
        <w:t>nie</w:t>
      </w:r>
      <w:r w:rsidRPr="00B87A8A">
        <w:rPr>
          <w:rFonts w:ascii="Times New Roman" w:eastAsia="Calibri" w:hAnsi="Times New Roman" w:cs="Times New Roman"/>
          <w:bCs/>
          <w:color w:val="000000"/>
          <w:sz w:val="24"/>
          <w:szCs w:val="24"/>
        </w:rPr>
        <w:t xml:space="preserve"> osoby</w:t>
      </w:r>
      <w:r>
        <w:rPr>
          <w:rFonts w:ascii="Times New Roman" w:eastAsia="Calibri" w:hAnsi="Times New Roman" w:cs="Times New Roman"/>
          <w:bCs/>
          <w:color w:val="000000"/>
          <w:sz w:val="24"/>
          <w:szCs w:val="24"/>
        </w:rPr>
        <w:t xml:space="preserve">, ktorá bude </w:t>
      </w:r>
      <w:r w:rsidRPr="00B87A8A">
        <w:rPr>
          <w:rFonts w:ascii="Times New Roman" w:eastAsia="Calibri" w:hAnsi="Times New Roman" w:cs="Times New Roman"/>
          <w:bCs/>
          <w:color w:val="000000"/>
          <w:sz w:val="24"/>
          <w:szCs w:val="24"/>
        </w:rPr>
        <w:t>vykonáva</w:t>
      </w:r>
      <w:r>
        <w:rPr>
          <w:rFonts w:ascii="Times New Roman" w:eastAsia="Calibri" w:hAnsi="Times New Roman" w:cs="Times New Roman"/>
          <w:bCs/>
          <w:color w:val="000000"/>
          <w:sz w:val="24"/>
          <w:szCs w:val="24"/>
        </w:rPr>
        <w:t>ť</w:t>
      </w:r>
      <w:r w:rsidRPr="00B87A8A">
        <w:rPr>
          <w:rFonts w:ascii="Times New Roman" w:eastAsia="Calibri" w:hAnsi="Times New Roman" w:cs="Times New Roman"/>
          <w:bCs/>
          <w:color w:val="000000"/>
          <w:sz w:val="24"/>
          <w:szCs w:val="24"/>
        </w:rPr>
        <w:t xml:space="preserve"> </w:t>
      </w:r>
      <w:r>
        <w:rPr>
          <w:rFonts w:ascii="Times New Roman" w:eastAsia="Calibri" w:hAnsi="Times New Roman" w:cs="Times New Roman"/>
          <w:bCs/>
          <w:color w:val="000000"/>
          <w:sz w:val="24"/>
          <w:szCs w:val="24"/>
        </w:rPr>
        <w:t xml:space="preserve">niektorú z </w:t>
      </w:r>
      <w:r w:rsidRPr="00B87A8A">
        <w:rPr>
          <w:rFonts w:ascii="Times New Roman" w:eastAsia="Calibri" w:hAnsi="Times New Roman" w:cs="Times New Roman"/>
          <w:bCs/>
          <w:color w:val="000000"/>
          <w:sz w:val="24"/>
          <w:szCs w:val="24"/>
        </w:rPr>
        <w:t>kľúčov</w:t>
      </w:r>
      <w:r>
        <w:rPr>
          <w:rFonts w:ascii="Times New Roman" w:eastAsia="Calibri" w:hAnsi="Times New Roman" w:cs="Times New Roman"/>
          <w:bCs/>
          <w:color w:val="000000"/>
          <w:sz w:val="24"/>
          <w:szCs w:val="24"/>
        </w:rPr>
        <w:t>ých</w:t>
      </w:r>
      <w:r w:rsidRPr="00B87A8A">
        <w:rPr>
          <w:rFonts w:ascii="Times New Roman" w:eastAsia="Calibri" w:hAnsi="Times New Roman" w:cs="Times New Roman"/>
          <w:bCs/>
          <w:color w:val="000000"/>
          <w:sz w:val="24"/>
          <w:szCs w:val="24"/>
        </w:rPr>
        <w:t xml:space="preserve"> funkcií</w:t>
      </w:r>
      <w:r>
        <w:rPr>
          <w:rFonts w:ascii="Times New Roman" w:eastAsia="Calibri" w:hAnsi="Times New Roman" w:cs="Times New Roman"/>
          <w:bCs/>
          <w:color w:val="000000"/>
          <w:sz w:val="24"/>
          <w:szCs w:val="24"/>
        </w:rPr>
        <w:t xml:space="preserve">. </w:t>
      </w:r>
      <w:r w:rsidRPr="00B87A8A">
        <w:rPr>
          <w:rFonts w:ascii="Times New Roman" w:eastAsia="Calibri" w:hAnsi="Times New Roman" w:cs="Times New Roman"/>
          <w:bCs/>
          <w:color w:val="000000"/>
          <w:sz w:val="24"/>
          <w:szCs w:val="24"/>
        </w:rPr>
        <w:t xml:space="preserve">Frekvencia plnenia je na základe navrhovanej právnej úpravy určená </w:t>
      </w:r>
      <w:r>
        <w:rPr>
          <w:rFonts w:ascii="Times New Roman" w:eastAsia="Calibri" w:hAnsi="Times New Roman" w:cs="Times New Roman"/>
          <w:bCs/>
          <w:color w:val="000000"/>
          <w:sz w:val="24"/>
          <w:szCs w:val="24"/>
        </w:rPr>
        <w:t>ako nepravidelná</w:t>
      </w:r>
      <w:r w:rsidRPr="00B87A8A">
        <w:rPr>
          <w:rFonts w:ascii="Times New Roman" w:eastAsia="Calibri" w:hAnsi="Times New Roman" w:cs="Times New Roman"/>
          <w:bCs/>
          <w:color w:val="000000"/>
          <w:sz w:val="24"/>
          <w:szCs w:val="24"/>
        </w:rPr>
        <w:t>.</w:t>
      </w:r>
    </w:p>
    <w:p w14:paraId="28E4DE37" w14:textId="77777777" w:rsidR="00077741" w:rsidRDefault="00077741" w:rsidP="00077741">
      <w:pPr>
        <w:ind w:firstLine="426"/>
        <w:jc w:val="both"/>
        <w:rPr>
          <w:rFonts w:ascii="Times New Roman" w:eastAsia="Calibri" w:hAnsi="Times New Roman" w:cs="Times New Roman"/>
          <w:bCs/>
          <w:i/>
          <w:iCs/>
          <w:color w:val="000000"/>
          <w:sz w:val="24"/>
          <w:szCs w:val="24"/>
        </w:rPr>
      </w:pPr>
      <w:r w:rsidRPr="00077741">
        <w:rPr>
          <w:rFonts w:ascii="Times New Roman" w:eastAsia="Calibri" w:hAnsi="Times New Roman" w:cs="Times New Roman"/>
          <w:bCs/>
          <w:i/>
          <w:iCs/>
          <w:color w:val="000000"/>
          <w:sz w:val="24"/>
          <w:szCs w:val="24"/>
        </w:rPr>
        <w:t>13.</w:t>
      </w:r>
      <w:r>
        <w:rPr>
          <w:rFonts w:ascii="Times New Roman" w:eastAsia="Calibri" w:hAnsi="Times New Roman" w:cs="Times New Roman"/>
          <w:bCs/>
          <w:i/>
          <w:iCs/>
          <w:color w:val="000000"/>
          <w:sz w:val="24"/>
          <w:szCs w:val="24"/>
        </w:rPr>
        <w:t xml:space="preserve"> Posúdenie a analýza makroekonomickej situácie</w:t>
      </w:r>
    </w:p>
    <w:p w14:paraId="666B1DEE" w14:textId="6E93A1A7" w:rsidR="00077741" w:rsidRDefault="00077741" w:rsidP="00077741">
      <w:pPr>
        <w:jc w:val="both"/>
        <w:rPr>
          <w:rFonts w:ascii="Times New Roman" w:eastAsia="Calibri" w:hAnsi="Times New Roman" w:cs="Times New Roman"/>
          <w:bCs/>
          <w:color w:val="000000"/>
          <w:sz w:val="24"/>
          <w:szCs w:val="24"/>
        </w:rPr>
      </w:pPr>
      <w:r w:rsidRPr="00077741">
        <w:rPr>
          <w:rFonts w:ascii="Times New Roman" w:eastAsia="Calibri" w:hAnsi="Times New Roman" w:cs="Times New Roman"/>
          <w:bCs/>
          <w:color w:val="000000"/>
          <w:sz w:val="24"/>
          <w:szCs w:val="24"/>
        </w:rPr>
        <w:t xml:space="preserve">Poisťovniam, zaisťovniam, pobočkám zahraničných poisťovní a pobočkám zahraničných zaisťovní uvedená regulácia zvyšuje administratívnu záťaž z dôvodu </w:t>
      </w:r>
      <w:r>
        <w:rPr>
          <w:rFonts w:ascii="Times New Roman" w:eastAsia="Calibri" w:hAnsi="Times New Roman" w:cs="Times New Roman"/>
          <w:bCs/>
          <w:color w:val="000000"/>
          <w:sz w:val="24"/>
          <w:szCs w:val="24"/>
        </w:rPr>
        <w:t xml:space="preserve">rozšírenia rozsahu povinností o </w:t>
      </w:r>
      <w:r w:rsidRPr="00077741">
        <w:rPr>
          <w:rFonts w:ascii="Times New Roman" w:eastAsia="Calibri" w:hAnsi="Times New Roman" w:cs="Times New Roman"/>
          <w:bCs/>
          <w:color w:val="000000"/>
          <w:sz w:val="24"/>
          <w:szCs w:val="24"/>
        </w:rPr>
        <w:t>posúdenie a analýzu makroekonomickej situácie a možného makroekonomického vývoja a vývoja na finančných trhoch</w:t>
      </w:r>
      <w:r>
        <w:rPr>
          <w:rFonts w:ascii="Times New Roman" w:eastAsia="Calibri" w:hAnsi="Times New Roman" w:cs="Times New Roman"/>
          <w:bCs/>
          <w:color w:val="000000"/>
          <w:sz w:val="24"/>
          <w:szCs w:val="24"/>
        </w:rPr>
        <w:t xml:space="preserve">. </w:t>
      </w:r>
      <w:r w:rsidRPr="00077741">
        <w:rPr>
          <w:rFonts w:ascii="Times New Roman" w:eastAsia="Calibri" w:hAnsi="Times New Roman" w:cs="Times New Roman"/>
          <w:bCs/>
          <w:color w:val="000000"/>
          <w:sz w:val="24"/>
          <w:szCs w:val="24"/>
        </w:rPr>
        <w:t xml:space="preserve">Časová náročnosť pre administratívne náklady bola vypočítaná ako súčin 480 minút (osem hodín denne) a počtu pracovných dní, ktorých </w:t>
      </w:r>
      <w:r w:rsidR="005F4D7A" w:rsidRPr="005F4D7A">
        <w:rPr>
          <w:rFonts w:ascii="Times New Roman" w:eastAsia="Calibri" w:hAnsi="Times New Roman" w:cs="Times New Roman"/>
          <w:bCs/>
          <w:color w:val="000000"/>
          <w:sz w:val="24"/>
          <w:szCs w:val="24"/>
        </w:rPr>
        <w:t xml:space="preserve">na základe expertného odhadu predkladateľa </w:t>
      </w:r>
      <w:r w:rsidRPr="00077741">
        <w:rPr>
          <w:rFonts w:ascii="Times New Roman" w:eastAsia="Calibri" w:hAnsi="Times New Roman" w:cs="Times New Roman"/>
          <w:bCs/>
          <w:color w:val="000000"/>
          <w:sz w:val="24"/>
          <w:szCs w:val="24"/>
        </w:rPr>
        <w:t>odhadujeme v trvaní 65 pracovných dní (t. j. 480 min. * 65 pracovných dní = 31.200 min.) na jeden subjekt. Frekvencia plnenia bola na základe vyššie uvedenej kvantifikácie určená nepravidelne.</w:t>
      </w:r>
    </w:p>
    <w:p w14:paraId="07E8BEF5" w14:textId="460CA9DC" w:rsidR="005F4D7A" w:rsidRDefault="005F4D7A" w:rsidP="005F4D7A">
      <w:pPr>
        <w:ind w:firstLine="426"/>
        <w:jc w:val="both"/>
        <w:rPr>
          <w:rFonts w:ascii="Times New Roman" w:eastAsia="Calibri" w:hAnsi="Times New Roman" w:cs="Times New Roman"/>
          <w:bCs/>
          <w:i/>
          <w:iCs/>
          <w:color w:val="000000"/>
          <w:sz w:val="24"/>
          <w:szCs w:val="24"/>
        </w:rPr>
      </w:pPr>
      <w:r w:rsidRPr="006C10E6">
        <w:rPr>
          <w:rFonts w:ascii="Times New Roman" w:eastAsia="Calibri" w:hAnsi="Times New Roman" w:cs="Times New Roman"/>
          <w:bCs/>
          <w:i/>
          <w:iCs/>
          <w:color w:val="000000"/>
          <w:sz w:val="24"/>
          <w:szCs w:val="24"/>
        </w:rPr>
        <w:t xml:space="preserve">14. </w:t>
      </w:r>
      <w:r w:rsidR="006C10E6" w:rsidRPr="006C10E6">
        <w:rPr>
          <w:rFonts w:ascii="Times New Roman" w:eastAsia="Calibri" w:hAnsi="Times New Roman" w:cs="Times New Roman"/>
          <w:bCs/>
          <w:i/>
          <w:iCs/>
          <w:color w:val="000000"/>
          <w:sz w:val="24"/>
          <w:szCs w:val="24"/>
        </w:rPr>
        <w:t>Parametre pre posúdenie a analýzu makroekonomickej situácie</w:t>
      </w:r>
    </w:p>
    <w:p w14:paraId="37FAC378" w14:textId="6866E9B9" w:rsidR="006C10E6" w:rsidRDefault="006C10E6" w:rsidP="006C10E6">
      <w:pPr>
        <w:jc w:val="both"/>
        <w:rPr>
          <w:rFonts w:ascii="Times New Roman" w:eastAsia="Calibri" w:hAnsi="Times New Roman" w:cs="Times New Roman"/>
          <w:bCs/>
          <w:color w:val="000000"/>
          <w:sz w:val="24"/>
          <w:szCs w:val="24"/>
        </w:rPr>
      </w:pPr>
      <w:r w:rsidRPr="006C10E6">
        <w:rPr>
          <w:rFonts w:ascii="Times New Roman" w:eastAsia="Calibri" w:hAnsi="Times New Roman" w:cs="Times New Roman"/>
          <w:bCs/>
          <w:color w:val="000000"/>
          <w:sz w:val="24"/>
          <w:szCs w:val="24"/>
        </w:rPr>
        <w:t>Uvedená regulácia zvyšuje administratívnu záťaž poisťovní, zaisťovní, pobočiek zahraničných poisťovní a pobočiek zahraničných zaisťovní</w:t>
      </w:r>
      <w:r>
        <w:rPr>
          <w:rFonts w:ascii="Times New Roman" w:eastAsia="Calibri" w:hAnsi="Times New Roman" w:cs="Times New Roman"/>
          <w:bCs/>
          <w:color w:val="000000"/>
          <w:sz w:val="24"/>
          <w:szCs w:val="24"/>
        </w:rPr>
        <w:t xml:space="preserve"> v súvislosti s potrebou sledovania jednotlivých ukazovateľov, ktorú vstupujú do posudzovania a </w:t>
      </w:r>
      <w:r w:rsidRPr="006C10E6">
        <w:rPr>
          <w:rFonts w:ascii="Times New Roman" w:eastAsia="Calibri" w:hAnsi="Times New Roman" w:cs="Times New Roman"/>
          <w:bCs/>
          <w:color w:val="000000"/>
          <w:sz w:val="24"/>
          <w:szCs w:val="24"/>
        </w:rPr>
        <w:t>analýz</w:t>
      </w:r>
      <w:r>
        <w:rPr>
          <w:rFonts w:ascii="Times New Roman" w:eastAsia="Calibri" w:hAnsi="Times New Roman" w:cs="Times New Roman"/>
          <w:bCs/>
          <w:color w:val="000000"/>
          <w:sz w:val="24"/>
          <w:szCs w:val="24"/>
        </w:rPr>
        <w:t>y</w:t>
      </w:r>
      <w:r w:rsidRPr="006C10E6">
        <w:rPr>
          <w:rFonts w:ascii="Times New Roman" w:eastAsia="Calibri" w:hAnsi="Times New Roman" w:cs="Times New Roman"/>
          <w:bCs/>
          <w:color w:val="000000"/>
          <w:sz w:val="24"/>
          <w:szCs w:val="24"/>
        </w:rPr>
        <w:t xml:space="preserve"> makroekonomickej situácie. Frekvencia plnenia je na základe navrhovanej právnej úpravy určená ako nepravidelná.</w:t>
      </w:r>
    </w:p>
    <w:p w14:paraId="1BF02AAD" w14:textId="5F766709" w:rsidR="00DA1191" w:rsidRDefault="00DA1191" w:rsidP="00DA1191">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15. Nakladanie s dlhodobými investíciami do akcií</w:t>
      </w:r>
    </w:p>
    <w:p w14:paraId="41BF0A7E" w14:textId="2EE2F417" w:rsidR="00DA1191" w:rsidRDefault="00DA1191" w:rsidP="00DA1191">
      <w:pPr>
        <w:jc w:val="both"/>
        <w:rPr>
          <w:rFonts w:ascii="Times New Roman" w:eastAsia="Calibri" w:hAnsi="Times New Roman" w:cs="Times New Roman"/>
          <w:bCs/>
          <w:color w:val="000000"/>
          <w:sz w:val="24"/>
          <w:szCs w:val="24"/>
        </w:rPr>
      </w:pPr>
      <w:r w:rsidRPr="00DA1191">
        <w:rPr>
          <w:rFonts w:ascii="Times New Roman" w:eastAsia="Calibri" w:hAnsi="Times New Roman" w:cs="Times New Roman"/>
          <w:bCs/>
          <w:color w:val="000000"/>
          <w:sz w:val="24"/>
          <w:szCs w:val="24"/>
        </w:rPr>
        <w:lastRenderedPageBreak/>
        <w:t>Predmetná regulácia zvyšuje administratívnu záťaž poisťovní</w:t>
      </w:r>
      <w:r>
        <w:rPr>
          <w:rFonts w:ascii="Times New Roman" w:eastAsia="Calibri" w:hAnsi="Times New Roman" w:cs="Times New Roman"/>
          <w:bCs/>
          <w:color w:val="000000"/>
          <w:sz w:val="24"/>
          <w:szCs w:val="24"/>
        </w:rPr>
        <w:t xml:space="preserve"> a </w:t>
      </w:r>
      <w:r w:rsidRPr="00DA1191">
        <w:rPr>
          <w:rFonts w:ascii="Times New Roman" w:eastAsia="Calibri" w:hAnsi="Times New Roman" w:cs="Times New Roman"/>
          <w:bCs/>
          <w:color w:val="000000"/>
          <w:sz w:val="24"/>
          <w:szCs w:val="24"/>
        </w:rPr>
        <w:t xml:space="preserve">zaisťovní. Časová náročnosť pre administratívne náklady bola vypočítaná ako súčin 480 minút (osem hodín denne) a počtu pracovných dní potrebných na </w:t>
      </w:r>
      <w:r>
        <w:rPr>
          <w:rFonts w:ascii="Times New Roman" w:eastAsia="Calibri" w:hAnsi="Times New Roman" w:cs="Times New Roman"/>
          <w:bCs/>
          <w:color w:val="000000"/>
          <w:sz w:val="24"/>
          <w:szCs w:val="24"/>
        </w:rPr>
        <w:t>pr</w:t>
      </w:r>
      <w:r w:rsidR="00C17A26">
        <w:rPr>
          <w:rFonts w:ascii="Times New Roman" w:eastAsia="Calibri" w:hAnsi="Times New Roman" w:cs="Times New Roman"/>
          <w:bCs/>
          <w:color w:val="000000"/>
          <w:sz w:val="24"/>
          <w:szCs w:val="24"/>
        </w:rPr>
        <w:t>avidelné vyhodnocovanie stability portfólia</w:t>
      </w:r>
      <w:r w:rsidRPr="00DA1191">
        <w:rPr>
          <w:rFonts w:ascii="Times New Roman" w:eastAsia="Calibri" w:hAnsi="Times New Roman" w:cs="Times New Roman"/>
          <w:bCs/>
          <w:color w:val="000000"/>
          <w:sz w:val="24"/>
          <w:szCs w:val="24"/>
        </w:rPr>
        <w:t>,</w:t>
      </w:r>
      <w:r w:rsidR="00C17A26">
        <w:rPr>
          <w:rFonts w:ascii="Times New Roman" w:eastAsia="Calibri" w:hAnsi="Times New Roman" w:cs="Times New Roman"/>
          <w:bCs/>
          <w:color w:val="000000"/>
          <w:sz w:val="24"/>
          <w:szCs w:val="24"/>
        </w:rPr>
        <w:t xml:space="preserve"> splnenie informačných povinností voči NBS a dodržiavanie podmienok nakladania s</w:t>
      </w:r>
      <w:r w:rsidR="00687B5F">
        <w:rPr>
          <w:rFonts w:ascii="Times New Roman" w:eastAsia="Calibri" w:hAnsi="Times New Roman" w:cs="Times New Roman"/>
          <w:bCs/>
          <w:color w:val="000000"/>
          <w:sz w:val="24"/>
          <w:szCs w:val="24"/>
        </w:rPr>
        <w:t> týmito investíciami</w:t>
      </w:r>
      <w:r w:rsidRPr="00DA1191">
        <w:rPr>
          <w:rFonts w:ascii="Times New Roman" w:eastAsia="Calibri" w:hAnsi="Times New Roman" w:cs="Times New Roman"/>
          <w:bCs/>
          <w:color w:val="000000"/>
          <w:sz w:val="24"/>
          <w:szCs w:val="24"/>
        </w:rPr>
        <w:t xml:space="preserve"> ktorých </w:t>
      </w:r>
      <w:r w:rsidR="00687B5F">
        <w:rPr>
          <w:rFonts w:ascii="Times New Roman" w:eastAsia="Calibri" w:hAnsi="Times New Roman" w:cs="Times New Roman"/>
          <w:bCs/>
          <w:color w:val="000000"/>
          <w:sz w:val="24"/>
          <w:szCs w:val="24"/>
        </w:rPr>
        <w:t xml:space="preserve">na základe expertného odhadu predkladateľa predstavuje </w:t>
      </w:r>
      <w:r w:rsidRPr="00DA1191">
        <w:rPr>
          <w:rFonts w:ascii="Times New Roman" w:eastAsia="Calibri" w:hAnsi="Times New Roman" w:cs="Times New Roman"/>
          <w:bCs/>
          <w:color w:val="000000"/>
          <w:sz w:val="24"/>
          <w:szCs w:val="24"/>
        </w:rPr>
        <w:t>190 pracovných dní (t. j. 480 min. * 190 pracovných dní = 91.200 min.) na jeden subjekt. Frekvencia plnenia bola na základe vyššie uvedenej kvantifikácie určená ako nepravidelná.</w:t>
      </w:r>
    </w:p>
    <w:p w14:paraId="36C3CF4D" w14:textId="07C8042B" w:rsidR="004B61D6" w:rsidRDefault="004B61D6" w:rsidP="004B61D6">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16. P</w:t>
      </w:r>
      <w:r w:rsidRPr="004B61D6">
        <w:rPr>
          <w:rFonts w:ascii="Times New Roman" w:eastAsia="Calibri" w:hAnsi="Times New Roman" w:cs="Times New Roman"/>
          <w:bCs/>
          <w:i/>
          <w:iCs/>
          <w:color w:val="000000"/>
          <w:sz w:val="24"/>
          <w:szCs w:val="24"/>
        </w:rPr>
        <w:t>ouži</w:t>
      </w:r>
      <w:r>
        <w:rPr>
          <w:rFonts w:ascii="Times New Roman" w:eastAsia="Calibri" w:hAnsi="Times New Roman" w:cs="Times New Roman"/>
          <w:bCs/>
          <w:i/>
          <w:iCs/>
          <w:color w:val="000000"/>
          <w:sz w:val="24"/>
          <w:szCs w:val="24"/>
        </w:rPr>
        <w:t>tie</w:t>
      </w:r>
      <w:r w:rsidRPr="004B61D6">
        <w:rPr>
          <w:rFonts w:ascii="Times New Roman" w:eastAsia="Calibri" w:hAnsi="Times New Roman" w:cs="Times New Roman"/>
          <w:bCs/>
          <w:i/>
          <w:iCs/>
          <w:color w:val="000000"/>
          <w:sz w:val="24"/>
          <w:szCs w:val="24"/>
        </w:rPr>
        <w:t xml:space="preserve"> zjednodušen</w:t>
      </w:r>
      <w:r>
        <w:rPr>
          <w:rFonts w:ascii="Times New Roman" w:eastAsia="Calibri" w:hAnsi="Times New Roman" w:cs="Times New Roman"/>
          <w:bCs/>
          <w:i/>
          <w:iCs/>
          <w:color w:val="000000"/>
          <w:sz w:val="24"/>
          <w:szCs w:val="24"/>
        </w:rPr>
        <w:t>ého</w:t>
      </w:r>
      <w:r w:rsidRPr="004B61D6">
        <w:rPr>
          <w:rFonts w:ascii="Times New Roman" w:eastAsia="Calibri" w:hAnsi="Times New Roman" w:cs="Times New Roman"/>
          <w:bCs/>
          <w:i/>
          <w:iCs/>
          <w:color w:val="000000"/>
          <w:sz w:val="24"/>
          <w:szCs w:val="24"/>
        </w:rPr>
        <w:t xml:space="preserve"> výpočt</w:t>
      </w:r>
      <w:r>
        <w:rPr>
          <w:rFonts w:ascii="Times New Roman" w:eastAsia="Calibri" w:hAnsi="Times New Roman" w:cs="Times New Roman"/>
          <w:bCs/>
          <w:i/>
          <w:iCs/>
          <w:color w:val="000000"/>
          <w:sz w:val="24"/>
          <w:szCs w:val="24"/>
        </w:rPr>
        <w:t>u</w:t>
      </w:r>
      <w:r w:rsidRPr="004B61D6">
        <w:rPr>
          <w:rFonts w:ascii="Times New Roman" w:eastAsia="Calibri" w:hAnsi="Times New Roman" w:cs="Times New Roman"/>
          <w:bCs/>
          <w:i/>
          <w:iCs/>
          <w:color w:val="000000"/>
          <w:sz w:val="24"/>
          <w:szCs w:val="24"/>
        </w:rPr>
        <w:t xml:space="preserve"> kapitálovej požiadavky</w:t>
      </w:r>
      <w:r>
        <w:rPr>
          <w:rFonts w:ascii="Times New Roman" w:eastAsia="Calibri" w:hAnsi="Times New Roman" w:cs="Times New Roman"/>
          <w:bCs/>
          <w:i/>
          <w:iCs/>
          <w:color w:val="000000"/>
          <w:sz w:val="24"/>
          <w:szCs w:val="24"/>
        </w:rPr>
        <w:t xml:space="preserve"> na solventnosť</w:t>
      </w:r>
    </w:p>
    <w:p w14:paraId="0DBE2C05" w14:textId="3A20B55E" w:rsidR="004B61D6" w:rsidRDefault="004B61D6" w:rsidP="004B61D6">
      <w:pPr>
        <w:jc w:val="both"/>
        <w:rPr>
          <w:rFonts w:ascii="Times New Roman" w:eastAsia="Calibri" w:hAnsi="Times New Roman" w:cs="Times New Roman"/>
          <w:bCs/>
          <w:color w:val="000000"/>
          <w:sz w:val="24"/>
          <w:szCs w:val="24"/>
        </w:rPr>
      </w:pPr>
      <w:r w:rsidRPr="004B61D6">
        <w:rPr>
          <w:rFonts w:ascii="Times New Roman" w:eastAsia="Calibri" w:hAnsi="Times New Roman" w:cs="Times New Roman"/>
          <w:bCs/>
          <w:color w:val="000000"/>
          <w:sz w:val="24"/>
          <w:szCs w:val="24"/>
        </w:rPr>
        <w:t>Uvedená regulácia zvyšuje administratívnu záťaž poisťovní</w:t>
      </w:r>
      <w:r>
        <w:rPr>
          <w:rFonts w:ascii="Times New Roman" w:eastAsia="Calibri" w:hAnsi="Times New Roman" w:cs="Times New Roman"/>
          <w:bCs/>
          <w:color w:val="000000"/>
          <w:sz w:val="24"/>
          <w:szCs w:val="24"/>
        </w:rPr>
        <w:t xml:space="preserve"> a </w:t>
      </w:r>
      <w:r w:rsidRPr="004B61D6">
        <w:rPr>
          <w:rFonts w:ascii="Times New Roman" w:eastAsia="Calibri" w:hAnsi="Times New Roman" w:cs="Times New Roman"/>
          <w:bCs/>
          <w:color w:val="000000"/>
          <w:sz w:val="24"/>
          <w:szCs w:val="24"/>
        </w:rPr>
        <w:t>zaisťovní v</w:t>
      </w:r>
      <w:r>
        <w:rPr>
          <w:rFonts w:ascii="Times New Roman" w:eastAsia="Calibri" w:hAnsi="Times New Roman" w:cs="Times New Roman"/>
          <w:bCs/>
          <w:color w:val="000000"/>
          <w:sz w:val="24"/>
          <w:szCs w:val="24"/>
        </w:rPr>
        <w:t> </w:t>
      </w:r>
      <w:r w:rsidRPr="004B61D6">
        <w:rPr>
          <w:rFonts w:ascii="Times New Roman" w:eastAsia="Calibri" w:hAnsi="Times New Roman" w:cs="Times New Roman"/>
          <w:bCs/>
          <w:color w:val="000000"/>
          <w:sz w:val="24"/>
          <w:szCs w:val="24"/>
        </w:rPr>
        <w:t>súvislosti</w:t>
      </w:r>
      <w:r>
        <w:rPr>
          <w:rFonts w:ascii="Times New Roman" w:eastAsia="Calibri" w:hAnsi="Times New Roman" w:cs="Times New Roman"/>
          <w:bCs/>
          <w:color w:val="000000"/>
          <w:sz w:val="24"/>
          <w:szCs w:val="24"/>
        </w:rPr>
        <w:t xml:space="preserve"> s použitím</w:t>
      </w:r>
      <w:r w:rsidRPr="004B61D6">
        <w:t xml:space="preserve"> </w:t>
      </w:r>
      <w:r w:rsidRPr="004B61D6">
        <w:rPr>
          <w:rFonts w:ascii="Times New Roman" w:eastAsia="Calibri" w:hAnsi="Times New Roman" w:cs="Times New Roman"/>
          <w:bCs/>
          <w:color w:val="000000"/>
          <w:sz w:val="24"/>
          <w:szCs w:val="24"/>
        </w:rPr>
        <w:t>zjednodušeného výpočtu kapitálovej požiadavky na solventnosť. Frekvencia plnenia je na základe navrhovanej právnej úpravy určená ako nepravidelná.</w:t>
      </w:r>
    </w:p>
    <w:p w14:paraId="45354911" w14:textId="3FE5E6E4" w:rsidR="004B61D6" w:rsidRDefault="00D63A32" w:rsidP="00D63A32">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17. Predkladanie správy o odhade kapitálovej požiadavky na solventnosť</w:t>
      </w:r>
    </w:p>
    <w:p w14:paraId="7855E271" w14:textId="035621AB" w:rsidR="00D63A32" w:rsidRDefault="00F762B7" w:rsidP="00F762B7">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Predmetná </w:t>
      </w:r>
      <w:r w:rsidRPr="00F762B7">
        <w:rPr>
          <w:rFonts w:ascii="Times New Roman" w:eastAsia="Calibri" w:hAnsi="Times New Roman" w:cs="Times New Roman"/>
          <w:bCs/>
          <w:color w:val="000000"/>
          <w:sz w:val="24"/>
          <w:szCs w:val="24"/>
        </w:rPr>
        <w:t xml:space="preserve">regulácia zvyšuje administratívnu záťaž poisťovní a zaisťovní </w:t>
      </w:r>
      <w:r>
        <w:rPr>
          <w:rFonts w:ascii="Times New Roman" w:eastAsia="Calibri" w:hAnsi="Times New Roman" w:cs="Times New Roman"/>
          <w:bCs/>
          <w:color w:val="000000"/>
          <w:sz w:val="24"/>
          <w:szCs w:val="24"/>
        </w:rPr>
        <w:t xml:space="preserve">z dôvodu povinnosti predkladania </w:t>
      </w:r>
      <w:r w:rsidRPr="00F762B7">
        <w:rPr>
          <w:rFonts w:ascii="Times New Roman" w:eastAsia="Calibri" w:hAnsi="Times New Roman" w:cs="Times New Roman"/>
          <w:bCs/>
          <w:color w:val="000000"/>
          <w:sz w:val="24"/>
          <w:szCs w:val="24"/>
        </w:rPr>
        <w:t>správy o odhade kapitálovej požiadavky na solventnosť</w:t>
      </w:r>
      <w:r>
        <w:rPr>
          <w:rFonts w:ascii="Times New Roman" w:eastAsia="Calibri" w:hAnsi="Times New Roman" w:cs="Times New Roman"/>
          <w:bCs/>
          <w:color w:val="000000"/>
          <w:sz w:val="24"/>
          <w:szCs w:val="24"/>
        </w:rPr>
        <w:t xml:space="preserve"> Národnej banke Slovenska</w:t>
      </w:r>
      <w:r w:rsidRPr="00F762B7">
        <w:rPr>
          <w:rFonts w:ascii="Times New Roman" w:eastAsia="Calibri" w:hAnsi="Times New Roman" w:cs="Times New Roman"/>
          <w:bCs/>
          <w:color w:val="000000"/>
          <w:sz w:val="24"/>
          <w:szCs w:val="24"/>
        </w:rPr>
        <w:t xml:space="preserve">. Frekvencia plnenia je na základe navrhovanej právnej úpravy určená </w:t>
      </w:r>
      <w:r>
        <w:rPr>
          <w:rFonts w:ascii="Times New Roman" w:eastAsia="Calibri" w:hAnsi="Times New Roman" w:cs="Times New Roman"/>
          <w:bCs/>
          <w:color w:val="000000"/>
          <w:sz w:val="24"/>
          <w:szCs w:val="24"/>
        </w:rPr>
        <w:t>na každé dva roky</w:t>
      </w:r>
      <w:r w:rsidRPr="00F762B7">
        <w:rPr>
          <w:rFonts w:ascii="Times New Roman" w:eastAsia="Calibri" w:hAnsi="Times New Roman" w:cs="Times New Roman"/>
          <w:bCs/>
          <w:color w:val="000000"/>
          <w:sz w:val="24"/>
          <w:szCs w:val="24"/>
        </w:rPr>
        <w:t>.</w:t>
      </w:r>
    </w:p>
    <w:p w14:paraId="5D473C0D" w14:textId="28F947FD" w:rsidR="007E4D45" w:rsidRDefault="007E4D45" w:rsidP="007E4D45">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18. V</w:t>
      </w:r>
      <w:r w:rsidRPr="007E4D45">
        <w:rPr>
          <w:rFonts w:ascii="Times New Roman" w:eastAsia="Calibri" w:hAnsi="Times New Roman" w:cs="Times New Roman"/>
          <w:bCs/>
          <w:i/>
          <w:iCs/>
          <w:color w:val="000000"/>
          <w:sz w:val="24"/>
          <w:szCs w:val="24"/>
        </w:rPr>
        <w:t>plyv pohybov kreditnej prirážky</w:t>
      </w:r>
    </w:p>
    <w:p w14:paraId="756735B2" w14:textId="47A12FF0" w:rsidR="007E4D45" w:rsidRDefault="007E4D45" w:rsidP="007E4D45">
      <w:pPr>
        <w:jc w:val="both"/>
        <w:rPr>
          <w:rFonts w:ascii="Times New Roman" w:eastAsia="Calibri" w:hAnsi="Times New Roman" w:cs="Times New Roman"/>
          <w:bCs/>
          <w:color w:val="000000"/>
          <w:sz w:val="24"/>
          <w:szCs w:val="24"/>
        </w:rPr>
      </w:pPr>
      <w:r w:rsidRPr="007E4D45">
        <w:rPr>
          <w:rFonts w:ascii="Times New Roman" w:eastAsia="Calibri" w:hAnsi="Times New Roman" w:cs="Times New Roman"/>
          <w:bCs/>
          <w:color w:val="000000"/>
          <w:sz w:val="24"/>
          <w:szCs w:val="24"/>
        </w:rPr>
        <w:t>Predmetná regulácia zvyšuje administratívnu záťaž poisťovní</w:t>
      </w:r>
      <w:r>
        <w:rPr>
          <w:rFonts w:ascii="Times New Roman" w:eastAsia="Calibri" w:hAnsi="Times New Roman" w:cs="Times New Roman"/>
          <w:bCs/>
          <w:color w:val="000000"/>
          <w:sz w:val="24"/>
          <w:szCs w:val="24"/>
        </w:rPr>
        <w:t xml:space="preserve"> a </w:t>
      </w:r>
      <w:r w:rsidRPr="007E4D45">
        <w:rPr>
          <w:rFonts w:ascii="Times New Roman" w:eastAsia="Calibri" w:hAnsi="Times New Roman" w:cs="Times New Roman"/>
          <w:bCs/>
          <w:color w:val="000000"/>
          <w:sz w:val="24"/>
          <w:szCs w:val="24"/>
        </w:rPr>
        <w:t xml:space="preserve">zaisťovní. Časová náročnosť pre </w:t>
      </w:r>
      <w:r>
        <w:rPr>
          <w:rFonts w:ascii="Times New Roman" w:eastAsia="Calibri" w:hAnsi="Times New Roman" w:cs="Times New Roman"/>
          <w:bCs/>
          <w:color w:val="000000"/>
          <w:sz w:val="24"/>
          <w:szCs w:val="24"/>
        </w:rPr>
        <w:t xml:space="preserve">výpočet </w:t>
      </w:r>
      <w:r w:rsidR="007D150B">
        <w:rPr>
          <w:rFonts w:ascii="Times New Roman" w:eastAsia="Calibri" w:hAnsi="Times New Roman" w:cs="Times New Roman"/>
          <w:bCs/>
          <w:color w:val="000000"/>
          <w:sz w:val="24"/>
          <w:szCs w:val="24"/>
        </w:rPr>
        <w:t>v</w:t>
      </w:r>
      <w:r w:rsidR="007D150B" w:rsidRPr="007D150B">
        <w:rPr>
          <w:rFonts w:ascii="Times New Roman" w:eastAsia="Calibri" w:hAnsi="Times New Roman" w:cs="Times New Roman"/>
          <w:bCs/>
          <w:color w:val="000000"/>
          <w:sz w:val="24"/>
          <w:szCs w:val="24"/>
        </w:rPr>
        <w:t>plyv</w:t>
      </w:r>
      <w:r w:rsidR="007D150B">
        <w:rPr>
          <w:rFonts w:ascii="Times New Roman" w:eastAsia="Calibri" w:hAnsi="Times New Roman" w:cs="Times New Roman"/>
          <w:bCs/>
          <w:color w:val="000000"/>
          <w:sz w:val="24"/>
          <w:szCs w:val="24"/>
        </w:rPr>
        <w:t>u</w:t>
      </w:r>
      <w:r w:rsidR="007D150B" w:rsidRPr="007D150B">
        <w:rPr>
          <w:rFonts w:ascii="Times New Roman" w:eastAsia="Calibri" w:hAnsi="Times New Roman" w:cs="Times New Roman"/>
          <w:bCs/>
          <w:color w:val="000000"/>
          <w:sz w:val="24"/>
          <w:szCs w:val="24"/>
        </w:rPr>
        <w:t xml:space="preserve"> pohybov kreditnej prirážky </w:t>
      </w:r>
      <w:r w:rsidRPr="007E4D45">
        <w:rPr>
          <w:rFonts w:ascii="Times New Roman" w:eastAsia="Calibri" w:hAnsi="Times New Roman" w:cs="Times New Roman"/>
          <w:bCs/>
          <w:color w:val="000000"/>
          <w:sz w:val="24"/>
          <w:szCs w:val="24"/>
        </w:rPr>
        <w:t xml:space="preserve">bola </w:t>
      </w:r>
      <w:r w:rsidR="00375D16" w:rsidRPr="00375D16">
        <w:rPr>
          <w:rFonts w:ascii="Times New Roman" w:eastAsia="Calibri" w:hAnsi="Times New Roman" w:cs="Times New Roman"/>
          <w:bCs/>
          <w:color w:val="000000"/>
          <w:sz w:val="24"/>
          <w:szCs w:val="24"/>
        </w:rPr>
        <w:t xml:space="preserve">na základe expertného odhadu predkladateľa </w:t>
      </w:r>
      <w:r w:rsidRPr="007E4D45">
        <w:rPr>
          <w:rFonts w:ascii="Times New Roman" w:eastAsia="Calibri" w:hAnsi="Times New Roman" w:cs="Times New Roman"/>
          <w:bCs/>
          <w:color w:val="000000"/>
          <w:sz w:val="24"/>
          <w:szCs w:val="24"/>
        </w:rPr>
        <w:t xml:space="preserve">vypočítaná ako súčin 480 minút (osem hodín denne) a počtu pracovných dní, ktorých odhadujeme v trvaní 125 pracovných dní (t. j. 480 min. * 125 pracovných dní = 60.000 min.) na jeden subjekt. Frekvencia plnenia bola na základe vyššie uvedenej kvantifikácie určená </w:t>
      </w:r>
      <w:r w:rsidR="007D150B">
        <w:rPr>
          <w:rFonts w:ascii="Times New Roman" w:eastAsia="Calibri" w:hAnsi="Times New Roman" w:cs="Times New Roman"/>
          <w:bCs/>
          <w:color w:val="000000"/>
          <w:sz w:val="24"/>
          <w:szCs w:val="24"/>
        </w:rPr>
        <w:t>nepravidelne</w:t>
      </w:r>
      <w:r w:rsidRPr="007E4D45">
        <w:rPr>
          <w:rFonts w:ascii="Times New Roman" w:eastAsia="Calibri" w:hAnsi="Times New Roman" w:cs="Times New Roman"/>
          <w:bCs/>
          <w:color w:val="000000"/>
          <w:sz w:val="24"/>
          <w:szCs w:val="24"/>
        </w:rPr>
        <w:t>.</w:t>
      </w:r>
    </w:p>
    <w:p w14:paraId="01951D2C" w14:textId="10B908A8" w:rsidR="007D150B" w:rsidRPr="007D150B" w:rsidRDefault="007D150B" w:rsidP="007D150B">
      <w:pPr>
        <w:ind w:firstLine="426"/>
        <w:jc w:val="both"/>
        <w:rPr>
          <w:rFonts w:ascii="Times New Roman" w:eastAsia="Calibri" w:hAnsi="Times New Roman" w:cs="Times New Roman"/>
          <w:bCs/>
          <w:i/>
          <w:iCs/>
          <w:color w:val="000000"/>
          <w:sz w:val="24"/>
          <w:szCs w:val="24"/>
        </w:rPr>
      </w:pPr>
      <w:r w:rsidRPr="007D150B">
        <w:rPr>
          <w:rFonts w:ascii="Times New Roman" w:eastAsia="Calibri" w:hAnsi="Times New Roman" w:cs="Times New Roman"/>
          <w:bCs/>
          <w:i/>
          <w:iCs/>
          <w:color w:val="000000"/>
          <w:sz w:val="24"/>
          <w:szCs w:val="24"/>
        </w:rPr>
        <w:t>19.</w:t>
      </w:r>
      <w:r>
        <w:rPr>
          <w:rFonts w:ascii="Times New Roman" w:eastAsia="Calibri" w:hAnsi="Times New Roman" w:cs="Times New Roman"/>
          <w:bCs/>
          <w:i/>
          <w:iCs/>
          <w:color w:val="000000"/>
          <w:sz w:val="24"/>
          <w:szCs w:val="24"/>
        </w:rPr>
        <w:t xml:space="preserve"> Tvorba investičnej stratégie</w:t>
      </w:r>
    </w:p>
    <w:p w14:paraId="443E55DF" w14:textId="422F7289" w:rsidR="007D150B" w:rsidRDefault="007D150B" w:rsidP="007E4D45">
      <w:pPr>
        <w:jc w:val="both"/>
        <w:rPr>
          <w:rFonts w:ascii="Times New Roman" w:eastAsia="Calibri" w:hAnsi="Times New Roman" w:cs="Times New Roman"/>
          <w:bCs/>
          <w:color w:val="000000"/>
          <w:sz w:val="24"/>
          <w:szCs w:val="24"/>
        </w:rPr>
      </w:pPr>
      <w:r w:rsidRPr="007D150B">
        <w:rPr>
          <w:rFonts w:ascii="Times New Roman" w:eastAsia="Calibri" w:hAnsi="Times New Roman" w:cs="Times New Roman"/>
          <w:bCs/>
          <w:color w:val="000000"/>
          <w:sz w:val="24"/>
          <w:szCs w:val="24"/>
        </w:rPr>
        <w:t>Poisťovniam</w:t>
      </w:r>
      <w:r w:rsidR="00A64A95">
        <w:rPr>
          <w:rFonts w:ascii="Times New Roman" w:eastAsia="Calibri" w:hAnsi="Times New Roman" w:cs="Times New Roman"/>
          <w:bCs/>
          <w:color w:val="000000"/>
          <w:sz w:val="24"/>
          <w:szCs w:val="24"/>
        </w:rPr>
        <w:t xml:space="preserve"> a </w:t>
      </w:r>
      <w:r w:rsidRPr="007D150B">
        <w:rPr>
          <w:rFonts w:ascii="Times New Roman" w:eastAsia="Calibri" w:hAnsi="Times New Roman" w:cs="Times New Roman"/>
          <w:bCs/>
          <w:color w:val="000000"/>
          <w:sz w:val="24"/>
          <w:szCs w:val="24"/>
        </w:rPr>
        <w:t>zaisťovniam</w:t>
      </w:r>
      <w:r w:rsidR="00A64A95">
        <w:rPr>
          <w:rFonts w:ascii="Times New Roman" w:eastAsia="Calibri" w:hAnsi="Times New Roman" w:cs="Times New Roman"/>
          <w:bCs/>
          <w:color w:val="000000"/>
          <w:sz w:val="24"/>
          <w:szCs w:val="24"/>
        </w:rPr>
        <w:t xml:space="preserve"> </w:t>
      </w:r>
      <w:r w:rsidRPr="007D150B">
        <w:rPr>
          <w:rFonts w:ascii="Times New Roman" w:eastAsia="Calibri" w:hAnsi="Times New Roman" w:cs="Times New Roman"/>
          <w:bCs/>
          <w:color w:val="000000"/>
          <w:sz w:val="24"/>
          <w:szCs w:val="24"/>
        </w:rPr>
        <w:t>uvedená regulácia zvyšuje administratívnu záťaž z dôvodu povinnost</w:t>
      </w:r>
      <w:r w:rsidR="00A64A95">
        <w:rPr>
          <w:rFonts w:ascii="Times New Roman" w:eastAsia="Calibri" w:hAnsi="Times New Roman" w:cs="Times New Roman"/>
          <w:bCs/>
          <w:color w:val="000000"/>
          <w:sz w:val="24"/>
          <w:szCs w:val="24"/>
        </w:rPr>
        <w:t xml:space="preserve">i </w:t>
      </w:r>
      <w:r w:rsidR="00A64A95" w:rsidRPr="00A64A95">
        <w:rPr>
          <w:rFonts w:ascii="Times New Roman" w:eastAsia="Calibri" w:hAnsi="Times New Roman" w:cs="Times New Roman"/>
          <w:bCs/>
          <w:color w:val="000000"/>
          <w:sz w:val="24"/>
          <w:szCs w:val="24"/>
        </w:rPr>
        <w:t>pri rozhodovaní o svojej investičnej stratégii zohľadňovať možný makroekonomický vývoj a vývoj na finančných trhoch</w:t>
      </w:r>
      <w:r w:rsidR="00FA469D">
        <w:rPr>
          <w:rFonts w:ascii="Times New Roman" w:eastAsia="Calibri" w:hAnsi="Times New Roman" w:cs="Times New Roman"/>
          <w:bCs/>
          <w:color w:val="000000"/>
          <w:sz w:val="24"/>
          <w:szCs w:val="24"/>
        </w:rPr>
        <w:t xml:space="preserve">. </w:t>
      </w:r>
      <w:r w:rsidRPr="007D150B">
        <w:rPr>
          <w:rFonts w:ascii="Times New Roman" w:eastAsia="Calibri" w:hAnsi="Times New Roman" w:cs="Times New Roman"/>
          <w:bCs/>
          <w:color w:val="000000"/>
          <w:sz w:val="24"/>
          <w:szCs w:val="24"/>
        </w:rPr>
        <w:t>Časová náročnosť pre administratívne náklady bola vypočítaná ako súčin 480 minút (osem hodín denne) a počtu pracovných dní, ktorých na základe expertného odhadu predkladateľa odhadujeme v trvaní 65 pracovných dní (t. j. 480 min. * 65 pracovných dní = 31.200 min.) na jeden subjekt. Frekvencia plnenia bola na základe vyššie uvedenej kvantifikácie určená nepravidelne.</w:t>
      </w:r>
    </w:p>
    <w:p w14:paraId="7BA6D787" w14:textId="79278643" w:rsidR="00F762B7" w:rsidRDefault="00DE302E" w:rsidP="00F762B7">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20. Vypustenie oznamovacej povinnosti</w:t>
      </w:r>
    </w:p>
    <w:p w14:paraId="24F2A9D4" w14:textId="70BE63D9" w:rsidR="00DE302E" w:rsidRDefault="00DE302E" w:rsidP="00DE302E">
      <w:pPr>
        <w:jc w:val="both"/>
        <w:rPr>
          <w:rFonts w:ascii="Times New Roman" w:eastAsia="Calibri" w:hAnsi="Times New Roman" w:cs="Times New Roman"/>
          <w:bCs/>
          <w:color w:val="000000"/>
          <w:sz w:val="24"/>
          <w:szCs w:val="24"/>
        </w:rPr>
      </w:pPr>
      <w:r w:rsidRPr="00DE302E">
        <w:rPr>
          <w:rFonts w:ascii="Times New Roman" w:eastAsia="Calibri" w:hAnsi="Times New Roman" w:cs="Times New Roman"/>
          <w:bCs/>
          <w:color w:val="000000"/>
          <w:sz w:val="24"/>
          <w:szCs w:val="24"/>
        </w:rPr>
        <w:t xml:space="preserve">Regulácia </w:t>
      </w:r>
      <w:r>
        <w:rPr>
          <w:rFonts w:ascii="Times New Roman" w:eastAsia="Calibri" w:hAnsi="Times New Roman" w:cs="Times New Roman"/>
          <w:bCs/>
          <w:color w:val="000000"/>
          <w:sz w:val="24"/>
          <w:szCs w:val="24"/>
        </w:rPr>
        <w:t>znižuje</w:t>
      </w:r>
      <w:r w:rsidRPr="00DE302E">
        <w:rPr>
          <w:rFonts w:ascii="Times New Roman" w:eastAsia="Calibri" w:hAnsi="Times New Roman" w:cs="Times New Roman"/>
          <w:bCs/>
          <w:color w:val="000000"/>
          <w:sz w:val="24"/>
          <w:szCs w:val="24"/>
        </w:rPr>
        <w:t xml:space="preserve"> administratívne náklady poisťovní a zaisťovní. Uvedenou reguláciou sa </w:t>
      </w:r>
      <w:r>
        <w:rPr>
          <w:rFonts w:ascii="Times New Roman" w:eastAsia="Calibri" w:hAnsi="Times New Roman" w:cs="Times New Roman"/>
          <w:bCs/>
          <w:color w:val="000000"/>
          <w:sz w:val="24"/>
          <w:szCs w:val="24"/>
        </w:rPr>
        <w:t>vypúšťa povinnosť</w:t>
      </w:r>
      <w:r w:rsidRPr="00DE302E">
        <w:rPr>
          <w:rFonts w:ascii="Times New Roman" w:eastAsia="Calibri" w:hAnsi="Times New Roman" w:cs="Times New Roman"/>
          <w:bCs/>
          <w:color w:val="000000"/>
          <w:sz w:val="24"/>
          <w:szCs w:val="24"/>
        </w:rPr>
        <w:t xml:space="preserve"> informovať Národn</w:t>
      </w:r>
      <w:r>
        <w:rPr>
          <w:rFonts w:ascii="Times New Roman" w:eastAsia="Calibri" w:hAnsi="Times New Roman" w:cs="Times New Roman"/>
          <w:bCs/>
          <w:color w:val="000000"/>
          <w:sz w:val="24"/>
          <w:szCs w:val="24"/>
        </w:rPr>
        <w:t>ú</w:t>
      </w:r>
      <w:r w:rsidRPr="00DE302E">
        <w:rPr>
          <w:rFonts w:ascii="Times New Roman" w:eastAsia="Calibri" w:hAnsi="Times New Roman" w:cs="Times New Roman"/>
          <w:bCs/>
          <w:color w:val="000000"/>
          <w:sz w:val="24"/>
          <w:szCs w:val="24"/>
        </w:rPr>
        <w:t xml:space="preserve"> banku Slovenska</w:t>
      </w:r>
      <w:r>
        <w:rPr>
          <w:rFonts w:ascii="Times New Roman" w:eastAsia="Calibri" w:hAnsi="Times New Roman" w:cs="Times New Roman"/>
          <w:bCs/>
          <w:color w:val="000000"/>
          <w:sz w:val="24"/>
          <w:szCs w:val="24"/>
        </w:rPr>
        <w:t xml:space="preserve"> na jej požiadanie o výške pohľadávok, ktoré majú </w:t>
      </w:r>
      <w:r w:rsidR="007A6971">
        <w:rPr>
          <w:rFonts w:ascii="Times New Roman" w:eastAsia="Calibri" w:hAnsi="Times New Roman" w:cs="Times New Roman"/>
          <w:bCs/>
          <w:color w:val="000000"/>
          <w:sz w:val="24"/>
          <w:szCs w:val="24"/>
        </w:rPr>
        <w:t xml:space="preserve">prednosť pred nárokmi z poistenia pri likvidácii alebo konkurze. </w:t>
      </w:r>
      <w:r w:rsidRPr="00DE302E">
        <w:rPr>
          <w:rFonts w:ascii="Times New Roman" w:eastAsia="Calibri" w:hAnsi="Times New Roman" w:cs="Times New Roman"/>
          <w:bCs/>
          <w:color w:val="000000"/>
          <w:sz w:val="24"/>
          <w:szCs w:val="24"/>
        </w:rPr>
        <w:t xml:space="preserve"> Frekvencia plnenia tejto povinnosti je </w:t>
      </w:r>
      <w:r w:rsidR="00A06D63">
        <w:rPr>
          <w:rFonts w:ascii="Times New Roman" w:eastAsia="Calibri" w:hAnsi="Times New Roman" w:cs="Times New Roman"/>
          <w:bCs/>
          <w:color w:val="000000"/>
          <w:sz w:val="24"/>
          <w:szCs w:val="24"/>
        </w:rPr>
        <w:t>jednorazová</w:t>
      </w:r>
      <w:r w:rsidR="007A6971">
        <w:rPr>
          <w:rFonts w:ascii="Times New Roman" w:eastAsia="Calibri" w:hAnsi="Times New Roman" w:cs="Times New Roman"/>
          <w:bCs/>
          <w:color w:val="000000"/>
          <w:sz w:val="24"/>
          <w:szCs w:val="24"/>
        </w:rPr>
        <w:t xml:space="preserve">. </w:t>
      </w:r>
    </w:p>
    <w:p w14:paraId="30EFBFA6" w14:textId="25E611F9" w:rsidR="007A6971" w:rsidRDefault="007A6971" w:rsidP="007A6971">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21. Oznámenie o zmene právnej formy</w:t>
      </w:r>
    </w:p>
    <w:p w14:paraId="394235D8" w14:textId="6B7E5D70" w:rsidR="007A6971" w:rsidRDefault="00886A06" w:rsidP="007A6971">
      <w:pPr>
        <w:jc w:val="both"/>
        <w:rPr>
          <w:rFonts w:ascii="Times New Roman" w:eastAsia="Calibri" w:hAnsi="Times New Roman" w:cs="Times New Roman"/>
          <w:bCs/>
          <w:color w:val="000000"/>
          <w:sz w:val="24"/>
          <w:szCs w:val="24"/>
        </w:rPr>
      </w:pPr>
      <w:r w:rsidRPr="00886A06">
        <w:rPr>
          <w:rFonts w:ascii="Times New Roman" w:eastAsia="Calibri" w:hAnsi="Times New Roman" w:cs="Times New Roman"/>
          <w:bCs/>
          <w:color w:val="000000"/>
          <w:sz w:val="24"/>
          <w:szCs w:val="24"/>
        </w:rPr>
        <w:t xml:space="preserve">Regulácia zvyšuje administratívne náklady poisťovní </w:t>
      </w:r>
      <w:r>
        <w:rPr>
          <w:rFonts w:ascii="Times New Roman" w:eastAsia="Calibri" w:hAnsi="Times New Roman" w:cs="Times New Roman"/>
          <w:bCs/>
          <w:color w:val="000000"/>
          <w:sz w:val="24"/>
          <w:szCs w:val="24"/>
        </w:rPr>
        <w:t>z iného členského štátu</w:t>
      </w:r>
      <w:r w:rsidRPr="00886A06">
        <w:rPr>
          <w:rFonts w:ascii="Times New Roman" w:eastAsia="Calibri" w:hAnsi="Times New Roman" w:cs="Times New Roman"/>
          <w:bCs/>
          <w:color w:val="000000"/>
          <w:sz w:val="24"/>
          <w:szCs w:val="24"/>
        </w:rPr>
        <w:t xml:space="preserve">. </w:t>
      </w:r>
      <w:r>
        <w:rPr>
          <w:rFonts w:ascii="Times New Roman" w:eastAsia="Calibri" w:hAnsi="Times New Roman" w:cs="Times New Roman"/>
          <w:bCs/>
          <w:color w:val="000000"/>
          <w:sz w:val="24"/>
          <w:szCs w:val="24"/>
        </w:rPr>
        <w:t xml:space="preserve">Predmetom </w:t>
      </w:r>
      <w:r w:rsidRPr="00886A06">
        <w:rPr>
          <w:rFonts w:ascii="Times New Roman" w:eastAsia="Calibri" w:hAnsi="Times New Roman" w:cs="Times New Roman"/>
          <w:bCs/>
          <w:color w:val="000000"/>
          <w:sz w:val="24"/>
          <w:szCs w:val="24"/>
        </w:rPr>
        <w:t xml:space="preserve"> reguláci</w:t>
      </w:r>
      <w:r>
        <w:rPr>
          <w:rFonts w:ascii="Times New Roman" w:eastAsia="Calibri" w:hAnsi="Times New Roman" w:cs="Times New Roman"/>
          <w:bCs/>
          <w:color w:val="000000"/>
          <w:sz w:val="24"/>
          <w:szCs w:val="24"/>
        </w:rPr>
        <w:t xml:space="preserve">e je povinnosť poisťovne z iného členského štátu </w:t>
      </w:r>
      <w:r w:rsidRPr="00886A06">
        <w:rPr>
          <w:rFonts w:ascii="Times New Roman" w:eastAsia="Calibri" w:hAnsi="Times New Roman" w:cs="Times New Roman"/>
          <w:bCs/>
          <w:color w:val="000000"/>
          <w:sz w:val="24"/>
          <w:szCs w:val="24"/>
        </w:rPr>
        <w:t>informovať</w:t>
      </w:r>
      <w:r>
        <w:rPr>
          <w:rFonts w:ascii="Times New Roman" w:eastAsia="Calibri" w:hAnsi="Times New Roman" w:cs="Times New Roman"/>
          <w:bCs/>
          <w:color w:val="000000"/>
          <w:sz w:val="24"/>
          <w:szCs w:val="24"/>
        </w:rPr>
        <w:t xml:space="preserve"> svojich klientov o cezhraničnej zmene svojej právnej formy</w:t>
      </w:r>
      <w:r w:rsidRPr="00886A06">
        <w:rPr>
          <w:rFonts w:ascii="Times New Roman" w:eastAsia="Calibri" w:hAnsi="Times New Roman" w:cs="Times New Roman"/>
          <w:bCs/>
          <w:color w:val="000000"/>
          <w:sz w:val="24"/>
          <w:szCs w:val="24"/>
        </w:rPr>
        <w:t xml:space="preserve">. Frekvencia plnenia tejto povinnosti je </w:t>
      </w:r>
      <w:r w:rsidRPr="00886A06">
        <w:rPr>
          <w:rFonts w:ascii="Times New Roman" w:eastAsia="Calibri" w:hAnsi="Times New Roman" w:cs="Times New Roman"/>
          <w:bCs/>
          <w:color w:val="000000"/>
          <w:sz w:val="24"/>
          <w:szCs w:val="24"/>
        </w:rPr>
        <w:lastRenderedPageBreak/>
        <w:t>nepravidelná</w:t>
      </w:r>
      <w:r>
        <w:rPr>
          <w:rFonts w:ascii="Times New Roman" w:eastAsia="Calibri" w:hAnsi="Times New Roman" w:cs="Times New Roman"/>
          <w:bCs/>
          <w:color w:val="000000"/>
          <w:sz w:val="24"/>
          <w:szCs w:val="24"/>
        </w:rPr>
        <w:t xml:space="preserve">. </w:t>
      </w:r>
      <w:r w:rsidRPr="00886A06">
        <w:rPr>
          <w:rFonts w:ascii="Times New Roman" w:eastAsia="Calibri" w:hAnsi="Times New Roman" w:cs="Times New Roman"/>
          <w:bCs/>
          <w:color w:val="000000"/>
          <w:sz w:val="24"/>
          <w:szCs w:val="24"/>
        </w:rPr>
        <w:t>Celkový vplyv na podnikateľské prostredie nepredstavuje významnú regulačnú záťaž.</w:t>
      </w:r>
    </w:p>
    <w:p w14:paraId="72BEFE86" w14:textId="716BE6F1" w:rsidR="00886A06" w:rsidRDefault="00886A06" w:rsidP="00886A06">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22. </w:t>
      </w:r>
      <w:r w:rsidR="00A06D63">
        <w:rPr>
          <w:rFonts w:ascii="Times New Roman" w:eastAsia="Calibri" w:hAnsi="Times New Roman" w:cs="Times New Roman"/>
          <w:bCs/>
          <w:i/>
          <w:iCs/>
          <w:color w:val="000000"/>
          <w:sz w:val="24"/>
          <w:szCs w:val="24"/>
        </w:rPr>
        <w:t>Vypustenie povinnosti informovať NBS</w:t>
      </w:r>
    </w:p>
    <w:p w14:paraId="15C0E947" w14:textId="01E50CAA" w:rsidR="00A06D63" w:rsidRDefault="00A06D63" w:rsidP="00A06D63">
      <w:pPr>
        <w:jc w:val="both"/>
        <w:rPr>
          <w:rFonts w:ascii="Times New Roman" w:eastAsia="Calibri" w:hAnsi="Times New Roman" w:cs="Times New Roman"/>
          <w:bCs/>
          <w:color w:val="000000"/>
          <w:sz w:val="24"/>
          <w:szCs w:val="24"/>
        </w:rPr>
      </w:pPr>
      <w:r w:rsidRPr="00A06D63">
        <w:rPr>
          <w:rFonts w:ascii="Times New Roman" w:eastAsia="Calibri" w:hAnsi="Times New Roman" w:cs="Times New Roman"/>
          <w:bCs/>
          <w:color w:val="000000"/>
          <w:sz w:val="24"/>
          <w:szCs w:val="24"/>
        </w:rPr>
        <w:t xml:space="preserve">Regulácia znižuje administratívne náklady poisťovní a zaisťovní. Uvedenou reguláciou sa vypúšťa povinnosť </w:t>
      </w:r>
      <w:r>
        <w:rPr>
          <w:rFonts w:ascii="Times New Roman" w:eastAsia="Calibri" w:hAnsi="Times New Roman" w:cs="Times New Roman"/>
          <w:bCs/>
          <w:color w:val="000000"/>
          <w:sz w:val="24"/>
          <w:szCs w:val="24"/>
        </w:rPr>
        <w:t xml:space="preserve">požiadať </w:t>
      </w:r>
      <w:r w:rsidRPr="00A06D63">
        <w:rPr>
          <w:rFonts w:ascii="Times New Roman" w:eastAsia="Calibri" w:hAnsi="Times New Roman" w:cs="Times New Roman"/>
          <w:bCs/>
          <w:color w:val="000000"/>
          <w:sz w:val="24"/>
          <w:szCs w:val="24"/>
        </w:rPr>
        <w:t>Národn</w:t>
      </w:r>
      <w:r>
        <w:rPr>
          <w:rFonts w:ascii="Times New Roman" w:eastAsia="Calibri" w:hAnsi="Times New Roman" w:cs="Times New Roman"/>
          <w:bCs/>
          <w:color w:val="000000"/>
          <w:sz w:val="24"/>
          <w:szCs w:val="24"/>
        </w:rPr>
        <w:t>ú</w:t>
      </w:r>
      <w:r w:rsidRPr="00A06D63">
        <w:rPr>
          <w:rFonts w:ascii="Times New Roman" w:eastAsia="Calibri" w:hAnsi="Times New Roman" w:cs="Times New Roman"/>
          <w:bCs/>
          <w:color w:val="000000"/>
          <w:sz w:val="24"/>
          <w:szCs w:val="24"/>
        </w:rPr>
        <w:t xml:space="preserve"> bank</w:t>
      </w:r>
      <w:r>
        <w:rPr>
          <w:rFonts w:ascii="Times New Roman" w:eastAsia="Calibri" w:hAnsi="Times New Roman" w:cs="Times New Roman"/>
          <w:bCs/>
          <w:color w:val="000000"/>
          <w:sz w:val="24"/>
          <w:szCs w:val="24"/>
        </w:rPr>
        <w:t>u</w:t>
      </w:r>
      <w:r w:rsidRPr="00A06D63">
        <w:rPr>
          <w:rFonts w:ascii="Times New Roman" w:eastAsia="Calibri" w:hAnsi="Times New Roman" w:cs="Times New Roman"/>
          <w:bCs/>
          <w:color w:val="000000"/>
          <w:sz w:val="24"/>
          <w:szCs w:val="24"/>
        </w:rPr>
        <w:t xml:space="preserve"> Slovensk</w:t>
      </w:r>
      <w:r>
        <w:rPr>
          <w:rFonts w:ascii="Times New Roman" w:eastAsia="Calibri" w:hAnsi="Times New Roman" w:cs="Times New Roman"/>
          <w:bCs/>
          <w:color w:val="000000"/>
          <w:sz w:val="24"/>
          <w:szCs w:val="24"/>
        </w:rPr>
        <w:t xml:space="preserve">a o zmenu intervalov predkladania informácií. </w:t>
      </w:r>
      <w:r w:rsidRPr="00A06D63">
        <w:rPr>
          <w:rFonts w:ascii="Times New Roman" w:eastAsia="Calibri" w:hAnsi="Times New Roman" w:cs="Times New Roman"/>
          <w:bCs/>
          <w:color w:val="000000"/>
          <w:sz w:val="24"/>
          <w:szCs w:val="24"/>
        </w:rPr>
        <w:t xml:space="preserve">Frekvencia plnenia tejto povinnosti je </w:t>
      </w:r>
      <w:r>
        <w:rPr>
          <w:rFonts w:ascii="Times New Roman" w:eastAsia="Calibri" w:hAnsi="Times New Roman" w:cs="Times New Roman"/>
          <w:bCs/>
          <w:color w:val="000000"/>
          <w:sz w:val="24"/>
          <w:szCs w:val="24"/>
        </w:rPr>
        <w:t>jednor</w:t>
      </w:r>
      <w:r w:rsidR="00322270">
        <w:rPr>
          <w:rFonts w:ascii="Times New Roman" w:eastAsia="Calibri" w:hAnsi="Times New Roman" w:cs="Times New Roman"/>
          <w:bCs/>
          <w:color w:val="000000"/>
          <w:sz w:val="24"/>
          <w:szCs w:val="24"/>
        </w:rPr>
        <w:t>a</w:t>
      </w:r>
      <w:r>
        <w:rPr>
          <w:rFonts w:ascii="Times New Roman" w:eastAsia="Calibri" w:hAnsi="Times New Roman" w:cs="Times New Roman"/>
          <w:bCs/>
          <w:color w:val="000000"/>
          <w:sz w:val="24"/>
          <w:szCs w:val="24"/>
        </w:rPr>
        <w:t>zová</w:t>
      </w:r>
      <w:r w:rsidRPr="00A06D63">
        <w:rPr>
          <w:rFonts w:ascii="Times New Roman" w:eastAsia="Calibri" w:hAnsi="Times New Roman" w:cs="Times New Roman"/>
          <w:bCs/>
          <w:color w:val="000000"/>
          <w:sz w:val="24"/>
          <w:szCs w:val="24"/>
        </w:rPr>
        <w:t>.</w:t>
      </w:r>
    </w:p>
    <w:p w14:paraId="73F03D25" w14:textId="59083644" w:rsidR="00A06D63" w:rsidRDefault="00A06D63" w:rsidP="00A06D63">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23. Správa pre orgán dohľadu</w:t>
      </w:r>
    </w:p>
    <w:p w14:paraId="232C618D" w14:textId="13598159" w:rsidR="00A06D63" w:rsidRDefault="000625D8" w:rsidP="00A06D63">
      <w:pPr>
        <w:jc w:val="both"/>
        <w:rPr>
          <w:rFonts w:ascii="Times New Roman" w:eastAsia="Calibri" w:hAnsi="Times New Roman" w:cs="Times New Roman"/>
          <w:bCs/>
          <w:color w:val="000000"/>
          <w:sz w:val="24"/>
          <w:szCs w:val="24"/>
        </w:rPr>
      </w:pPr>
      <w:r w:rsidRPr="000625D8">
        <w:rPr>
          <w:rFonts w:ascii="Times New Roman" w:eastAsia="Calibri" w:hAnsi="Times New Roman" w:cs="Times New Roman"/>
          <w:bCs/>
          <w:color w:val="000000"/>
          <w:sz w:val="24"/>
          <w:szCs w:val="24"/>
        </w:rPr>
        <w:t>Poisťovniam</w:t>
      </w:r>
      <w:r>
        <w:rPr>
          <w:rFonts w:ascii="Times New Roman" w:eastAsia="Calibri" w:hAnsi="Times New Roman" w:cs="Times New Roman"/>
          <w:bCs/>
          <w:color w:val="000000"/>
          <w:sz w:val="24"/>
          <w:szCs w:val="24"/>
        </w:rPr>
        <w:t xml:space="preserve"> a </w:t>
      </w:r>
      <w:r w:rsidRPr="000625D8">
        <w:rPr>
          <w:rFonts w:ascii="Times New Roman" w:eastAsia="Calibri" w:hAnsi="Times New Roman" w:cs="Times New Roman"/>
          <w:bCs/>
          <w:color w:val="000000"/>
          <w:sz w:val="24"/>
          <w:szCs w:val="24"/>
        </w:rPr>
        <w:t>zaisťovniam</w:t>
      </w:r>
      <w:r>
        <w:rPr>
          <w:rFonts w:ascii="Times New Roman" w:eastAsia="Calibri" w:hAnsi="Times New Roman" w:cs="Times New Roman"/>
          <w:bCs/>
          <w:color w:val="000000"/>
          <w:sz w:val="24"/>
          <w:szCs w:val="24"/>
        </w:rPr>
        <w:t xml:space="preserve"> </w:t>
      </w:r>
      <w:r w:rsidRPr="000625D8">
        <w:rPr>
          <w:rFonts w:ascii="Times New Roman" w:eastAsia="Calibri" w:hAnsi="Times New Roman" w:cs="Times New Roman"/>
          <w:bCs/>
          <w:color w:val="000000"/>
          <w:sz w:val="24"/>
          <w:szCs w:val="24"/>
        </w:rPr>
        <w:t xml:space="preserve">uvedená regulácia zvyšuje administratívnu záťaž. Časová náročnosť pre administratívne náklady bola na základe expertného odhadu predkladateľa vypočítaná ako súčin 480 minút (osem hodín denne) a počtu pracovných dní potrebných vypracovanie správy, ktorých odhadujeme v trvaní 65 pracovných dní (t. j. 480 min. * 65 pracovných dní = 31.200 min.) na jeden subjekt. Frekvencia plnenia bola na základe vyššie uvedenej kvantifikácie určená ako </w:t>
      </w:r>
      <w:r>
        <w:rPr>
          <w:rFonts w:ascii="Times New Roman" w:eastAsia="Calibri" w:hAnsi="Times New Roman" w:cs="Times New Roman"/>
          <w:bCs/>
          <w:color w:val="000000"/>
          <w:sz w:val="24"/>
          <w:szCs w:val="24"/>
        </w:rPr>
        <w:t>raz za tri roky</w:t>
      </w:r>
      <w:r w:rsidRPr="000625D8">
        <w:rPr>
          <w:rFonts w:ascii="Times New Roman" w:eastAsia="Calibri" w:hAnsi="Times New Roman" w:cs="Times New Roman"/>
          <w:bCs/>
          <w:color w:val="000000"/>
          <w:sz w:val="24"/>
          <w:szCs w:val="24"/>
        </w:rPr>
        <w:t>.</w:t>
      </w:r>
    </w:p>
    <w:p w14:paraId="58320593" w14:textId="22E7AF74" w:rsidR="000625D8" w:rsidRDefault="000625D8" w:rsidP="000625D8">
      <w:pPr>
        <w:ind w:firstLine="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24. </w:t>
      </w:r>
      <w:r w:rsidR="004E5678">
        <w:rPr>
          <w:rFonts w:ascii="Times New Roman" w:eastAsia="Calibri" w:hAnsi="Times New Roman" w:cs="Times New Roman"/>
          <w:bCs/>
          <w:i/>
          <w:iCs/>
          <w:color w:val="000000"/>
          <w:sz w:val="24"/>
          <w:szCs w:val="24"/>
        </w:rPr>
        <w:t>Úprava výpočtov solventnosti a kapitálovej požiadavky na solventnosť skupiny</w:t>
      </w:r>
    </w:p>
    <w:p w14:paraId="1DDAE504" w14:textId="21974703" w:rsidR="004E5678" w:rsidRDefault="004E5678" w:rsidP="004E5678">
      <w:pPr>
        <w:jc w:val="both"/>
        <w:rPr>
          <w:rFonts w:ascii="Times New Roman" w:eastAsia="Calibri" w:hAnsi="Times New Roman" w:cs="Times New Roman"/>
          <w:bCs/>
          <w:color w:val="000000"/>
          <w:sz w:val="24"/>
          <w:szCs w:val="24"/>
        </w:rPr>
      </w:pPr>
      <w:r w:rsidRPr="004E5678">
        <w:rPr>
          <w:rFonts w:ascii="Times New Roman" w:eastAsia="Calibri" w:hAnsi="Times New Roman" w:cs="Times New Roman"/>
          <w:bCs/>
          <w:color w:val="000000"/>
          <w:sz w:val="24"/>
          <w:szCs w:val="24"/>
        </w:rPr>
        <w:t>Predmetná regulácia zvyšuje administratívnu záťaž poisťovní</w:t>
      </w:r>
      <w:r>
        <w:rPr>
          <w:rFonts w:ascii="Times New Roman" w:eastAsia="Calibri" w:hAnsi="Times New Roman" w:cs="Times New Roman"/>
          <w:bCs/>
          <w:color w:val="000000"/>
          <w:sz w:val="24"/>
          <w:szCs w:val="24"/>
        </w:rPr>
        <w:t xml:space="preserve"> a </w:t>
      </w:r>
      <w:r w:rsidRPr="004E5678">
        <w:rPr>
          <w:rFonts w:ascii="Times New Roman" w:eastAsia="Calibri" w:hAnsi="Times New Roman" w:cs="Times New Roman"/>
          <w:bCs/>
          <w:color w:val="000000"/>
          <w:sz w:val="24"/>
          <w:szCs w:val="24"/>
        </w:rPr>
        <w:t>zaisťovní. Časová náročnosť pre administratívne náklady bola na základe expertného odhadu predkladateľa vypočítaná ako súčin 480 minút (osem hodín denne) a počtu pracovných dní, ktorých odhadujeme v trvaní 190 pracovných dní (t. j. 480 min. * 190 pracovných dní = 91.200 min.) na jeden subjekt. Frekvencia plnenia bola na základe vyššie uvedenej kvantifikácie určená ako nepravidelná.</w:t>
      </w:r>
    </w:p>
    <w:p w14:paraId="61541A46" w14:textId="77777777" w:rsidR="009B3221" w:rsidRPr="007001C1" w:rsidRDefault="009B3221" w:rsidP="00512BA7">
      <w:pPr>
        <w:jc w:val="both"/>
        <w:rPr>
          <w:rFonts w:ascii="Times New Roman" w:eastAsia="Calibri" w:hAnsi="Times New Roman" w:cs="Times New Roman"/>
          <w:iCs/>
          <w:sz w:val="24"/>
          <w:szCs w:val="24"/>
          <w:u w:val="single"/>
        </w:rPr>
      </w:pPr>
    </w:p>
    <w:p w14:paraId="0EB298DB" w14:textId="5BC64BBB"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lastRenderedPageBreak/>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2D93D1A1" w14:textId="77777777" w:rsidR="00322270" w:rsidRDefault="00322270" w:rsidP="00054C41">
      <w:pPr>
        <w:jc w:val="both"/>
        <w:rPr>
          <w:rFonts w:ascii="Times New Roman" w:eastAsia="Calibri" w:hAnsi="Times New Roman" w:cs="Times New Roman"/>
          <w:b/>
          <w:sz w:val="24"/>
          <w:szCs w:val="24"/>
        </w:rPr>
      </w:pPr>
    </w:p>
    <w:p w14:paraId="39D55FBC" w14:textId="4B238AE2"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46C405E7" w14:textId="77777777" w:rsidR="008279F4" w:rsidRDefault="00931578" w:rsidP="00931578">
      <w:pPr>
        <w:spacing w:after="0"/>
        <w:jc w:val="both"/>
        <w:rPr>
          <w:rFonts w:ascii="Times New Roman" w:eastAsia="Calibri" w:hAnsi="Times New Roman" w:cs="Times New Roman"/>
          <w:iCs/>
          <w:sz w:val="24"/>
          <w:szCs w:val="24"/>
        </w:rPr>
      </w:pPr>
      <w:r w:rsidRPr="00931578">
        <w:rPr>
          <w:rFonts w:ascii="Times New Roman" w:eastAsia="Calibri" w:hAnsi="Times New Roman" w:cs="Times New Roman"/>
          <w:iCs/>
          <w:sz w:val="24"/>
          <w:szCs w:val="24"/>
        </w:rPr>
        <w:t>Dňa 2</w:t>
      </w:r>
      <w:r>
        <w:rPr>
          <w:rFonts w:ascii="Times New Roman" w:eastAsia="Calibri" w:hAnsi="Times New Roman" w:cs="Times New Roman"/>
          <w:iCs/>
          <w:sz w:val="24"/>
          <w:szCs w:val="24"/>
        </w:rPr>
        <w:t>1</w:t>
      </w:r>
      <w:r w:rsidRPr="00931578">
        <w:rPr>
          <w:rFonts w:ascii="Times New Roman" w:eastAsia="Calibri" w:hAnsi="Times New Roman" w:cs="Times New Roman"/>
          <w:iCs/>
          <w:sz w:val="24"/>
          <w:szCs w:val="24"/>
        </w:rPr>
        <w:t xml:space="preserve">. </w:t>
      </w:r>
      <w:r>
        <w:rPr>
          <w:rFonts w:ascii="Times New Roman" w:eastAsia="Calibri" w:hAnsi="Times New Roman" w:cs="Times New Roman"/>
          <w:iCs/>
          <w:sz w:val="24"/>
          <w:szCs w:val="24"/>
        </w:rPr>
        <w:t>októbra</w:t>
      </w:r>
      <w:r w:rsidRPr="00931578">
        <w:rPr>
          <w:rFonts w:ascii="Times New Roman" w:eastAsia="Calibri" w:hAnsi="Times New Roman" w:cs="Times New Roman"/>
          <w:iCs/>
          <w:sz w:val="24"/>
          <w:szCs w:val="24"/>
        </w:rPr>
        <w:t xml:space="preserve"> 202</w:t>
      </w:r>
      <w:r w:rsidR="00CA6D63">
        <w:rPr>
          <w:rFonts w:ascii="Times New Roman" w:eastAsia="Calibri" w:hAnsi="Times New Roman" w:cs="Times New Roman"/>
          <w:iCs/>
          <w:sz w:val="24"/>
          <w:szCs w:val="24"/>
        </w:rPr>
        <w:t>5</w:t>
      </w:r>
      <w:r w:rsidRPr="00931578">
        <w:rPr>
          <w:rFonts w:ascii="Times New Roman" w:eastAsia="Calibri" w:hAnsi="Times New Roman" w:cs="Times New Roman"/>
          <w:iCs/>
          <w:sz w:val="24"/>
          <w:szCs w:val="24"/>
        </w:rPr>
        <w:t xml:space="preserve"> bola zverejnená </w:t>
      </w:r>
      <w:r w:rsidR="008279F4">
        <w:rPr>
          <w:rFonts w:ascii="Times New Roman" w:eastAsia="Calibri" w:hAnsi="Times New Roman" w:cs="Times New Roman"/>
          <w:iCs/>
          <w:sz w:val="24"/>
          <w:szCs w:val="24"/>
        </w:rPr>
        <w:t xml:space="preserve">na portáli SLOV-LEX </w:t>
      </w:r>
      <w:r w:rsidRPr="00931578">
        <w:rPr>
          <w:rFonts w:ascii="Times New Roman" w:eastAsia="Calibri" w:hAnsi="Times New Roman" w:cs="Times New Roman"/>
          <w:iCs/>
          <w:sz w:val="24"/>
          <w:szCs w:val="24"/>
        </w:rPr>
        <w:t>predbežná informácia (PI/202</w:t>
      </w:r>
      <w:r w:rsidR="00CA6D63">
        <w:rPr>
          <w:rFonts w:ascii="Times New Roman" w:eastAsia="Calibri" w:hAnsi="Times New Roman" w:cs="Times New Roman"/>
          <w:iCs/>
          <w:sz w:val="24"/>
          <w:szCs w:val="24"/>
        </w:rPr>
        <w:t>5</w:t>
      </w:r>
      <w:r w:rsidRPr="00931578">
        <w:rPr>
          <w:rFonts w:ascii="Times New Roman" w:eastAsia="Calibri" w:hAnsi="Times New Roman" w:cs="Times New Roman"/>
          <w:iCs/>
          <w:sz w:val="24"/>
          <w:szCs w:val="24"/>
        </w:rPr>
        <w:t>/</w:t>
      </w:r>
      <w:r w:rsidR="00CA6D63">
        <w:rPr>
          <w:rFonts w:ascii="Times New Roman" w:eastAsia="Calibri" w:hAnsi="Times New Roman" w:cs="Times New Roman"/>
          <w:iCs/>
          <w:sz w:val="24"/>
          <w:szCs w:val="24"/>
        </w:rPr>
        <w:t>240</w:t>
      </w:r>
      <w:r w:rsidRPr="00931578">
        <w:rPr>
          <w:rFonts w:ascii="Times New Roman" w:eastAsia="Calibri" w:hAnsi="Times New Roman" w:cs="Times New Roman"/>
          <w:iCs/>
          <w:sz w:val="24"/>
          <w:szCs w:val="24"/>
        </w:rPr>
        <w:t xml:space="preserve">) podľa § 9 zákona č. 400/2015 Z. z. o tvorbe právnych predpisov a o Zbierke zákonov Slovenskej republiky a o zmene a doplnení niektorých zákonov k návrhu zákona, ktorým sa mení a dopĺňa zákon č. </w:t>
      </w:r>
      <w:r w:rsidR="00CA6D63">
        <w:rPr>
          <w:rFonts w:ascii="Times New Roman" w:eastAsia="Calibri" w:hAnsi="Times New Roman" w:cs="Times New Roman"/>
          <w:iCs/>
          <w:sz w:val="24"/>
          <w:szCs w:val="24"/>
        </w:rPr>
        <w:t>39/2015 Z. z. o poisťovníctve a o zmene a doplnení niektorých záko</w:t>
      </w:r>
      <w:r w:rsidRPr="00931578">
        <w:rPr>
          <w:rFonts w:ascii="Times New Roman" w:eastAsia="Calibri" w:hAnsi="Times New Roman" w:cs="Times New Roman"/>
          <w:iCs/>
          <w:sz w:val="24"/>
          <w:szCs w:val="24"/>
        </w:rPr>
        <w:t>nov v znení neskorších predpisov</w:t>
      </w:r>
      <w:r w:rsidR="00CA6D63">
        <w:rPr>
          <w:rFonts w:ascii="Times New Roman" w:eastAsia="Calibri" w:hAnsi="Times New Roman" w:cs="Times New Roman"/>
          <w:iCs/>
          <w:sz w:val="24"/>
          <w:szCs w:val="24"/>
        </w:rPr>
        <w:t>. Hlavným</w:t>
      </w:r>
      <w:r w:rsidRPr="00931578">
        <w:rPr>
          <w:rFonts w:ascii="Times New Roman" w:eastAsia="Calibri" w:hAnsi="Times New Roman" w:cs="Times New Roman"/>
          <w:iCs/>
          <w:sz w:val="24"/>
          <w:szCs w:val="24"/>
        </w:rPr>
        <w:t xml:space="preserve"> cieľom pripravovanej právnej úpravy </w:t>
      </w:r>
      <w:r w:rsidR="00CA6D63">
        <w:rPr>
          <w:rFonts w:ascii="Times New Roman" w:eastAsia="Calibri" w:hAnsi="Times New Roman" w:cs="Times New Roman"/>
          <w:iCs/>
          <w:sz w:val="24"/>
          <w:szCs w:val="24"/>
        </w:rPr>
        <w:t>je</w:t>
      </w:r>
      <w:r w:rsidRPr="00931578">
        <w:rPr>
          <w:rFonts w:ascii="Times New Roman" w:eastAsia="Calibri" w:hAnsi="Times New Roman" w:cs="Times New Roman"/>
          <w:iCs/>
          <w:sz w:val="24"/>
          <w:szCs w:val="24"/>
        </w:rPr>
        <w:t xml:space="preserve"> transpozícia Smernice Európskeho parlamentu a Rady (EÚ) </w:t>
      </w:r>
      <w:r w:rsidR="00CA6D63" w:rsidRPr="00CA6D63">
        <w:rPr>
          <w:rFonts w:ascii="Times New Roman" w:eastAsia="Calibri" w:hAnsi="Times New Roman" w:cs="Times New Roman"/>
          <w:iCs/>
          <w:sz w:val="24"/>
          <w:szCs w:val="24"/>
        </w:rPr>
        <w:t>2025/2/ES z 27. novembra 2024, ktorou sa mení smernica 2009/138/ES, pokiaľ ide o proporcionalitu, kvalitu dohľadu, predkladanie informácií, opatrenia týkajúce sa dlhodobých záruk, makroprudenciálne nástroje, riziká ohrozujúce udržateľnosť a dohľad nad skupinou a cezhraničný dohľad, a ktorou sa menia smernice 2002/87/ES a 2013/34/EÚ</w:t>
      </w:r>
      <w:r w:rsidR="00CA6D63">
        <w:rPr>
          <w:rFonts w:ascii="Times New Roman" w:eastAsia="Calibri" w:hAnsi="Times New Roman" w:cs="Times New Roman"/>
          <w:iCs/>
          <w:sz w:val="24"/>
          <w:szCs w:val="24"/>
        </w:rPr>
        <w:t>.</w:t>
      </w:r>
    </w:p>
    <w:p w14:paraId="0ADE9E50" w14:textId="77777777" w:rsidR="008279F4" w:rsidRDefault="008279F4" w:rsidP="00931578">
      <w:pPr>
        <w:spacing w:after="0"/>
        <w:jc w:val="both"/>
        <w:rPr>
          <w:rFonts w:ascii="Times New Roman" w:eastAsia="Calibri" w:hAnsi="Times New Roman" w:cs="Times New Roman"/>
          <w:iCs/>
          <w:sz w:val="24"/>
          <w:szCs w:val="24"/>
        </w:rPr>
      </w:pPr>
    </w:p>
    <w:p w14:paraId="08FCAD96" w14:textId="74235FA2" w:rsidR="00054C41" w:rsidRDefault="00931578" w:rsidP="00931578">
      <w:pPr>
        <w:spacing w:after="0"/>
        <w:jc w:val="both"/>
        <w:rPr>
          <w:rFonts w:ascii="Times New Roman" w:eastAsia="Calibri" w:hAnsi="Times New Roman" w:cs="Times New Roman"/>
          <w:iCs/>
          <w:sz w:val="24"/>
          <w:szCs w:val="24"/>
        </w:rPr>
      </w:pPr>
      <w:r w:rsidRPr="00931578">
        <w:rPr>
          <w:rFonts w:ascii="Times New Roman" w:eastAsia="Calibri" w:hAnsi="Times New Roman" w:cs="Times New Roman"/>
          <w:iCs/>
          <w:sz w:val="24"/>
          <w:szCs w:val="24"/>
        </w:rPr>
        <w:t xml:space="preserve">K predbežnej informácii </w:t>
      </w:r>
      <w:r w:rsidR="008279F4">
        <w:rPr>
          <w:rFonts w:ascii="Times New Roman" w:eastAsia="Calibri" w:hAnsi="Times New Roman" w:cs="Times New Roman"/>
          <w:iCs/>
          <w:sz w:val="24"/>
          <w:szCs w:val="24"/>
        </w:rPr>
        <w:t xml:space="preserve">žiadny subjekt ani </w:t>
      </w:r>
      <w:r w:rsidRPr="00931578">
        <w:rPr>
          <w:rFonts w:ascii="Times New Roman" w:eastAsia="Calibri" w:hAnsi="Times New Roman" w:cs="Times New Roman"/>
          <w:iCs/>
          <w:sz w:val="24"/>
          <w:szCs w:val="24"/>
        </w:rPr>
        <w:t>verejnos</w:t>
      </w:r>
      <w:r w:rsidR="008279F4">
        <w:rPr>
          <w:rFonts w:ascii="Times New Roman" w:eastAsia="Calibri" w:hAnsi="Times New Roman" w:cs="Times New Roman"/>
          <w:iCs/>
          <w:sz w:val="24"/>
          <w:szCs w:val="24"/>
        </w:rPr>
        <w:t xml:space="preserve">ť neprejavili záujem zúčastniť sa verejných konzultácií, z tohto dôvodu </w:t>
      </w:r>
      <w:r w:rsidRPr="00931578">
        <w:rPr>
          <w:rFonts w:ascii="Times New Roman" w:eastAsia="Calibri" w:hAnsi="Times New Roman" w:cs="Times New Roman"/>
          <w:iCs/>
          <w:sz w:val="24"/>
          <w:szCs w:val="24"/>
        </w:rPr>
        <w:t>Ministerstv</w:t>
      </w:r>
      <w:r w:rsidR="009B3221">
        <w:rPr>
          <w:rFonts w:ascii="Times New Roman" w:eastAsia="Calibri" w:hAnsi="Times New Roman" w:cs="Times New Roman"/>
          <w:iCs/>
          <w:sz w:val="24"/>
          <w:szCs w:val="24"/>
        </w:rPr>
        <w:t>o</w:t>
      </w:r>
      <w:r w:rsidRPr="00931578">
        <w:rPr>
          <w:rFonts w:ascii="Times New Roman" w:eastAsia="Calibri" w:hAnsi="Times New Roman" w:cs="Times New Roman"/>
          <w:iCs/>
          <w:sz w:val="24"/>
          <w:szCs w:val="24"/>
        </w:rPr>
        <w:t xml:space="preserve"> financií Slovenskej republiky</w:t>
      </w:r>
      <w:r w:rsidR="00100D7D">
        <w:rPr>
          <w:rFonts w:ascii="Times New Roman" w:eastAsia="Calibri" w:hAnsi="Times New Roman" w:cs="Times New Roman"/>
          <w:iCs/>
          <w:sz w:val="24"/>
          <w:szCs w:val="24"/>
        </w:rPr>
        <w:t xml:space="preserve"> ako predkladateľ navrhovanej právnej úpravy cielene</w:t>
      </w:r>
      <w:r w:rsidR="00CA6D63">
        <w:rPr>
          <w:rFonts w:ascii="Times New Roman" w:eastAsia="Calibri" w:hAnsi="Times New Roman" w:cs="Times New Roman"/>
          <w:iCs/>
          <w:sz w:val="24"/>
          <w:szCs w:val="24"/>
        </w:rPr>
        <w:t xml:space="preserve"> oslovil Slovenskú asociáciu poisťovní</w:t>
      </w:r>
      <w:r w:rsidR="00100D7D">
        <w:rPr>
          <w:rFonts w:ascii="Times New Roman" w:eastAsia="Calibri" w:hAnsi="Times New Roman" w:cs="Times New Roman"/>
          <w:iCs/>
          <w:sz w:val="24"/>
          <w:szCs w:val="24"/>
        </w:rPr>
        <w:t>. C</w:t>
      </w:r>
      <w:r w:rsidR="00CA6D63">
        <w:rPr>
          <w:rFonts w:ascii="Times New Roman" w:eastAsia="Calibri" w:hAnsi="Times New Roman" w:cs="Times New Roman"/>
          <w:iCs/>
          <w:sz w:val="24"/>
          <w:szCs w:val="24"/>
        </w:rPr>
        <w:t>ieľom</w:t>
      </w:r>
      <w:r w:rsidR="00100D7D">
        <w:rPr>
          <w:rFonts w:ascii="Times New Roman" w:eastAsia="Calibri" w:hAnsi="Times New Roman" w:cs="Times New Roman"/>
          <w:iCs/>
          <w:sz w:val="24"/>
          <w:szCs w:val="24"/>
        </w:rPr>
        <w:t xml:space="preserve"> predkladateľa bolo </w:t>
      </w:r>
      <w:r w:rsidR="00CA6D63">
        <w:rPr>
          <w:rFonts w:ascii="Times New Roman" w:eastAsia="Calibri" w:hAnsi="Times New Roman" w:cs="Times New Roman"/>
          <w:iCs/>
          <w:sz w:val="24"/>
          <w:szCs w:val="24"/>
        </w:rPr>
        <w:t xml:space="preserve">informovať a prekonzultovať </w:t>
      </w:r>
      <w:r w:rsidR="00100D7D">
        <w:rPr>
          <w:rFonts w:ascii="Times New Roman" w:eastAsia="Calibri" w:hAnsi="Times New Roman" w:cs="Times New Roman"/>
          <w:iCs/>
          <w:sz w:val="24"/>
          <w:szCs w:val="24"/>
        </w:rPr>
        <w:t xml:space="preserve">navrhované </w:t>
      </w:r>
      <w:r w:rsidR="00F67F40">
        <w:rPr>
          <w:rFonts w:ascii="Times New Roman" w:eastAsia="Calibri" w:hAnsi="Times New Roman" w:cs="Times New Roman"/>
          <w:iCs/>
          <w:sz w:val="24"/>
          <w:szCs w:val="24"/>
        </w:rPr>
        <w:t>legislatívne úpravy</w:t>
      </w:r>
      <w:r w:rsidR="00100D7D">
        <w:rPr>
          <w:rFonts w:ascii="Times New Roman" w:eastAsia="Calibri" w:hAnsi="Times New Roman" w:cs="Times New Roman"/>
          <w:iCs/>
          <w:sz w:val="24"/>
          <w:szCs w:val="24"/>
        </w:rPr>
        <w:t>, z tohto dôvodu bol Slovenskej asociácii poisťovní dňa 7. novembra 2025 zaslaný kompletný pracovný návrhu zákona</w:t>
      </w:r>
      <w:r w:rsidR="00F67F40">
        <w:rPr>
          <w:rFonts w:ascii="Times New Roman" w:eastAsia="Calibri" w:hAnsi="Times New Roman" w:cs="Times New Roman"/>
          <w:iCs/>
          <w:sz w:val="24"/>
          <w:szCs w:val="24"/>
        </w:rPr>
        <w:t xml:space="preserve">. Konzultácia so zástupcami Slovenskej asociácie poisťovní sa konala dňa 4. decembra 2025 formou osobného stretnutia. </w:t>
      </w:r>
    </w:p>
    <w:p w14:paraId="2B602B9D" w14:textId="77777777" w:rsidR="00100D7D" w:rsidRDefault="00100D7D" w:rsidP="00931578">
      <w:pPr>
        <w:spacing w:after="0"/>
        <w:jc w:val="both"/>
        <w:rPr>
          <w:rFonts w:ascii="Times New Roman" w:eastAsia="Calibri" w:hAnsi="Times New Roman" w:cs="Times New Roman"/>
          <w:iCs/>
          <w:sz w:val="24"/>
          <w:szCs w:val="24"/>
        </w:rPr>
      </w:pPr>
    </w:p>
    <w:p w14:paraId="676DB493" w14:textId="5F027943" w:rsidR="00100D7D" w:rsidRPr="00100D7D" w:rsidRDefault="003D64B2" w:rsidP="00100D7D">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Predkladateľ návrhu zákona informoval o </w:t>
      </w:r>
      <w:r w:rsidR="00100D7D" w:rsidRPr="00100D7D">
        <w:rPr>
          <w:rFonts w:ascii="Times New Roman" w:eastAsia="Calibri" w:hAnsi="Times New Roman" w:cs="Times New Roman"/>
          <w:iCs/>
          <w:sz w:val="24"/>
          <w:szCs w:val="24"/>
        </w:rPr>
        <w:t>plán</w:t>
      </w:r>
      <w:r>
        <w:rPr>
          <w:rFonts w:ascii="Times New Roman" w:eastAsia="Calibri" w:hAnsi="Times New Roman" w:cs="Times New Roman"/>
          <w:iCs/>
          <w:sz w:val="24"/>
          <w:szCs w:val="24"/>
        </w:rPr>
        <w:t>ovanom</w:t>
      </w:r>
      <w:r w:rsidR="00100D7D" w:rsidRPr="00100D7D">
        <w:rPr>
          <w:rFonts w:ascii="Times New Roman" w:eastAsia="Calibri" w:hAnsi="Times New Roman" w:cs="Times New Roman"/>
          <w:iCs/>
          <w:sz w:val="24"/>
          <w:szCs w:val="24"/>
        </w:rPr>
        <w:t xml:space="preserve"> harmonogram</w:t>
      </w:r>
      <w:r>
        <w:rPr>
          <w:rFonts w:ascii="Times New Roman" w:eastAsia="Calibri" w:hAnsi="Times New Roman" w:cs="Times New Roman"/>
          <w:iCs/>
          <w:sz w:val="24"/>
          <w:szCs w:val="24"/>
        </w:rPr>
        <w:t>e</w:t>
      </w:r>
      <w:r w:rsidR="00100D7D" w:rsidRPr="00100D7D">
        <w:rPr>
          <w:rFonts w:ascii="Times New Roman" w:eastAsia="Calibri" w:hAnsi="Times New Roman" w:cs="Times New Roman"/>
          <w:iCs/>
          <w:sz w:val="24"/>
          <w:szCs w:val="24"/>
        </w:rPr>
        <w:t xml:space="preserve"> prác, ktoré si stanovil v rámci legislatívneho procesu prípravy novely zákona. Harmonogram zároveň zahŕňa</w:t>
      </w:r>
      <w:r>
        <w:rPr>
          <w:rFonts w:ascii="Times New Roman" w:eastAsia="Calibri" w:hAnsi="Times New Roman" w:cs="Times New Roman"/>
          <w:iCs/>
          <w:sz w:val="24"/>
          <w:szCs w:val="24"/>
        </w:rPr>
        <w:t>l</w:t>
      </w:r>
      <w:r w:rsidR="00100D7D" w:rsidRPr="00100D7D">
        <w:rPr>
          <w:rFonts w:ascii="Times New Roman" w:eastAsia="Calibri" w:hAnsi="Times New Roman" w:cs="Times New Roman"/>
          <w:iCs/>
          <w:sz w:val="24"/>
          <w:szCs w:val="24"/>
        </w:rPr>
        <w:t xml:space="preserve"> predpokladané termíny predloženia návrhu zákona na pripomienkové konanie, prerokovanie v legislatívnej rade vlády a jeho následné predloženie do Národnej rady SR. </w:t>
      </w:r>
      <w:r>
        <w:rPr>
          <w:rFonts w:ascii="Times New Roman" w:eastAsia="Calibri" w:hAnsi="Times New Roman" w:cs="Times New Roman"/>
          <w:iCs/>
          <w:sz w:val="24"/>
          <w:szCs w:val="24"/>
        </w:rPr>
        <w:t>Predkladateľ</w:t>
      </w:r>
      <w:r w:rsidR="00100D7D" w:rsidRPr="00100D7D">
        <w:rPr>
          <w:rFonts w:ascii="Times New Roman" w:eastAsia="Calibri" w:hAnsi="Times New Roman" w:cs="Times New Roman"/>
          <w:iCs/>
          <w:sz w:val="24"/>
          <w:szCs w:val="24"/>
        </w:rPr>
        <w:t xml:space="preserve"> zdôraznil, že stanovený časový harmonogram je orientačný, avšak zároveň bolo uvedené, že </w:t>
      </w:r>
      <w:r w:rsidR="00100D7D" w:rsidRPr="00100D7D">
        <w:rPr>
          <w:rFonts w:ascii="Times New Roman" w:eastAsia="Calibri" w:hAnsi="Times New Roman" w:cs="Times New Roman"/>
          <w:iCs/>
          <w:sz w:val="24"/>
          <w:szCs w:val="24"/>
        </w:rPr>
        <w:lastRenderedPageBreak/>
        <w:t xml:space="preserve">novela zákona je zaradená do plánu legislatívnych úloh vlády s predpokladaným termínom </w:t>
      </w:r>
      <w:r>
        <w:rPr>
          <w:rFonts w:ascii="Times New Roman" w:eastAsia="Calibri" w:hAnsi="Times New Roman" w:cs="Times New Roman"/>
          <w:iCs/>
          <w:sz w:val="24"/>
          <w:szCs w:val="24"/>
        </w:rPr>
        <w:t xml:space="preserve">do konca júna </w:t>
      </w:r>
      <w:r w:rsidR="00100D7D" w:rsidRPr="00100D7D">
        <w:rPr>
          <w:rFonts w:ascii="Times New Roman" w:eastAsia="Calibri" w:hAnsi="Times New Roman" w:cs="Times New Roman"/>
          <w:iCs/>
          <w:sz w:val="24"/>
          <w:szCs w:val="24"/>
        </w:rPr>
        <w:t xml:space="preserve">2026 a jej </w:t>
      </w:r>
      <w:r>
        <w:rPr>
          <w:rFonts w:ascii="Times New Roman" w:eastAsia="Calibri" w:hAnsi="Times New Roman" w:cs="Times New Roman"/>
          <w:iCs/>
          <w:sz w:val="24"/>
          <w:szCs w:val="24"/>
        </w:rPr>
        <w:t xml:space="preserve">predpokladanou </w:t>
      </w:r>
      <w:r w:rsidR="00100D7D" w:rsidRPr="00100D7D">
        <w:rPr>
          <w:rFonts w:ascii="Times New Roman" w:eastAsia="Calibri" w:hAnsi="Times New Roman" w:cs="Times New Roman"/>
          <w:iCs/>
          <w:sz w:val="24"/>
          <w:szCs w:val="24"/>
        </w:rPr>
        <w:t>účinnosť</w:t>
      </w:r>
      <w:r>
        <w:rPr>
          <w:rFonts w:ascii="Times New Roman" w:eastAsia="Calibri" w:hAnsi="Times New Roman" w:cs="Times New Roman"/>
          <w:iCs/>
          <w:sz w:val="24"/>
          <w:szCs w:val="24"/>
        </w:rPr>
        <w:t xml:space="preserve">ou </w:t>
      </w:r>
      <w:r w:rsidR="00100D7D" w:rsidRPr="00100D7D">
        <w:rPr>
          <w:rFonts w:ascii="Times New Roman" w:eastAsia="Calibri" w:hAnsi="Times New Roman" w:cs="Times New Roman"/>
          <w:iCs/>
          <w:sz w:val="24"/>
          <w:szCs w:val="24"/>
        </w:rPr>
        <w:t xml:space="preserve">od </w:t>
      </w:r>
      <w:r>
        <w:rPr>
          <w:rFonts w:ascii="Times New Roman" w:eastAsia="Calibri" w:hAnsi="Times New Roman" w:cs="Times New Roman"/>
          <w:iCs/>
          <w:sz w:val="24"/>
          <w:szCs w:val="24"/>
        </w:rPr>
        <w:t>30</w:t>
      </w:r>
      <w:r w:rsidR="00100D7D" w:rsidRPr="00100D7D">
        <w:rPr>
          <w:rFonts w:ascii="Times New Roman" w:eastAsia="Calibri" w:hAnsi="Times New Roman" w:cs="Times New Roman"/>
          <w:iCs/>
          <w:sz w:val="24"/>
          <w:szCs w:val="24"/>
        </w:rPr>
        <w:t>.1.2027.</w:t>
      </w:r>
    </w:p>
    <w:p w14:paraId="76B55739" w14:textId="77777777" w:rsidR="00100D7D" w:rsidRPr="00100D7D" w:rsidRDefault="00100D7D" w:rsidP="00100D7D">
      <w:pPr>
        <w:spacing w:after="0"/>
        <w:jc w:val="both"/>
        <w:rPr>
          <w:rFonts w:ascii="Times New Roman" w:eastAsia="Calibri" w:hAnsi="Times New Roman" w:cs="Times New Roman"/>
          <w:iCs/>
          <w:sz w:val="24"/>
          <w:szCs w:val="24"/>
        </w:rPr>
      </w:pPr>
    </w:p>
    <w:p w14:paraId="577AF637" w14:textId="25EA8401" w:rsidR="00100D7D" w:rsidRDefault="003D64B2" w:rsidP="00100D7D">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D</w:t>
      </w:r>
      <w:r w:rsidR="00100D7D" w:rsidRPr="00100D7D">
        <w:rPr>
          <w:rFonts w:ascii="Times New Roman" w:eastAsia="Calibri" w:hAnsi="Times New Roman" w:cs="Times New Roman"/>
          <w:iCs/>
          <w:sz w:val="24"/>
          <w:szCs w:val="24"/>
        </w:rPr>
        <w:t>isku</w:t>
      </w:r>
      <w:r>
        <w:rPr>
          <w:rFonts w:ascii="Times New Roman" w:eastAsia="Calibri" w:hAnsi="Times New Roman" w:cs="Times New Roman"/>
          <w:iCs/>
          <w:sz w:val="24"/>
          <w:szCs w:val="24"/>
        </w:rPr>
        <w:t xml:space="preserve">tovanou témou zo strany Slovenskej asociácie poisťovní </w:t>
      </w:r>
      <w:r w:rsidR="00100D7D" w:rsidRPr="00100D7D">
        <w:rPr>
          <w:rFonts w:ascii="Times New Roman" w:eastAsia="Calibri" w:hAnsi="Times New Roman" w:cs="Times New Roman"/>
          <w:iCs/>
          <w:sz w:val="24"/>
          <w:szCs w:val="24"/>
        </w:rPr>
        <w:t>bol</w:t>
      </w:r>
      <w:r>
        <w:rPr>
          <w:rFonts w:ascii="Times New Roman" w:eastAsia="Calibri" w:hAnsi="Times New Roman" w:cs="Times New Roman"/>
          <w:iCs/>
          <w:sz w:val="24"/>
          <w:szCs w:val="24"/>
        </w:rPr>
        <w:t xml:space="preserve">a hlavne </w:t>
      </w:r>
      <w:r w:rsidR="00100D7D" w:rsidRPr="00100D7D">
        <w:rPr>
          <w:rFonts w:ascii="Times New Roman" w:eastAsia="Calibri" w:hAnsi="Times New Roman" w:cs="Times New Roman"/>
          <w:iCs/>
          <w:sz w:val="24"/>
          <w:szCs w:val="24"/>
        </w:rPr>
        <w:t>problematik</w:t>
      </w:r>
      <w:r w:rsidR="006F410A">
        <w:rPr>
          <w:rFonts w:ascii="Times New Roman" w:eastAsia="Calibri" w:hAnsi="Times New Roman" w:cs="Times New Roman"/>
          <w:iCs/>
          <w:sz w:val="24"/>
          <w:szCs w:val="24"/>
        </w:rPr>
        <w:t xml:space="preserve">a úpravy </w:t>
      </w:r>
      <w:r w:rsidR="00100D7D" w:rsidRPr="00100D7D">
        <w:rPr>
          <w:rFonts w:ascii="Times New Roman" w:eastAsia="Calibri" w:hAnsi="Times New Roman" w:cs="Times New Roman"/>
          <w:iCs/>
          <w:sz w:val="24"/>
          <w:szCs w:val="24"/>
        </w:rPr>
        <w:t xml:space="preserve"> technických rezerv poisťovní. Ministerstvo financií SR p</w:t>
      </w:r>
      <w:r w:rsidR="006F410A">
        <w:rPr>
          <w:rFonts w:ascii="Times New Roman" w:eastAsia="Calibri" w:hAnsi="Times New Roman" w:cs="Times New Roman"/>
          <w:iCs/>
          <w:sz w:val="24"/>
          <w:szCs w:val="24"/>
        </w:rPr>
        <w:t>ripustilo</w:t>
      </w:r>
      <w:r w:rsidR="00100D7D" w:rsidRPr="00100D7D">
        <w:rPr>
          <w:rFonts w:ascii="Times New Roman" w:eastAsia="Calibri" w:hAnsi="Times New Roman" w:cs="Times New Roman"/>
          <w:iCs/>
          <w:sz w:val="24"/>
          <w:szCs w:val="24"/>
        </w:rPr>
        <w:t>, že súčasná legislatívna úprava</w:t>
      </w:r>
      <w:r w:rsidR="006F410A">
        <w:rPr>
          <w:rFonts w:ascii="Times New Roman" w:eastAsia="Calibri" w:hAnsi="Times New Roman" w:cs="Times New Roman"/>
          <w:iCs/>
          <w:sz w:val="24"/>
          <w:szCs w:val="24"/>
        </w:rPr>
        <w:t xml:space="preserve"> v tejto oblasti</w:t>
      </w:r>
      <w:r w:rsidR="00100D7D" w:rsidRPr="00100D7D">
        <w:rPr>
          <w:rFonts w:ascii="Times New Roman" w:eastAsia="Calibri" w:hAnsi="Times New Roman" w:cs="Times New Roman"/>
          <w:iCs/>
          <w:sz w:val="24"/>
          <w:szCs w:val="24"/>
        </w:rPr>
        <w:t xml:space="preserve"> nie je plne harmonizovaná s terminológiou účtovníctva, čo môže viesť k nejednoznačnostiam pri vykazovaní a účtovaní technických rezerv. Zároveň </w:t>
      </w:r>
      <w:r w:rsidR="006F410A">
        <w:rPr>
          <w:rFonts w:ascii="Times New Roman" w:eastAsia="Calibri" w:hAnsi="Times New Roman" w:cs="Times New Roman"/>
          <w:iCs/>
          <w:sz w:val="24"/>
          <w:szCs w:val="24"/>
        </w:rPr>
        <w:t xml:space="preserve">však </w:t>
      </w:r>
      <w:r w:rsidR="00100D7D" w:rsidRPr="00100D7D">
        <w:rPr>
          <w:rFonts w:ascii="Times New Roman" w:eastAsia="Calibri" w:hAnsi="Times New Roman" w:cs="Times New Roman"/>
          <w:iCs/>
          <w:sz w:val="24"/>
          <w:szCs w:val="24"/>
        </w:rPr>
        <w:t>zdôraznil</w:t>
      </w:r>
      <w:r w:rsidR="006F410A">
        <w:rPr>
          <w:rFonts w:ascii="Times New Roman" w:eastAsia="Calibri" w:hAnsi="Times New Roman" w:cs="Times New Roman"/>
          <w:iCs/>
          <w:sz w:val="24"/>
          <w:szCs w:val="24"/>
        </w:rPr>
        <w:t>o</w:t>
      </w:r>
      <w:r w:rsidR="00100D7D" w:rsidRPr="00100D7D">
        <w:rPr>
          <w:rFonts w:ascii="Times New Roman" w:eastAsia="Calibri" w:hAnsi="Times New Roman" w:cs="Times New Roman"/>
          <w:iCs/>
          <w:sz w:val="24"/>
          <w:szCs w:val="24"/>
        </w:rPr>
        <w:t xml:space="preserve">, že sa </w:t>
      </w:r>
      <w:r w:rsidR="006F410A" w:rsidRPr="006F410A">
        <w:rPr>
          <w:rFonts w:ascii="Times New Roman" w:eastAsia="Calibri" w:hAnsi="Times New Roman" w:cs="Times New Roman"/>
          <w:iCs/>
          <w:sz w:val="24"/>
          <w:szCs w:val="24"/>
        </w:rPr>
        <w:t>ku koncu roka 2025</w:t>
      </w:r>
      <w:r w:rsidR="006F410A">
        <w:rPr>
          <w:rFonts w:ascii="Times New Roman" w:eastAsia="Calibri" w:hAnsi="Times New Roman" w:cs="Times New Roman"/>
          <w:iCs/>
          <w:sz w:val="24"/>
          <w:szCs w:val="24"/>
        </w:rPr>
        <w:t xml:space="preserve"> </w:t>
      </w:r>
      <w:r w:rsidR="00100D7D" w:rsidRPr="00100D7D">
        <w:rPr>
          <w:rFonts w:ascii="Times New Roman" w:eastAsia="Calibri" w:hAnsi="Times New Roman" w:cs="Times New Roman"/>
          <w:iCs/>
          <w:sz w:val="24"/>
          <w:szCs w:val="24"/>
        </w:rPr>
        <w:t>očakáva vydanie smernice</w:t>
      </w:r>
      <w:r w:rsidR="006F410A">
        <w:rPr>
          <w:rFonts w:ascii="Times New Roman" w:eastAsia="Calibri" w:hAnsi="Times New Roman" w:cs="Times New Roman"/>
          <w:iCs/>
          <w:sz w:val="24"/>
          <w:szCs w:val="24"/>
        </w:rPr>
        <w:t>, ktorou sa bude novelizovať smernica Európskeho parlamentu a Rady 2013/34/EÚ</w:t>
      </w:r>
      <w:r w:rsidR="00100D7D" w:rsidRPr="00100D7D">
        <w:rPr>
          <w:rFonts w:ascii="Times New Roman" w:eastAsia="Calibri" w:hAnsi="Times New Roman" w:cs="Times New Roman"/>
          <w:iCs/>
          <w:sz w:val="24"/>
          <w:szCs w:val="24"/>
        </w:rPr>
        <w:t xml:space="preserve">, ktorá </w:t>
      </w:r>
      <w:r w:rsidR="006F410A">
        <w:rPr>
          <w:rFonts w:ascii="Times New Roman" w:eastAsia="Calibri" w:hAnsi="Times New Roman" w:cs="Times New Roman"/>
          <w:iCs/>
          <w:sz w:val="24"/>
          <w:szCs w:val="24"/>
        </w:rPr>
        <w:t>bude mať</w:t>
      </w:r>
      <w:r w:rsidR="00100D7D" w:rsidRPr="00100D7D">
        <w:rPr>
          <w:rFonts w:ascii="Times New Roman" w:eastAsia="Calibri" w:hAnsi="Times New Roman" w:cs="Times New Roman"/>
          <w:iCs/>
          <w:sz w:val="24"/>
          <w:szCs w:val="24"/>
        </w:rPr>
        <w:t xml:space="preserve"> za cieľ terminologické a metodické </w:t>
      </w:r>
      <w:r w:rsidR="006F410A">
        <w:rPr>
          <w:rFonts w:ascii="Times New Roman" w:eastAsia="Calibri" w:hAnsi="Times New Roman" w:cs="Times New Roman"/>
          <w:iCs/>
          <w:sz w:val="24"/>
          <w:szCs w:val="24"/>
        </w:rPr>
        <w:t xml:space="preserve">zosúladenie </w:t>
      </w:r>
      <w:r w:rsidR="00100D7D" w:rsidRPr="00100D7D">
        <w:rPr>
          <w:rFonts w:ascii="Times New Roman" w:eastAsia="Calibri" w:hAnsi="Times New Roman" w:cs="Times New Roman"/>
          <w:iCs/>
          <w:sz w:val="24"/>
          <w:szCs w:val="24"/>
        </w:rPr>
        <w:t xml:space="preserve">týkajúce sa </w:t>
      </w:r>
      <w:r w:rsidR="006F410A">
        <w:rPr>
          <w:rFonts w:ascii="Times New Roman" w:eastAsia="Calibri" w:hAnsi="Times New Roman" w:cs="Times New Roman"/>
          <w:iCs/>
          <w:sz w:val="24"/>
          <w:szCs w:val="24"/>
        </w:rPr>
        <w:t xml:space="preserve">úpravy </w:t>
      </w:r>
      <w:r w:rsidR="00100D7D" w:rsidRPr="00100D7D">
        <w:rPr>
          <w:rFonts w:ascii="Times New Roman" w:eastAsia="Calibri" w:hAnsi="Times New Roman" w:cs="Times New Roman"/>
          <w:iCs/>
          <w:sz w:val="24"/>
          <w:szCs w:val="24"/>
        </w:rPr>
        <w:t>technických rezerv</w:t>
      </w:r>
      <w:r w:rsidR="006F410A">
        <w:rPr>
          <w:rFonts w:ascii="Times New Roman" w:eastAsia="Calibri" w:hAnsi="Times New Roman" w:cs="Times New Roman"/>
          <w:iCs/>
          <w:sz w:val="24"/>
          <w:szCs w:val="24"/>
        </w:rPr>
        <w:t xml:space="preserve">. </w:t>
      </w:r>
    </w:p>
    <w:p w14:paraId="052CCC62" w14:textId="77777777" w:rsidR="003F3FAF" w:rsidRDefault="003F3FAF" w:rsidP="00100D7D">
      <w:pPr>
        <w:spacing w:after="0"/>
        <w:jc w:val="both"/>
        <w:rPr>
          <w:rFonts w:ascii="Times New Roman" w:eastAsia="Calibri" w:hAnsi="Times New Roman" w:cs="Times New Roman"/>
          <w:iCs/>
          <w:sz w:val="24"/>
          <w:szCs w:val="24"/>
        </w:rPr>
      </w:pPr>
    </w:p>
    <w:p w14:paraId="5B6E9495" w14:textId="33A9CFE2" w:rsidR="003F3FAF" w:rsidRPr="00100D7D" w:rsidRDefault="003F3FAF" w:rsidP="00100D7D">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Ministerstvo financií SR v rámci tohto stretnutia iniciovalo aj otvorenie témy možných finančných a administratívnych dopadov, ktoré by vznikli prijatím navrhovanej právnej úpravy na podnikateľské prostredie, t. j. najmä na poisťovne. Zástupcovia Slovenskej asociácie poisťovní uviedli, že momentálne nie je možné </w:t>
      </w:r>
      <w:r w:rsidR="00AC267A">
        <w:rPr>
          <w:rFonts w:ascii="Times New Roman" w:eastAsia="Calibri" w:hAnsi="Times New Roman" w:cs="Times New Roman"/>
          <w:iCs/>
          <w:sz w:val="24"/>
          <w:szCs w:val="24"/>
        </w:rPr>
        <w:t>jednoznačne kvantifikovať tieto dopady z dôvodu, že ich výška a rozsah sa bude primárne odvíjať od následne prijatých delegovaných aktov Európskej komisie a regulačných a implementačných technických štandardov Európskeho orgánu pre poisťovníctvo a dôchodkové poistenie zamestnancov.</w:t>
      </w:r>
    </w:p>
    <w:p w14:paraId="234484A8" w14:textId="77777777" w:rsidR="00100D7D" w:rsidRPr="00100D7D" w:rsidRDefault="00100D7D" w:rsidP="00100D7D">
      <w:pPr>
        <w:spacing w:after="0"/>
        <w:jc w:val="both"/>
        <w:rPr>
          <w:rFonts w:ascii="Times New Roman" w:eastAsia="Calibri" w:hAnsi="Times New Roman" w:cs="Times New Roman"/>
          <w:iCs/>
          <w:sz w:val="24"/>
          <w:szCs w:val="24"/>
        </w:rPr>
      </w:pPr>
    </w:p>
    <w:p w14:paraId="6A469034" w14:textId="4DC0D808" w:rsidR="00100D7D" w:rsidRPr="00100D7D" w:rsidRDefault="00AC267A" w:rsidP="00100D7D">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Slovenská asociácia poisťovní bola zároveň </w:t>
      </w:r>
      <w:r w:rsidR="00100D7D" w:rsidRPr="00100D7D">
        <w:rPr>
          <w:rFonts w:ascii="Times New Roman" w:eastAsia="Calibri" w:hAnsi="Times New Roman" w:cs="Times New Roman"/>
          <w:iCs/>
          <w:sz w:val="24"/>
          <w:szCs w:val="24"/>
        </w:rPr>
        <w:t xml:space="preserve">stručne </w:t>
      </w:r>
      <w:r>
        <w:rPr>
          <w:rFonts w:ascii="Times New Roman" w:eastAsia="Calibri" w:hAnsi="Times New Roman" w:cs="Times New Roman"/>
          <w:iCs/>
          <w:sz w:val="24"/>
          <w:szCs w:val="24"/>
        </w:rPr>
        <w:t>informovaná</w:t>
      </w:r>
      <w:r w:rsidR="00100D7D" w:rsidRPr="00100D7D">
        <w:rPr>
          <w:rFonts w:ascii="Times New Roman" w:eastAsia="Calibri" w:hAnsi="Times New Roman" w:cs="Times New Roman"/>
          <w:iCs/>
          <w:sz w:val="24"/>
          <w:szCs w:val="24"/>
        </w:rPr>
        <w:t xml:space="preserve"> aj </w:t>
      </w:r>
      <w:r>
        <w:rPr>
          <w:rFonts w:ascii="Times New Roman" w:eastAsia="Calibri" w:hAnsi="Times New Roman" w:cs="Times New Roman"/>
          <w:iCs/>
          <w:sz w:val="24"/>
          <w:szCs w:val="24"/>
        </w:rPr>
        <w:t>o s</w:t>
      </w:r>
      <w:r w:rsidR="00100D7D" w:rsidRPr="00100D7D">
        <w:rPr>
          <w:rFonts w:ascii="Times New Roman" w:eastAsia="Calibri" w:hAnsi="Times New Roman" w:cs="Times New Roman"/>
          <w:iCs/>
          <w:sz w:val="24"/>
          <w:szCs w:val="24"/>
        </w:rPr>
        <w:t>mernic</w:t>
      </w:r>
      <w:r>
        <w:rPr>
          <w:rFonts w:ascii="Times New Roman" w:eastAsia="Calibri" w:hAnsi="Times New Roman" w:cs="Times New Roman"/>
          <w:iCs/>
          <w:sz w:val="24"/>
          <w:szCs w:val="24"/>
        </w:rPr>
        <w:t>i</w:t>
      </w:r>
      <w:r w:rsidR="00100D7D" w:rsidRPr="00100D7D">
        <w:rPr>
          <w:rFonts w:ascii="Times New Roman" w:eastAsia="Calibri" w:hAnsi="Times New Roman" w:cs="Times New Roman"/>
          <w:iCs/>
          <w:sz w:val="24"/>
          <w:szCs w:val="24"/>
        </w:rPr>
        <w:t xml:space="preserve"> </w:t>
      </w:r>
      <w:r w:rsidR="006D52E3" w:rsidRPr="006D52E3">
        <w:rPr>
          <w:rFonts w:ascii="Times New Roman" w:eastAsia="Calibri" w:hAnsi="Times New Roman" w:cs="Times New Roman"/>
          <w:iCs/>
          <w:sz w:val="24"/>
          <w:szCs w:val="24"/>
        </w:rPr>
        <w:t xml:space="preserve">Európskeho parlamentu a Rady </w:t>
      </w:r>
      <w:r w:rsidR="00100D7D" w:rsidRPr="00100D7D">
        <w:rPr>
          <w:rFonts w:ascii="Times New Roman" w:eastAsia="Calibri" w:hAnsi="Times New Roman" w:cs="Times New Roman"/>
          <w:iCs/>
          <w:sz w:val="24"/>
          <w:szCs w:val="24"/>
        </w:rPr>
        <w:t>2025/1 o rámcoch a mechanizmoch pre finančné zabezpečenie a ochranu klientov v oblasti poisťovníctva</w:t>
      </w:r>
      <w:r w:rsidR="006D52E3">
        <w:rPr>
          <w:rFonts w:ascii="Times New Roman" w:eastAsia="Calibri" w:hAnsi="Times New Roman" w:cs="Times New Roman"/>
          <w:iCs/>
          <w:sz w:val="24"/>
          <w:szCs w:val="24"/>
        </w:rPr>
        <w:t xml:space="preserve">. </w:t>
      </w:r>
      <w:r w:rsidR="00100D7D" w:rsidRPr="00100D7D">
        <w:rPr>
          <w:rFonts w:ascii="Times New Roman" w:eastAsia="Calibri" w:hAnsi="Times New Roman" w:cs="Times New Roman"/>
          <w:iCs/>
          <w:sz w:val="24"/>
          <w:szCs w:val="24"/>
        </w:rPr>
        <w:t>Ministerstvo</w:t>
      </w:r>
      <w:r w:rsidR="006D52E3">
        <w:rPr>
          <w:rFonts w:ascii="Times New Roman" w:eastAsia="Calibri" w:hAnsi="Times New Roman" w:cs="Times New Roman"/>
          <w:iCs/>
          <w:sz w:val="24"/>
          <w:szCs w:val="24"/>
        </w:rPr>
        <w:t xml:space="preserve"> financií SR v tejto súvislosti</w:t>
      </w:r>
      <w:r w:rsidR="00100D7D" w:rsidRPr="00100D7D">
        <w:rPr>
          <w:rFonts w:ascii="Times New Roman" w:eastAsia="Calibri" w:hAnsi="Times New Roman" w:cs="Times New Roman"/>
          <w:iCs/>
          <w:sz w:val="24"/>
          <w:szCs w:val="24"/>
        </w:rPr>
        <w:t xml:space="preserve"> uviedlo, že k</w:t>
      </w:r>
      <w:r w:rsidR="006D52E3">
        <w:rPr>
          <w:rFonts w:ascii="Times New Roman" w:eastAsia="Calibri" w:hAnsi="Times New Roman" w:cs="Times New Roman"/>
          <w:iCs/>
          <w:sz w:val="24"/>
          <w:szCs w:val="24"/>
        </w:rPr>
        <w:t xml:space="preserve"> transpozícii </w:t>
      </w:r>
      <w:r w:rsidR="00100D7D" w:rsidRPr="00100D7D">
        <w:rPr>
          <w:rFonts w:ascii="Times New Roman" w:eastAsia="Calibri" w:hAnsi="Times New Roman" w:cs="Times New Roman"/>
          <w:iCs/>
          <w:sz w:val="24"/>
          <w:szCs w:val="24"/>
        </w:rPr>
        <w:t>tejto smernic</w:t>
      </w:r>
      <w:r w:rsidR="006D52E3">
        <w:rPr>
          <w:rFonts w:ascii="Times New Roman" w:eastAsia="Calibri" w:hAnsi="Times New Roman" w:cs="Times New Roman"/>
          <w:iCs/>
          <w:sz w:val="24"/>
          <w:szCs w:val="24"/>
        </w:rPr>
        <w:t>e</w:t>
      </w:r>
      <w:r w:rsidR="00100D7D" w:rsidRPr="00100D7D">
        <w:rPr>
          <w:rFonts w:ascii="Times New Roman" w:eastAsia="Calibri" w:hAnsi="Times New Roman" w:cs="Times New Roman"/>
          <w:iCs/>
          <w:sz w:val="24"/>
          <w:szCs w:val="24"/>
        </w:rPr>
        <w:t xml:space="preserve"> bola</w:t>
      </w:r>
      <w:r w:rsidR="006D52E3">
        <w:rPr>
          <w:rFonts w:ascii="Times New Roman" w:eastAsia="Calibri" w:hAnsi="Times New Roman" w:cs="Times New Roman"/>
          <w:iCs/>
          <w:sz w:val="24"/>
          <w:szCs w:val="24"/>
        </w:rPr>
        <w:t xml:space="preserve"> taktiež</w:t>
      </w:r>
      <w:r w:rsidR="00100D7D" w:rsidRPr="00100D7D">
        <w:rPr>
          <w:rFonts w:ascii="Times New Roman" w:eastAsia="Calibri" w:hAnsi="Times New Roman" w:cs="Times New Roman"/>
          <w:iCs/>
          <w:sz w:val="24"/>
          <w:szCs w:val="24"/>
        </w:rPr>
        <w:t xml:space="preserve"> zverejnená predbežná informácia, a zároveň zdôraznilo, že zainteresovaná verejnosť sa môže zúčastniť konzultácií aj k tejto smernici, ktoré sa budú konať v decembri 2025. </w:t>
      </w:r>
      <w:r w:rsidR="006D52E3">
        <w:rPr>
          <w:rFonts w:ascii="Times New Roman" w:eastAsia="Calibri" w:hAnsi="Times New Roman" w:cs="Times New Roman"/>
          <w:iCs/>
          <w:sz w:val="24"/>
          <w:szCs w:val="24"/>
        </w:rPr>
        <w:t>T</w:t>
      </w:r>
      <w:r w:rsidR="00100D7D" w:rsidRPr="00100D7D">
        <w:rPr>
          <w:rFonts w:ascii="Times New Roman" w:eastAsia="Calibri" w:hAnsi="Times New Roman" w:cs="Times New Roman"/>
          <w:iCs/>
          <w:sz w:val="24"/>
          <w:szCs w:val="24"/>
        </w:rPr>
        <w:t>vorba rezolučných fondov a garančných schém bude predmetom ďalších konzultácií s trhom, aby bolo zabezpečené ich praktické a legislatívne zosúladenie s národnou reguláciou a očakávaniami účastníkov trhu.</w:t>
      </w:r>
    </w:p>
    <w:p w14:paraId="15C3D8AC" w14:textId="77777777" w:rsidR="00931578" w:rsidRPr="00D8247C" w:rsidRDefault="00931578"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415BD38"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930DF1" w:rsidRPr="00930DF1">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63380B32"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930DF1" w:rsidRPr="00930DF1">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930DF1">
      <w:pPr>
        <w:spacing w:after="0" w:line="240" w:lineRule="auto"/>
        <w:jc w:val="both"/>
        <w:rPr>
          <w:rFonts w:ascii="Times New Roman" w:eastAsia="Times New Roman" w:hAnsi="Times New Roman" w:cs="Times New Roman"/>
          <w:b/>
          <w:sz w:val="24"/>
          <w:szCs w:val="24"/>
          <w:lang w:eastAsia="sk-SK"/>
        </w:rPr>
      </w:pPr>
    </w:p>
    <w:p w14:paraId="6DC5FACF" w14:textId="479E3A04" w:rsidR="00593941" w:rsidRDefault="00FC512F" w:rsidP="00593941">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Navrhovaná právna úprava </w:t>
      </w:r>
      <w:r w:rsidR="00593941" w:rsidRPr="000A788E">
        <w:rPr>
          <w:rFonts w:ascii="Times New Roman" w:eastAsia="Calibri" w:hAnsi="Times New Roman" w:cs="Times New Roman"/>
          <w:bCs/>
          <w:color w:val="000000"/>
          <w:sz w:val="24"/>
          <w:szCs w:val="24"/>
        </w:rPr>
        <w:t>m</w:t>
      </w:r>
      <w:r>
        <w:rPr>
          <w:rFonts w:ascii="Times New Roman" w:eastAsia="Calibri" w:hAnsi="Times New Roman" w:cs="Times New Roman"/>
          <w:bCs/>
          <w:color w:val="000000"/>
          <w:sz w:val="24"/>
          <w:szCs w:val="24"/>
        </w:rPr>
        <w:t>ôže mať ešte negatívny</w:t>
      </w:r>
      <w:r w:rsidR="00593941" w:rsidRPr="000A788E">
        <w:rPr>
          <w:rFonts w:ascii="Times New Roman" w:eastAsia="Calibri" w:hAnsi="Times New Roman" w:cs="Times New Roman"/>
          <w:bCs/>
          <w:color w:val="000000"/>
          <w:sz w:val="24"/>
          <w:szCs w:val="24"/>
        </w:rPr>
        <w:t xml:space="preserve"> vplyv na administratívnu záťaž </w:t>
      </w:r>
      <w:r w:rsidR="00593941">
        <w:rPr>
          <w:rFonts w:ascii="Times New Roman" w:eastAsia="Calibri" w:hAnsi="Times New Roman" w:cs="Times New Roman"/>
          <w:bCs/>
          <w:color w:val="000000"/>
          <w:sz w:val="24"/>
          <w:szCs w:val="24"/>
        </w:rPr>
        <w:t xml:space="preserve">zahraničných poisťovní, zahraničných zaisťovní, </w:t>
      </w:r>
      <w:r w:rsidR="00593941" w:rsidRPr="000A788E">
        <w:rPr>
          <w:rFonts w:ascii="Times New Roman" w:eastAsia="Calibri" w:hAnsi="Times New Roman" w:cs="Times New Roman"/>
          <w:bCs/>
          <w:color w:val="000000"/>
          <w:sz w:val="24"/>
          <w:szCs w:val="24"/>
        </w:rPr>
        <w:t xml:space="preserve">pobočiek zahraničných poisťovní a pobočiek zahraničných zaisťovní. </w:t>
      </w:r>
      <w:r>
        <w:rPr>
          <w:rFonts w:ascii="Times New Roman" w:eastAsia="Calibri" w:hAnsi="Times New Roman" w:cs="Times New Roman"/>
          <w:bCs/>
          <w:color w:val="000000"/>
          <w:sz w:val="24"/>
          <w:szCs w:val="24"/>
        </w:rPr>
        <w:t xml:space="preserve">Ide napr. o ustanovenia § 10 ods. 18 resp. § 65 od. 4, 6 a 7 návrhu zákona týkajúce sa povinností voči Národnej banke Slovenska. </w:t>
      </w:r>
      <w:r w:rsidR="00593941" w:rsidRPr="000A788E">
        <w:rPr>
          <w:rFonts w:ascii="Times New Roman" w:eastAsia="Calibri" w:hAnsi="Times New Roman" w:cs="Times New Roman"/>
          <w:bCs/>
          <w:color w:val="000000"/>
          <w:sz w:val="24"/>
          <w:szCs w:val="24"/>
        </w:rPr>
        <w:t xml:space="preserve">Túto záťaž nie je momentálne možné vyčísliť, vzhľadom na to, že </w:t>
      </w:r>
      <w:r w:rsidR="001F3BBB">
        <w:rPr>
          <w:rFonts w:ascii="Times New Roman" w:eastAsia="Calibri" w:hAnsi="Times New Roman" w:cs="Times New Roman"/>
          <w:bCs/>
          <w:color w:val="000000"/>
          <w:sz w:val="24"/>
          <w:szCs w:val="24"/>
        </w:rPr>
        <w:t xml:space="preserve">na území </w:t>
      </w:r>
      <w:r w:rsidR="00593941" w:rsidRPr="000A788E">
        <w:rPr>
          <w:rFonts w:ascii="Times New Roman" w:eastAsia="Calibri" w:hAnsi="Times New Roman" w:cs="Times New Roman"/>
          <w:bCs/>
          <w:color w:val="000000"/>
          <w:sz w:val="24"/>
          <w:szCs w:val="24"/>
        </w:rPr>
        <w:t>Slovenskej republik</w:t>
      </w:r>
      <w:r w:rsidR="001F3BBB">
        <w:rPr>
          <w:rFonts w:ascii="Times New Roman" w:eastAsia="Calibri" w:hAnsi="Times New Roman" w:cs="Times New Roman"/>
          <w:bCs/>
          <w:color w:val="000000"/>
          <w:sz w:val="24"/>
          <w:szCs w:val="24"/>
        </w:rPr>
        <w:t>y nepôsobil a ani v súčasnosti</w:t>
      </w:r>
      <w:r w:rsidR="00593941" w:rsidRPr="000A788E">
        <w:rPr>
          <w:rFonts w:ascii="Times New Roman" w:eastAsia="Calibri" w:hAnsi="Times New Roman" w:cs="Times New Roman"/>
          <w:bCs/>
          <w:color w:val="000000"/>
          <w:sz w:val="24"/>
          <w:szCs w:val="24"/>
        </w:rPr>
        <w:t xml:space="preserve"> nepôsobí žiadny takýto subjekt.</w:t>
      </w:r>
      <w:r w:rsidR="001F3BBB">
        <w:rPr>
          <w:rFonts w:ascii="Times New Roman" w:eastAsia="Calibri" w:hAnsi="Times New Roman" w:cs="Times New Roman"/>
          <w:bCs/>
          <w:color w:val="000000"/>
          <w:sz w:val="24"/>
          <w:szCs w:val="24"/>
        </w:rPr>
        <w:t xml:space="preserve"> Obdobne je to aj v prípade tzv. malých a menej zložitých spoločností, </w:t>
      </w:r>
      <w:r w:rsidR="009B3221">
        <w:rPr>
          <w:rFonts w:ascii="Times New Roman" w:eastAsia="Calibri" w:hAnsi="Times New Roman" w:cs="Times New Roman"/>
          <w:bCs/>
          <w:color w:val="000000"/>
          <w:sz w:val="24"/>
          <w:szCs w:val="24"/>
        </w:rPr>
        <w:t>tzn.</w:t>
      </w:r>
      <w:r w:rsidR="001F3BBB">
        <w:rPr>
          <w:rFonts w:ascii="Times New Roman" w:eastAsia="Calibri" w:hAnsi="Times New Roman" w:cs="Times New Roman"/>
          <w:bCs/>
          <w:color w:val="000000"/>
          <w:sz w:val="24"/>
          <w:szCs w:val="24"/>
        </w:rPr>
        <w:t xml:space="preserve"> poisťovní alebo zaisťovní, ktoré spĺňa</w:t>
      </w:r>
      <w:r w:rsidR="009B3221">
        <w:rPr>
          <w:rFonts w:ascii="Times New Roman" w:eastAsia="Calibri" w:hAnsi="Times New Roman" w:cs="Times New Roman"/>
          <w:bCs/>
          <w:color w:val="000000"/>
          <w:sz w:val="24"/>
          <w:szCs w:val="24"/>
        </w:rPr>
        <w:t>jú</w:t>
      </w:r>
      <w:r w:rsidR="001F3BBB">
        <w:rPr>
          <w:rFonts w:ascii="Times New Roman" w:eastAsia="Calibri" w:hAnsi="Times New Roman" w:cs="Times New Roman"/>
          <w:bCs/>
          <w:color w:val="000000"/>
          <w:sz w:val="24"/>
          <w:szCs w:val="24"/>
        </w:rPr>
        <w:t xml:space="preserve"> kritériá</w:t>
      </w:r>
      <w:r w:rsidR="009B3221">
        <w:rPr>
          <w:rFonts w:ascii="Times New Roman" w:eastAsia="Calibri" w:hAnsi="Times New Roman" w:cs="Times New Roman"/>
          <w:bCs/>
          <w:color w:val="000000"/>
          <w:sz w:val="24"/>
          <w:szCs w:val="24"/>
        </w:rPr>
        <w:t xml:space="preserve"> na to</w:t>
      </w:r>
      <w:r w:rsidR="001F3BBB">
        <w:rPr>
          <w:rFonts w:ascii="Times New Roman" w:eastAsia="Calibri" w:hAnsi="Times New Roman" w:cs="Times New Roman"/>
          <w:bCs/>
          <w:color w:val="000000"/>
          <w:sz w:val="24"/>
          <w:szCs w:val="24"/>
        </w:rPr>
        <w:t xml:space="preserve">, aby </w:t>
      </w:r>
      <w:r w:rsidR="002E32D6">
        <w:rPr>
          <w:rFonts w:ascii="Times New Roman" w:eastAsia="Calibri" w:hAnsi="Times New Roman" w:cs="Times New Roman"/>
          <w:bCs/>
          <w:color w:val="000000"/>
          <w:sz w:val="24"/>
          <w:szCs w:val="24"/>
        </w:rPr>
        <w:t xml:space="preserve">mohli </w:t>
      </w:r>
      <w:r w:rsidR="001F3BBB">
        <w:rPr>
          <w:rFonts w:ascii="Times New Roman" w:eastAsia="Calibri" w:hAnsi="Times New Roman" w:cs="Times New Roman"/>
          <w:bCs/>
          <w:color w:val="000000"/>
          <w:sz w:val="24"/>
          <w:szCs w:val="24"/>
        </w:rPr>
        <w:t>b</w:t>
      </w:r>
      <w:r w:rsidR="002E32D6">
        <w:rPr>
          <w:rFonts w:ascii="Times New Roman" w:eastAsia="Calibri" w:hAnsi="Times New Roman" w:cs="Times New Roman"/>
          <w:bCs/>
          <w:color w:val="000000"/>
          <w:sz w:val="24"/>
          <w:szCs w:val="24"/>
        </w:rPr>
        <w:t>yť</w:t>
      </w:r>
      <w:r w:rsidR="001F3BBB">
        <w:rPr>
          <w:rFonts w:ascii="Times New Roman" w:eastAsia="Calibri" w:hAnsi="Times New Roman" w:cs="Times New Roman"/>
          <w:bCs/>
          <w:color w:val="000000"/>
          <w:sz w:val="24"/>
          <w:szCs w:val="24"/>
        </w:rPr>
        <w:t xml:space="preserve"> </w:t>
      </w:r>
      <w:r w:rsidR="009B3221">
        <w:rPr>
          <w:rFonts w:ascii="Times New Roman" w:eastAsia="Calibri" w:hAnsi="Times New Roman" w:cs="Times New Roman"/>
          <w:bCs/>
          <w:color w:val="000000"/>
          <w:sz w:val="24"/>
          <w:szCs w:val="24"/>
        </w:rPr>
        <w:t xml:space="preserve">za také </w:t>
      </w:r>
      <w:r w:rsidR="001F3BBB">
        <w:rPr>
          <w:rFonts w:ascii="Times New Roman" w:eastAsia="Calibri" w:hAnsi="Times New Roman" w:cs="Times New Roman"/>
          <w:bCs/>
          <w:color w:val="000000"/>
          <w:sz w:val="24"/>
          <w:szCs w:val="24"/>
        </w:rPr>
        <w:t xml:space="preserve">považované. </w:t>
      </w:r>
    </w:p>
    <w:p w14:paraId="59037E30" w14:textId="26194AC2" w:rsidR="001F3BBB" w:rsidRDefault="001F3BBB" w:rsidP="00593941">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Zvýšené administratívne náklady vyplývajúce z povinností voči Národnej banke Slovenska, pokiaľ by vykonávala funkciu dohľadu nad skupinou</w:t>
      </w:r>
      <w:r w:rsidR="002F68C8">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rPr>
        <w:t xml:space="preserve">  možno očakávať aj v prípade poisťovní s majetkovou účasťou alebo zaisťovní s majetkovou účasťou (napr. § 94 alebo § 96)</w:t>
      </w:r>
      <w:r w:rsidR="002F68C8">
        <w:rPr>
          <w:rFonts w:ascii="Times New Roman" w:eastAsia="Calibri" w:hAnsi="Times New Roman" w:cs="Times New Roman"/>
          <w:bCs/>
          <w:color w:val="000000"/>
          <w:sz w:val="24"/>
          <w:szCs w:val="24"/>
        </w:rPr>
        <w:t>. Obdobne je to aj v prípade, ak niektorá z poisťovní alebo zaisťovní, ktorej bolo udelené povolenie na poisťovacej činnosti alebo povolenie na vykonávanie zaisťovacej činnosti na území Slovenskej republiky by bola konečnou materskou spoločnosťou na úrovni Európskej únie (napr. § 108, § 116a resp. § 116b).</w:t>
      </w:r>
    </w:p>
    <w:p w14:paraId="25F3A071" w14:textId="2E92F863" w:rsidR="00930DF1" w:rsidRPr="002E32D6" w:rsidRDefault="002E32D6" w:rsidP="00930DF1">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Pozitívne vplyvy na podnikateľské prostredie </w:t>
      </w:r>
      <w:r w:rsidR="00490396">
        <w:rPr>
          <w:rFonts w:ascii="Times New Roman" w:eastAsia="Times New Roman" w:hAnsi="Times New Roman" w:cs="Times New Roman"/>
          <w:bCs/>
          <w:sz w:val="24"/>
          <w:szCs w:val="24"/>
          <w:lang w:eastAsia="sk-SK"/>
        </w:rPr>
        <w:t>vychádzajú najmä z princípu proporcionality vo vzťahu k poisťovniam alebo zaisťovniam, ktoré môžu byť klasifikované ako malé a menej zložité spoločnosti, ako aj pri poisťovniach alebo zaisťovniach, ktoré by nemohli byť klasifikované ako malé a menej zložité spoločnosti, ale v niektorých zákonom stanovených oblastiach by mohli so súhlasom Národnej banky Slovenska používať opatrenia v oblasti proporcionality (§ 70b až § 70f). Tieto opatrenia im znížia administratívnu záťaž, najmä pokiaľ ide o</w:t>
      </w:r>
      <w:r w:rsidR="006201E0">
        <w:rPr>
          <w:rFonts w:ascii="Times New Roman" w:eastAsia="Times New Roman" w:hAnsi="Times New Roman" w:cs="Times New Roman"/>
          <w:bCs/>
          <w:sz w:val="24"/>
          <w:szCs w:val="24"/>
          <w:lang w:eastAsia="sk-SK"/>
        </w:rPr>
        <w:t> </w:t>
      </w:r>
      <w:r w:rsidR="00490396">
        <w:rPr>
          <w:rFonts w:ascii="Times New Roman" w:eastAsia="Times New Roman" w:hAnsi="Times New Roman" w:cs="Times New Roman"/>
          <w:bCs/>
          <w:sz w:val="24"/>
          <w:szCs w:val="24"/>
          <w:lang w:eastAsia="sk-SK"/>
        </w:rPr>
        <w:t>vypracovávanie</w:t>
      </w:r>
      <w:r w:rsidR="006201E0">
        <w:rPr>
          <w:rFonts w:ascii="Times New Roman" w:eastAsia="Times New Roman" w:hAnsi="Times New Roman" w:cs="Times New Roman"/>
          <w:bCs/>
          <w:sz w:val="24"/>
          <w:szCs w:val="24"/>
          <w:lang w:eastAsia="sk-SK"/>
        </w:rPr>
        <w:t xml:space="preserve"> a </w:t>
      </w:r>
      <w:r w:rsidR="00490396">
        <w:rPr>
          <w:rFonts w:ascii="Times New Roman" w:eastAsia="Times New Roman" w:hAnsi="Times New Roman" w:cs="Times New Roman"/>
          <w:bCs/>
          <w:sz w:val="24"/>
          <w:szCs w:val="24"/>
          <w:lang w:eastAsia="sk-SK"/>
        </w:rPr>
        <w:t>predkladanie</w:t>
      </w:r>
      <w:r w:rsidR="006201E0">
        <w:rPr>
          <w:rFonts w:ascii="Times New Roman" w:eastAsia="Times New Roman" w:hAnsi="Times New Roman" w:cs="Times New Roman"/>
          <w:bCs/>
          <w:sz w:val="24"/>
          <w:szCs w:val="24"/>
          <w:lang w:eastAsia="sk-SK"/>
        </w:rPr>
        <w:t xml:space="preserve"> rôznych údajov, správ, dokladov, hlásení a informácií, tak do ich počtu, rozsahu ako aj ich frekvencie. </w:t>
      </w:r>
      <w:r w:rsidR="00490396">
        <w:rPr>
          <w:rFonts w:ascii="Times New Roman" w:eastAsia="Times New Roman" w:hAnsi="Times New Roman" w:cs="Times New Roman"/>
          <w:bCs/>
          <w:sz w:val="24"/>
          <w:szCs w:val="24"/>
          <w:lang w:eastAsia="sk-SK"/>
        </w:rPr>
        <w:t xml:space="preserve">  </w:t>
      </w:r>
    </w:p>
    <w:sectPr w:rsidR="00930DF1" w:rsidRPr="002E32D6"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6490C" w14:textId="77777777" w:rsidR="005963C6" w:rsidRDefault="005963C6" w:rsidP="00054C41">
      <w:pPr>
        <w:spacing w:after="0" w:line="240" w:lineRule="auto"/>
      </w:pPr>
      <w:r>
        <w:separator/>
      </w:r>
    </w:p>
  </w:endnote>
  <w:endnote w:type="continuationSeparator" w:id="0">
    <w:p w14:paraId="25B52BF6" w14:textId="77777777" w:rsidR="005963C6" w:rsidRDefault="005963C6"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6838A" w14:textId="3E533F23" w:rsidR="007A1A41" w:rsidRDefault="007A1A41">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F2F5" w14:textId="76DE042E" w:rsidR="00F244DC" w:rsidRPr="006045CB" w:rsidRDefault="00000000" w:rsidP="00054C41">
    <w:pPr>
      <w:pStyle w:val="Pta"/>
      <w:jc w:val="right"/>
      <w:rPr>
        <w:rFonts w:ascii="Times New Roman" w:hAnsi="Times New Roman" w:cs="Times New Roman"/>
        <w:sz w:val="24"/>
        <w:szCs w:val="24"/>
      </w:rPr>
    </w:pPr>
    <w:sdt>
      <w:sdtPr>
        <w:id w:val="726035099"/>
        <w:docPartObj>
          <w:docPartGallery w:val="Page Numbers (Bottom of Page)"/>
          <w:docPartUnique/>
        </w:docPartObj>
      </w:sdtPr>
      <w:sdtEndPr>
        <w:rPr>
          <w:rFonts w:ascii="Times New Roman" w:hAnsi="Times New Roman" w:cs="Times New Roman"/>
          <w:sz w:val="24"/>
          <w:szCs w:val="24"/>
        </w:rPr>
      </w:sdtEndPr>
      <w:sdtContent>
        <w:r w:rsidR="00F244DC" w:rsidRPr="006045CB">
          <w:rPr>
            <w:rFonts w:ascii="Times New Roman" w:hAnsi="Times New Roman" w:cs="Times New Roman"/>
            <w:sz w:val="24"/>
            <w:szCs w:val="24"/>
          </w:rPr>
          <w:fldChar w:fldCharType="begin"/>
        </w:r>
        <w:r w:rsidR="00F244DC" w:rsidRPr="006045CB">
          <w:rPr>
            <w:rFonts w:ascii="Times New Roman" w:hAnsi="Times New Roman" w:cs="Times New Roman"/>
            <w:sz w:val="24"/>
            <w:szCs w:val="24"/>
          </w:rPr>
          <w:instrText>PAGE   \* MERGEFORMAT</w:instrText>
        </w:r>
        <w:r w:rsidR="00F244DC"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w:t>
        </w:r>
        <w:r w:rsidR="0048237B">
          <w:rPr>
            <w:rFonts w:ascii="Times New Roman" w:hAnsi="Times New Roman" w:cs="Times New Roman"/>
            <w:noProof/>
            <w:sz w:val="24"/>
            <w:szCs w:val="24"/>
          </w:rPr>
          <w:t>7</w:t>
        </w:r>
        <w:r w:rsidR="00F244DC" w:rsidRPr="006045CB">
          <w:rPr>
            <w:rFonts w:ascii="Times New Roman" w:hAnsi="Times New Roman" w:cs="Times New Roman"/>
            <w:sz w:val="24"/>
            <w:szCs w:val="24"/>
          </w:rPr>
          <w:fldChar w:fldCharType="end"/>
        </w:r>
      </w:sdtContent>
    </w:sdt>
  </w:p>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B6189" w14:textId="689352D8" w:rsidR="007A1A41" w:rsidRDefault="007A1A4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59FA4" w14:textId="77777777" w:rsidR="005963C6" w:rsidRDefault="005963C6" w:rsidP="00054C41">
      <w:pPr>
        <w:spacing w:after="0" w:line="240" w:lineRule="auto"/>
      </w:pPr>
      <w:r>
        <w:separator/>
      </w:r>
    </w:p>
  </w:footnote>
  <w:footnote w:type="continuationSeparator" w:id="0">
    <w:p w14:paraId="5D50CB2C" w14:textId="77777777" w:rsidR="005963C6" w:rsidRDefault="005963C6"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07901D5"/>
    <w:multiLevelType w:val="hybridMultilevel"/>
    <w:tmpl w:val="629676B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138956654">
    <w:abstractNumId w:val="1"/>
  </w:num>
  <w:num w:numId="2" w16cid:durableId="724766796">
    <w:abstractNumId w:val="10"/>
  </w:num>
  <w:num w:numId="3" w16cid:durableId="573202678">
    <w:abstractNumId w:val="11"/>
  </w:num>
  <w:num w:numId="4" w16cid:durableId="641035844">
    <w:abstractNumId w:val="9"/>
  </w:num>
  <w:num w:numId="5" w16cid:durableId="1451826045">
    <w:abstractNumId w:val="7"/>
  </w:num>
  <w:num w:numId="6" w16cid:durableId="13346028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7839949">
    <w:abstractNumId w:val="11"/>
  </w:num>
  <w:num w:numId="8" w16cid:durableId="9565257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79184970">
    <w:abstractNumId w:val="8"/>
  </w:num>
  <w:num w:numId="10" w16cid:durableId="669260651">
    <w:abstractNumId w:val="3"/>
  </w:num>
  <w:num w:numId="11" w16cid:durableId="1918588270">
    <w:abstractNumId w:val="5"/>
  </w:num>
  <w:num w:numId="12" w16cid:durableId="1558472629">
    <w:abstractNumId w:val="0"/>
  </w:num>
  <w:num w:numId="13" w16cid:durableId="2047480211">
    <w:abstractNumId w:val="12"/>
  </w:num>
  <w:num w:numId="14" w16cid:durableId="1688867997">
    <w:abstractNumId w:val="6"/>
  </w:num>
  <w:num w:numId="15" w16cid:durableId="10947851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7C70"/>
    <w:rsid w:val="00050AAB"/>
    <w:rsid w:val="00053592"/>
    <w:rsid w:val="00054A53"/>
    <w:rsid w:val="00054C41"/>
    <w:rsid w:val="00060DA1"/>
    <w:rsid w:val="00061E85"/>
    <w:rsid w:val="000625D8"/>
    <w:rsid w:val="00077741"/>
    <w:rsid w:val="0008142F"/>
    <w:rsid w:val="000820E0"/>
    <w:rsid w:val="000868DF"/>
    <w:rsid w:val="00091A43"/>
    <w:rsid w:val="0009490E"/>
    <w:rsid w:val="000A6B7F"/>
    <w:rsid w:val="000A788E"/>
    <w:rsid w:val="000C5419"/>
    <w:rsid w:val="000C5E9A"/>
    <w:rsid w:val="000D15F0"/>
    <w:rsid w:val="00100D7D"/>
    <w:rsid w:val="0011003B"/>
    <w:rsid w:val="001133DA"/>
    <w:rsid w:val="001141F2"/>
    <w:rsid w:val="00126A2B"/>
    <w:rsid w:val="00127AE1"/>
    <w:rsid w:val="00134B9C"/>
    <w:rsid w:val="00142154"/>
    <w:rsid w:val="001476A4"/>
    <w:rsid w:val="00162C6C"/>
    <w:rsid w:val="0016512E"/>
    <w:rsid w:val="00185AFE"/>
    <w:rsid w:val="0018715C"/>
    <w:rsid w:val="001A1561"/>
    <w:rsid w:val="001B4C03"/>
    <w:rsid w:val="001C7B91"/>
    <w:rsid w:val="001D1083"/>
    <w:rsid w:val="001D3FA0"/>
    <w:rsid w:val="001E177F"/>
    <w:rsid w:val="001E24E8"/>
    <w:rsid w:val="001E53CB"/>
    <w:rsid w:val="001F3BBB"/>
    <w:rsid w:val="001F4FAF"/>
    <w:rsid w:val="00207F43"/>
    <w:rsid w:val="00211B27"/>
    <w:rsid w:val="002232D3"/>
    <w:rsid w:val="00225A83"/>
    <w:rsid w:val="00231B8F"/>
    <w:rsid w:val="0026393E"/>
    <w:rsid w:val="00270EA5"/>
    <w:rsid w:val="002712B9"/>
    <w:rsid w:val="00284B8C"/>
    <w:rsid w:val="0029483F"/>
    <w:rsid w:val="002A0EBF"/>
    <w:rsid w:val="002B164D"/>
    <w:rsid w:val="002B7AA7"/>
    <w:rsid w:val="002C2FC0"/>
    <w:rsid w:val="002C3370"/>
    <w:rsid w:val="002E1614"/>
    <w:rsid w:val="002E32D6"/>
    <w:rsid w:val="002F68C8"/>
    <w:rsid w:val="00302A17"/>
    <w:rsid w:val="00314D25"/>
    <w:rsid w:val="00315BE2"/>
    <w:rsid w:val="00322270"/>
    <w:rsid w:val="0032719E"/>
    <w:rsid w:val="003322EE"/>
    <w:rsid w:val="0033288B"/>
    <w:rsid w:val="00337630"/>
    <w:rsid w:val="00340CFD"/>
    <w:rsid w:val="003413D5"/>
    <w:rsid w:val="00342621"/>
    <w:rsid w:val="00355A36"/>
    <w:rsid w:val="00357F22"/>
    <w:rsid w:val="00362932"/>
    <w:rsid w:val="0036748D"/>
    <w:rsid w:val="00375D16"/>
    <w:rsid w:val="00376039"/>
    <w:rsid w:val="0038255E"/>
    <w:rsid w:val="00391648"/>
    <w:rsid w:val="0039304E"/>
    <w:rsid w:val="0039334E"/>
    <w:rsid w:val="00394AD2"/>
    <w:rsid w:val="003A02AF"/>
    <w:rsid w:val="003A0DF0"/>
    <w:rsid w:val="003A3124"/>
    <w:rsid w:val="003A686F"/>
    <w:rsid w:val="003C2884"/>
    <w:rsid w:val="003D64B2"/>
    <w:rsid w:val="003E58B8"/>
    <w:rsid w:val="003F02DD"/>
    <w:rsid w:val="003F06D7"/>
    <w:rsid w:val="003F3FAF"/>
    <w:rsid w:val="00400224"/>
    <w:rsid w:val="00400BA5"/>
    <w:rsid w:val="00410E62"/>
    <w:rsid w:val="00414FA7"/>
    <w:rsid w:val="00415274"/>
    <w:rsid w:val="00420090"/>
    <w:rsid w:val="004239D1"/>
    <w:rsid w:val="00445638"/>
    <w:rsid w:val="00446432"/>
    <w:rsid w:val="00446512"/>
    <w:rsid w:val="00453EA6"/>
    <w:rsid w:val="00466D7A"/>
    <w:rsid w:val="0048237B"/>
    <w:rsid w:val="00484D16"/>
    <w:rsid w:val="00490396"/>
    <w:rsid w:val="00491853"/>
    <w:rsid w:val="004A14CD"/>
    <w:rsid w:val="004A268B"/>
    <w:rsid w:val="004A2C6B"/>
    <w:rsid w:val="004B61D6"/>
    <w:rsid w:val="004D20CB"/>
    <w:rsid w:val="004D65B2"/>
    <w:rsid w:val="004D681D"/>
    <w:rsid w:val="004E2324"/>
    <w:rsid w:val="004E5678"/>
    <w:rsid w:val="004F00E5"/>
    <w:rsid w:val="004F63E6"/>
    <w:rsid w:val="005103DA"/>
    <w:rsid w:val="00511F8F"/>
    <w:rsid w:val="00512BA7"/>
    <w:rsid w:val="00515726"/>
    <w:rsid w:val="00553AB6"/>
    <w:rsid w:val="00562527"/>
    <w:rsid w:val="00562A1E"/>
    <w:rsid w:val="00563427"/>
    <w:rsid w:val="00570103"/>
    <w:rsid w:val="00575F53"/>
    <w:rsid w:val="005775E0"/>
    <w:rsid w:val="00580E56"/>
    <w:rsid w:val="00581EB9"/>
    <w:rsid w:val="00593941"/>
    <w:rsid w:val="005963C6"/>
    <w:rsid w:val="005B4E6E"/>
    <w:rsid w:val="005B56E4"/>
    <w:rsid w:val="005C795C"/>
    <w:rsid w:val="005D0E50"/>
    <w:rsid w:val="005D39D8"/>
    <w:rsid w:val="005F4D7A"/>
    <w:rsid w:val="0061097B"/>
    <w:rsid w:val="0061612F"/>
    <w:rsid w:val="006177C8"/>
    <w:rsid w:val="006201E0"/>
    <w:rsid w:val="0062600A"/>
    <w:rsid w:val="00630D28"/>
    <w:rsid w:val="0063777D"/>
    <w:rsid w:val="00643358"/>
    <w:rsid w:val="00646084"/>
    <w:rsid w:val="006564C3"/>
    <w:rsid w:val="006578CB"/>
    <w:rsid w:val="00687B5F"/>
    <w:rsid w:val="00694476"/>
    <w:rsid w:val="006A4E85"/>
    <w:rsid w:val="006A60C0"/>
    <w:rsid w:val="006A712F"/>
    <w:rsid w:val="006A7BD0"/>
    <w:rsid w:val="006B5D74"/>
    <w:rsid w:val="006C10E6"/>
    <w:rsid w:val="006C25BE"/>
    <w:rsid w:val="006D52E3"/>
    <w:rsid w:val="006D7AD8"/>
    <w:rsid w:val="006F1D57"/>
    <w:rsid w:val="006F410A"/>
    <w:rsid w:val="007001C1"/>
    <w:rsid w:val="0070364C"/>
    <w:rsid w:val="00710EDF"/>
    <w:rsid w:val="0072221D"/>
    <w:rsid w:val="0072357C"/>
    <w:rsid w:val="007259CB"/>
    <w:rsid w:val="00726031"/>
    <w:rsid w:val="00751DA9"/>
    <w:rsid w:val="00753A36"/>
    <w:rsid w:val="00755E69"/>
    <w:rsid w:val="007648EE"/>
    <w:rsid w:val="0077106D"/>
    <w:rsid w:val="00780ACC"/>
    <w:rsid w:val="00783D6F"/>
    <w:rsid w:val="00787A11"/>
    <w:rsid w:val="0079572A"/>
    <w:rsid w:val="00797B40"/>
    <w:rsid w:val="007A0C9D"/>
    <w:rsid w:val="007A1A41"/>
    <w:rsid w:val="007A1E92"/>
    <w:rsid w:val="007A6971"/>
    <w:rsid w:val="007B40FB"/>
    <w:rsid w:val="007B62AF"/>
    <w:rsid w:val="007D150B"/>
    <w:rsid w:val="007E24B2"/>
    <w:rsid w:val="007E2DA4"/>
    <w:rsid w:val="007E4D45"/>
    <w:rsid w:val="007E6815"/>
    <w:rsid w:val="007E7632"/>
    <w:rsid w:val="007F1C84"/>
    <w:rsid w:val="007F4579"/>
    <w:rsid w:val="00801596"/>
    <w:rsid w:val="00804BC8"/>
    <w:rsid w:val="00806E23"/>
    <w:rsid w:val="00807981"/>
    <w:rsid w:val="00821863"/>
    <w:rsid w:val="00823F5A"/>
    <w:rsid w:val="008279F4"/>
    <w:rsid w:val="00845D3B"/>
    <w:rsid w:val="00847E21"/>
    <w:rsid w:val="008634E9"/>
    <w:rsid w:val="00866B10"/>
    <w:rsid w:val="00872328"/>
    <w:rsid w:val="008801B5"/>
    <w:rsid w:val="00880578"/>
    <w:rsid w:val="00882407"/>
    <w:rsid w:val="00886A06"/>
    <w:rsid w:val="008920C3"/>
    <w:rsid w:val="00894052"/>
    <w:rsid w:val="008A7B87"/>
    <w:rsid w:val="008B4AA1"/>
    <w:rsid w:val="008B5C8A"/>
    <w:rsid w:val="008B5FD7"/>
    <w:rsid w:val="008C1C71"/>
    <w:rsid w:val="008E1AD0"/>
    <w:rsid w:val="008E315F"/>
    <w:rsid w:val="008E6B82"/>
    <w:rsid w:val="008F6ADE"/>
    <w:rsid w:val="0091208A"/>
    <w:rsid w:val="0091269B"/>
    <w:rsid w:val="00923C0C"/>
    <w:rsid w:val="00930DF1"/>
    <w:rsid w:val="00931578"/>
    <w:rsid w:val="00932BE7"/>
    <w:rsid w:val="009339CB"/>
    <w:rsid w:val="0095170D"/>
    <w:rsid w:val="00952CF6"/>
    <w:rsid w:val="00952F48"/>
    <w:rsid w:val="00960413"/>
    <w:rsid w:val="00967CAD"/>
    <w:rsid w:val="00981995"/>
    <w:rsid w:val="00981C7F"/>
    <w:rsid w:val="00985515"/>
    <w:rsid w:val="00987139"/>
    <w:rsid w:val="00990813"/>
    <w:rsid w:val="0099544D"/>
    <w:rsid w:val="00997513"/>
    <w:rsid w:val="009A0E2C"/>
    <w:rsid w:val="009A4D56"/>
    <w:rsid w:val="009B1F04"/>
    <w:rsid w:val="009B3221"/>
    <w:rsid w:val="009E09F7"/>
    <w:rsid w:val="009E2D5C"/>
    <w:rsid w:val="009E3E44"/>
    <w:rsid w:val="009F4175"/>
    <w:rsid w:val="009F66A4"/>
    <w:rsid w:val="009F6C80"/>
    <w:rsid w:val="00A000DA"/>
    <w:rsid w:val="00A06D63"/>
    <w:rsid w:val="00A07191"/>
    <w:rsid w:val="00A1736E"/>
    <w:rsid w:val="00A216DF"/>
    <w:rsid w:val="00A33F2C"/>
    <w:rsid w:val="00A50EE3"/>
    <w:rsid w:val="00A53296"/>
    <w:rsid w:val="00A644D2"/>
    <w:rsid w:val="00A64A95"/>
    <w:rsid w:val="00A83E11"/>
    <w:rsid w:val="00A84AAD"/>
    <w:rsid w:val="00A94A0F"/>
    <w:rsid w:val="00AA3C6D"/>
    <w:rsid w:val="00AB57C4"/>
    <w:rsid w:val="00AC267A"/>
    <w:rsid w:val="00AE3C74"/>
    <w:rsid w:val="00B11CF5"/>
    <w:rsid w:val="00B209FA"/>
    <w:rsid w:val="00B21D1F"/>
    <w:rsid w:val="00B410BA"/>
    <w:rsid w:val="00B41126"/>
    <w:rsid w:val="00B43D68"/>
    <w:rsid w:val="00B44A3A"/>
    <w:rsid w:val="00B5104C"/>
    <w:rsid w:val="00B5600C"/>
    <w:rsid w:val="00B66E33"/>
    <w:rsid w:val="00B72FB1"/>
    <w:rsid w:val="00B87A8A"/>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1716B"/>
    <w:rsid w:val="00C17A26"/>
    <w:rsid w:val="00C21399"/>
    <w:rsid w:val="00C446E2"/>
    <w:rsid w:val="00C4721E"/>
    <w:rsid w:val="00C535F5"/>
    <w:rsid w:val="00C560C4"/>
    <w:rsid w:val="00C6748F"/>
    <w:rsid w:val="00C67BF2"/>
    <w:rsid w:val="00C74337"/>
    <w:rsid w:val="00C75DC8"/>
    <w:rsid w:val="00C929AE"/>
    <w:rsid w:val="00CA4344"/>
    <w:rsid w:val="00CA6348"/>
    <w:rsid w:val="00CA6D63"/>
    <w:rsid w:val="00CB1232"/>
    <w:rsid w:val="00CB17A0"/>
    <w:rsid w:val="00CC3B7D"/>
    <w:rsid w:val="00CD5AE4"/>
    <w:rsid w:val="00CD5E86"/>
    <w:rsid w:val="00CE3B21"/>
    <w:rsid w:val="00CF4D09"/>
    <w:rsid w:val="00D005F2"/>
    <w:rsid w:val="00D03A8E"/>
    <w:rsid w:val="00D114ED"/>
    <w:rsid w:val="00D3032C"/>
    <w:rsid w:val="00D31A3B"/>
    <w:rsid w:val="00D475AB"/>
    <w:rsid w:val="00D5309D"/>
    <w:rsid w:val="00D631FA"/>
    <w:rsid w:val="00D63A32"/>
    <w:rsid w:val="00D71064"/>
    <w:rsid w:val="00D8021B"/>
    <w:rsid w:val="00D811BB"/>
    <w:rsid w:val="00D82356"/>
    <w:rsid w:val="00D84EEE"/>
    <w:rsid w:val="00D90A61"/>
    <w:rsid w:val="00D946EF"/>
    <w:rsid w:val="00D95553"/>
    <w:rsid w:val="00DA1191"/>
    <w:rsid w:val="00DC355F"/>
    <w:rsid w:val="00DD1E4C"/>
    <w:rsid w:val="00DE302E"/>
    <w:rsid w:val="00DE331A"/>
    <w:rsid w:val="00DE6ACB"/>
    <w:rsid w:val="00DF02CE"/>
    <w:rsid w:val="00DF0FFE"/>
    <w:rsid w:val="00DF1462"/>
    <w:rsid w:val="00E030DA"/>
    <w:rsid w:val="00E0435F"/>
    <w:rsid w:val="00E214C0"/>
    <w:rsid w:val="00E25B84"/>
    <w:rsid w:val="00E30D85"/>
    <w:rsid w:val="00E41EC0"/>
    <w:rsid w:val="00E444EB"/>
    <w:rsid w:val="00E57EA4"/>
    <w:rsid w:val="00E660C2"/>
    <w:rsid w:val="00E77A69"/>
    <w:rsid w:val="00E81A42"/>
    <w:rsid w:val="00E8672D"/>
    <w:rsid w:val="00E961E8"/>
    <w:rsid w:val="00E96244"/>
    <w:rsid w:val="00E96DE0"/>
    <w:rsid w:val="00EB2BEC"/>
    <w:rsid w:val="00EB74BF"/>
    <w:rsid w:val="00EC0704"/>
    <w:rsid w:val="00EC508B"/>
    <w:rsid w:val="00ED6B5D"/>
    <w:rsid w:val="00EE2375"/>
    <w:rsid w:val="00EE4C99"/>
    <w:rsid w:val="00EF7831"/>
    <w:rsid w:val="00F153D7"/>
    <w:rsid w:val="00F1599C"/>
    <w:rsid w:val="00F2433F"/>
    <w:rsid w:val="00F244DC"/>
    <w:rsid w:val="00F378F4"/>
    <w:rsid w:val="00F47912"/>
    <w:rsid w:val="00F541B6"/>
    <w:rsid w:val="00F571F7"/>
    <w:rsid w:val="00F57702"/>
    <w:rsid w:val="00F61361"/>
    <w:rsid w:val="00F613E8"/>
    <w:rsid w:val="00F67F40"/>
    <w:rsid w:val="00F74D3C"/>
    <w:rsid w:val="00F74FC9"/>
    <w:rsid w:val="00F762B7"/>
    <w:rsid w:val="00F91F47"/>
    <w:rsid w:val="00FA2E4B"/>
    <w:rsid w:val="00FA3F0B"/>
    <w:rsid w:val="00FA469D"/>
    <w:rsid w:val="00FA4F36"/>
    <w:rsid w:val="00FA6FFE"/>
    <w:rsid w:val="00FB7B83"/>
    <w:rsid w:val="00FC121B"/>
    <w:rsid w:val="00FC512F"/>
    <w:rsid w:val="00FD0916"/>
    <w:rsid w:val="00FD3DFB"/>
    <w:rsid w:val="00FF0272"/>
    <w:rsid w:val="00FF414B"/>
    <w:rsid w:val="00FF4B7A"/>
    <w:rsid w:val="00FF56C3"/>
    <w:rsid w:val="00FF6FF5"/>
    <w:rsid w:val="00FF763D"/>
    <w:rsid w:val="00FF7B8D"/>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2B7AA7"/>
    <w:rPr>
      <w:color w:val="0563C1" w:themeColor="hyperlink"/>
      <w:u w:val="single"/>
    </w:rPr>
  </w:style>
  <w:style w:type="character" w:styleId="Nevyrieenzmienka">
    <w:name w:val="Unresolved Mention"/>
    <w:basedOn w:val="Predvolenpsmoodseku"/>
    <w:uiPriority w:val="99"/>
    <w:semiHidden/>
    <w:unhideWhenUsed/>
    <w:rsid w:val="002B7AA7"/>
    <w:rPr>
      <w:color w:val="605E5C"/>
      <w:shd w:val="clear" w:color="auto" w:fill="E1DFDD"/>
    </w:rPr>
  </w:style>
  <w:style w:type="character" w:styleId="PouitHypertextovPrepojenie">
    <w:name w:val="FollowedHyperlink"/>
    <w:basedOn w:val="Predvolenpsmoodseku"/>
    <w:uiPriority w:val="99"/>
    <w:semiHidden/>
    <w:unhideWhenUsed/>
    <w:rsid w:val="001141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subjekty.nbs.sk/sk/?s=985" TargetMode="Externa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footer" Target="foot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3649</Words>
  <Characters>20801</Characters>
  <Application>Microsoft Office Word</Application>
  <DocSecurity>0</DocSecurity>
  <Lines>173</Lines>
  <Paragraphs>48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Kučerová Daša</cp:lastModifiedBy>
  <cp:revision>2</cp:revision>
  <dcterms:created xsi:type="dcterms:W3CDTF">2026-08-18T07:00:00Z</dcterms:created>
  <dcterms:modified xsi:type="dcterms:W3CDTF">2026-08-18T07:00:00Z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MSIP_Label_d8d4986f-dcbf-4623-ae9a-8251714e0a88_Enabled">
    <vt:lpwstr>true</vt:lpwstr>
  </property>
  <property fmtid="{D5CDD505-2E9C-101B-9397-08002B2CF9AE}" pid="154" name="MSIP_Label_d8d4986f-dcbf-4623-ae9a-8251714e0a88_SetDate">
    <vt:lpwstr>2026-04-21T07:38:03Z</vt:lpwstr>
  </property>
  <property fmtid="{D5CDD505-2E9C-101B-9397-08002B2CF9AE}" pid="155" name="MSIP_Label_d8d4986f-dcbf-4623-ae9a-8251714e0a88_Method">
    <vt:lpwstr>Privileged</vt:lpwstr>
  </property>
  <property fmtid="{D5CDD505-2E9C-101B-9397-08002B2CF9AE}" pid="156" name="MSIP_Label_d8d4986f-dcbf-4623-ae9a-8251714e0a88_Name">
    <vt:lpwstr>Public</vt:lpwstr>
  </property>
  <property fmtid="{D5CDD505-2E9C-101B-9397-08002B2CF9AE}" pid="157" name="MSIP_Label_d8d4986f-dcbf-4623-ae9a-8251714e0a88_SiteId">
    <vt:lpwstr>579df390-dbff-49fd-8f10-624670566482</vt:lpwstr>
  </property>
  <property fmtid="{D5CDD505-2E9C-101B-9397-08002B2CF9AE}" pid="158" name="MSIP_Label_d8d4986f-dcbf-4623-ae9a-8251714e0a88_ActionId">
    <vt:lpwstr>f998b7be-955c-4988-84c9-171638e60be5</vt:lpwstr>
  </property>
  <property fmtid="{D5CDD505-2E9C-101B-9397-08002B2CF9AE}" pid="159" name="MSIP_Label_d8d4986f-dcbf-4623-ae9a-8251714e0a88_ContentBits">
    <vt:lpwstr>0</vt:lpwstr>
  </property>
  <property fmtid="{D5CDD505-2E9C-101B-9397-08002B2CF9AE}" pid="160" name="MSIP_Label_d8d4986f-dcbf-4623-ae9a-8251714e0a88_Tag">
    <vt:lpwstr>10, 0, 1, 1</vt:lpwstr>
  </property>
</Properties>
</file>