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E5EFAF" w14:textId="17FD2D6C" w:rsidR="00E66622" w:rsidRPr="00785E8D" w:rsidRDefault="00461B69" w:rsidP="00796EBE">
      <w:pPr>
        <w:spacing w:line="276" w:lineRule="auto"/>
        <w:jc w:val="center"/>
        <w:rPr>
          <w:rFonts w:ascii="Times New Roman" w:eastAsia="Times New Roman" w:hAnsi="Times New Roman" w:cs="Times New Roman"/>
          <w:bCs/>
          <w:sz w:val="24"/>
          <w:szCs w:val="24"/>
        </w:rPr>
      </w:pPr>
      <w:r>
        <w:rPr>
          <w:rFonts w:ascii="Times New Roman" w:eastAsia="Times New Roman" w:hAnsi="Times New Roman" w:cs="Times New Roman"/>
          <w:b/>
          <w:sz w:val="28"/>
          <w:lang w:val="en-US"/>
        </w:rPr>
        <w:t>VYHODNOTENIE PRIPOMIENKOVÉHO KONANIA</w:t>
      </w:r>
      <w:r w:rsidR="00785E8D" w:rsidRPr="00785E8D">
        <w:rPr>
          <w:rFonts w:ascii="Times New Roman" w:eastAsia="Times New Roman" w:hAnsi="Times New Roman" w:cs="Times New Roman"/>
          <w:b/>
          <w:sz w:val="28"/>
        </w:rPr>
        <w:br/>
      </w:r>
      <w:r w:rsidR="009D32B4" w:rsidRPr="00215E64">
        <w:rPr>
          <w:rFonts w:ascii="Times New Roman" w:eastAsia="Times New Roman" w:hAnsi="Times New Roman" w:cs="Times New Roman"/>
          <w:b/>
          <w:sz w:val="24"/>
          <w:szCs w:val="20"/>
        </w:rPr>
        <w:t>Návrh zákona, ktorým sa mení a dopĺňa zákon č. 524/2010 Z. z. o poskytovaní dotácií v pôsobnosti Úradu vlády Slovenskej republiky v znení neskorších predpisov</w:t>
      </w:r>
      <w:r w:rsidR="00917A99" w:rsidRPr="00785E8D">
        <w:rPr>
          <w:rFonts w:ascii="Times New Roman" w:eastAsia="Times New Roman" w:hAnsi="Times New Roman" w:cs="Times New Roman"/>
          <w:b/>
          <w:sz w:val="28"/>
        </w:rPr>
        <w:br/>
      </w:r>
      <w:r w:rsidR="003F1216" w:rsidRPr="00785E8D">
        <w:rPr>
          <w:rFonts w:ascii="Times New Roman" w:eastAsia="Times New Roman" w:hAnsi="Times New Roman" w:cs="Times New Roman"/>
          <w:bCs/>
          <w:sz w:val="24"/>
          <w:szCs w:val="24"/>
        </w:rPr>
        <w:t>LP/2025/513</w:t>
      </w:r>
    </w:p>
    <w:p w14:paraId="37B19B45" w14:textId="0784701B" w:rsidR="00362D69" w:rsidRPr="00362D69" w:rsidRDefault="00785E8D" w:rsidP="00362D69">
      <w:pPr>
        <w:spacing w:line="276" w:lineRule="auto"/>
        <w:rPr>
          <w:rFonts w:ascii="Times New Roman" w:eastAsia="Times New Roman" w:hAnsi="Times New Roman" w:cs="Times New Roman"/>
          <w:sz w:val="24"/>
          <w:szCs w:val="24"/>
        </w:rPr>
        <w:sectPr w:rsidR="00362D69" w:rsidRPr="00362D69" w:rsidSect="00362D69">
          <w:footerReference w:type="default" r:id="rId7"/>
          <w:pgSz w:w="15840" w:h="12240" w:orient="landscape"/>
          <w:pgMar w:top="1440" w:right="1440" w:bottom="1440" w:left="1440" w:header="720" w:footer="720" w:gutter="0"/>
          <w:cols w:space="720"/>
          <w:titlePg/>
          <w:docGrid w:linePitch="360"/>
        </w:sectPr>
      </w:pPr>
      <w:r w:rsidRPr="00785E8D">
        <w:rPr>
          <w:rFonts w:ascii="Times New Roman" w:eastAsia="Times New Roman" w:hAnsi="Times New Roman" w:cs="Times New Roman"/>
          <w:b/>
          <w:bCs/>
          <w:sz w:val="24"/>
          <w:szCs w:val="24"/>
        </w:rPr>
        <w:t>Spôsob pripomienkového konania</w:t>
      </w:r>
      <w:r w:rsidRPr="00785E8D">
        <w:rPr>
          <w:rFonts w:ascii="Times New Roman" w:eastAsia="Times New Roman" w:hAnsi="Times New Roman" w:cs="Times New Roman"/>
          <w:sz w:val="24"/>
          <w:szCs w:val="24"/>
        </w:rPr>
        <w:br/>
      </w:r>
      <w:r>
        <w:rPr>
          <w:rFonts w:ascii="Times New Roman" w:eastAsia="Times New Roman" w:hAnsi="Times New Roman" w:cs="Times New Roman"/>
          <w:sz w:val="24"/>
          <w:szCs w:val="24"/>
        </w:rPr>
        <w:t>Počet vznesených pripomienok</w:t>
      </w:r>
      <w:r w:rsidR="009275DB">
        <w:rPr>
          <w:rFonts w:ascii="Times New Roman" w:eastAsia="Times New Roman" w:hAnsi="Times New Roman" w:cs="Times New Roman"/>
          <w:sz w:val="24"/>
          <w:szCs w:val="24"/>
        </w:rPr>
        <w:t xml:space="preserve">, </w:t>
      </w:r>
      <w:r w:rsidR="009275DB" w:rsidRPr="009275DB">
        <w:rPr>
          <w:rFonts w:ascii="Times New Roman" w:eastAsia="Times New Roman" w:hAnsi="Times New Roman" w:cs="Times New Roman"/>
          <w:sz w:val="24"/>
          <w:szCs w:val="24"/>
          <w:lang w:val="en-US"/>
        </w:rPr>
        <w:t>z toho z</w:t>
      </w:r>
      <w:r w:rsidR="009275DB">
        <w:rPr>
          <w:rFonts w:ascii="Times New Roman" w:eastAsia="Times New Roman" w:hAnsi="Times New Roman" w:cs="Times New Roman"/>
          <w:sz w:val="24"/>
          <w:szCs w:val="24"/>
          <w:lang w:val="en-US"/>
        </w:rPr>
        <w:t>á</w:t>
      </w:r>
      <w:r w:rsidR="009275DB" w:rsidRPr="009275DB">
        <w:rPr>
          <w:rFonts w:ascii="Times New Roman" w:eastAsia="Times New Roman" w:hAnsi="Times New Roman" w:cs="Times New Roman"/>
          <w:sz w:val="24"/>
          <w:szCs w:val="24"/>
          <w:lang w:val="en-US"/>
        </w:rPr>
        <w:t>sadn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w:t>
      </w:r>
      <w:r w:rsidR="009275DB">
        <w:rPr>
          <w:rFonts w:ascii="Times New Roman" w:eastAsia="Times New Roman" w:hAnsi="Times New Roman" w:cs="Times New Roman"/>
          <w:sz w:val="24"/>
          <w:szCs w:val="24"/>
          <w:lang w:val="en-US"/>
        </w:rPr>
        <w:t>:</w:t>
      </w:r>
      <w:r w:rsidR="00FC0831">
        <w:rPr>
          <w:rFonts w:ascii="Times New Roman" w:eastAsia="Times New Roman" w:hAnsi="Times New Roman" w:cs="Times New Roman"/>
          <w:sz w:val="24"/>
          <w:szCs w:val="24"/>
          <w:lang w:val="en-US"/>
        </w:rPr>
        <w:tab/>
      </w:r>
      <w:r w:rsidR="00FC0831">
        <w:rPr>
          <w:rFonts w:ascii="Times New Roman" w:eastAsia="Times New Roman" w:hAnsi="Times New Roman" w:cs="Times New Roman"/>
          <w:sz w:val="24"/>
          <w:szCs w:val="24"/>
          <w:lang w:val="en-US"/>
        </w:rPr>
        <w:tab/>
      </w:r>
      <w:r w:rsidR="00FC0831">
        <w:rPr>
          <w:rFonts w:ascii="Times New Roman" w:eastAsia="Times New Roman" w:hAnsi="Times New Roman" w:cs="Times New Roman"/>
          <w:sz w:val="24"/>
          <w:szCs w:val="24"/>
          <w:lang w:val="en-US"/>
        </w:rPr>
        <w:tab/>
      </w:r>
      <w:r w:rsidR="00AD6CAE">
        <w:rPr>
          <w:rFonts w:ascii="Times New Roman" w:eastAsia="Times New Roman" w:hAnsi="Times New Roman" w:cs="Times New Roman"/>
          <w:sz w:val="24"/>
          <w:szCs w:val="24"/>
          <w:lang w:val="en-US"/>
        </w:rPr>
        <w:t>21/1</w:t>
      </w:r>
      <w:r w:rsidRPr="00785E8D">
        <w:rPr>
          <w:rFonts w:ascii="Times New Roman" w:eastAsia="Times New Roman" w:hAnsi="Times New Roman" w:cs="Times New Roman"/>
          <w:sz w:val="24"/>
          <w:szCs w:val="24"/>
        </w:rPr>
        <w:br/>
      </w:r>
      <w:r w:rsidR="009275DB" w:rsidRPr="009275DB">
        <w:rPr>
          <w:rFonts w:ascii="Times New Roman" w:eastAsia="Times New Roman" w:hAnsi="Times New Roman" w:cs="Times New Roman"/>
          <w:sz w:val="24"/>
          <w:szCs w:val="24"/>
          <w:lang w:val="en-US"/>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lang w:val="en-US"/>
        </w:rPr>
        <w:t>et vyhodnoten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 pripomienok</w:t>
      </w:r>
      <w:r w:rsidR="009275DB">
        <w:rPr>
          <w:rFonts w:ascii="Times New Roman" w:eastAsia="Times New Roman" w:hAnsi="Times New Roman" w:cs="Times New Roman"/>
          <w:sz w:val="24"/>
          <w:szCs w:val="24"/>
          <w:lang w:val="en-US"/>
        </w:rPr>
        <w:t>:</w:t>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754CB0">
        <w:rPr>
          <w:rFonts w:ascii="Times New Roman" w:eastAsia="Times New Roman" w:hAnsi="Times New Roman" w:cs="Times New Roman"/>
          <w:sz w:val="24"/>
          <w:szCs w:val="24"/>
        </w:rPr>
        <w:t>21</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lang w:val="en-US"/>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lang w:val="en-US"/>
        </w:rPr>
        <w:t>et akceptovan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 pripomienok, z toho z</w:t>
      </w:r>
      <w:r w:rsidR="009275DB">
        <w:rPr>
          <w:rFonts w:ascii="Times New Roman" w:eastAsia="Times New Roman" w:hAnsi="Times New Roman" w:cs="Times New Roman"/>
          <w:sz w:val="24"/>
          <w:szCs w:val="24"/>
          <w:lang w:val="en-US"/>
        </w:rPr>
        <w:t>á</w:t>
      </w:r>
      <w:r w:rsidR="009275DB" w:rsidRPr="009275DB">
        <w:rPr>
          <w:rFonts w:ascii="Times New Roman" w:eastAsia="Times New Roman" w:hAnsi="Times New Roman" w:cs="Times New Roman"/>
          <w:sz w:val="24"/>
          <w:szCs w:val="24"/>
          <w:lang w:val="en-US"/>
        </w:rPr>
        <w:t>sadn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w:t>
      </w:r>
      <w:r w:rsidRPr="00785E8D">
        <w:rPr>
          <w:rFonts w:ascii="Times New Roman" w:eastAsia="Times New Roman" w:hAnsi="Times New Roman" w:cs="Times New Roman"/>
          <w:sz w:val="24"/>
          <w:szCs w:val="24"/>
        </w:rPr>
        <w:t xml:space="preserve">: </w:t>
      </w:r>
      <w:r w:rsidRPr="00785E8D">
        <w:rPr>
          <w:rFonts w:ascii="Times New Roman" w:eastAsia="Times New Roman" w:hAnsi="Times New Roman" w:cs="Times New Roman"/>
          <w:sz w:val="18"/>
          <w:szCs w:val="18"/>
        </w:rPr>
        <w:tab/>
      </w:r>
      <w:r w:rsidR="009275DB">
        <w:rPr>
          <w:rFonts w:ascii="Times New Roman" w:eastAsia="Times New Roman" w:hAnsi="Times New Roman" w:cs="Times New Roman"/>
          <w:sz w:val="18"/>
          <w:szCs w:val="18"/>
        </w:rPr>
        <w:tab/>
      </w:r>
      <w:r w:rsidR="00273DAE">
        <w:rPr>
          <w:rFonts w:ascii="Times New Roman" w:eastAsia="Times New Roman" w:hAnsi="Times New Roman" w:cs="Times New Roman"/>
          <w:sz w:val="24"/>
          <w:szCs w:val="24"/>
        </w:rPr>
        <w:t>11</w:t>
      </w:r>
      <w:r w:rsidR="00754CB0">
        <w:rPr>
          <w:rFonts w:ascii="Times New Roman" w:eastAsia="Times New Roman" w:hAnsi="Times New Roman" w:cs="Times New Roman"/>
          <w:sz w:val="24"/>
          <w:szCs w:val="24"/>
        </w:rPr>
        <w:t>/1</w:t>
      </w:r>
      <w:r w:rsidR="009275DB">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 xml:space="preserve">et </w:t>
      </w:r>
      <w:r w:rsidR="009275DB">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iasto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ne akceptovaných pripomienok, z toho zásadných</w:t>
      </w:r>
      <w:r w:rsidRPr="00785E8D">
        <w:rPr>
          <w:rFonts w:ascii="Times New Roman" w:eastAsia="Times New Roman" w:hAnsi="Times New Roman" w:cs="Times New Roman"/>
          <w:sz w:val="24"/>
          <w:szCs w:val="24"/>
        </w:rPr>
        <w:t xml:space="preserve">: </w:t>
      </w:r>
      <w:r w:rsidRPr="00785E8D">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5/</w:t>
      </w:r>
      <w:r w:rsidR="008E0404">
        <w:rPr>
          <w:rFonts w:ascii="Times New Roman" w:eastAsia="Times New Roman" w:hAnsi="Times New Roman" w:cs="Times New Roman"/>
          <w:sz w:val="24"/>
          <w:szCs w:val="24"/>
        </w:rPr>
        <w:t xml:space="preserve">0 </w:t>
      </w:r>
      <w:r w:rsidR="009275DB">
        <w:rPr>
          <w:rFonts w:ascii="Times New Roman" w:eastAsia="Times New Roman" w:hAnsi="Times New Roman" w:cs="Times New Roman"/>
          <w:sz w:val="24"/>
          <w:szCs w:val="24"/>
        </w:rPr>
        <w:br/>
      </w:r>
      <w:r w:rsidR="009275DB" w:rsidRPr="009275DB">
        <w:rPr>
          <w:rFonts w:ascii="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hAnsi="Times New Roman" w:cs="Times New Roman"/>
          <w:sz w:val="24"/>
          <w:szCs w:val="24"/>
        </w:rPr>
        <w:t>et neakceptovaných pripomienok, z toho zásadných</w:t>
      </w:r>
      <w:r w:rsidR="009275DB">
        <w:rPr>
          <w:rFonts w:ascii="Times New Roman" w:hAnsi="Times New Roman" w:cs="Times New Roman"/>
          <w:sz w:val="24"/>
          <w:szCs w:val="24"/>
        </w:rPr>
        <w:t>:</w:t>
      </w:r>
      <w:r w:rsidR="00AE09D4">
        <w:rPr>
          <w:rFonts w:ascii="Times New Roman" w:hAnsi="Times New Roman" w:cs="Times New Roman"/>
          <w:sz w:val="24"/>
          <w:szCs w:val="24"/>
        </w:rPr>
        <w:tab/>
      </w:r>
      <w:r w:rsidR="00AE09D4">
        <w:rPr>
          <w:rFonts w:ascii="Times New Roman" w:hAnsi="Times New Roman" w:cs="Times New Roman"/>
          <w:sz w:val="24"/>
          <w:szCs w:val="24"/>
        </w:rPr>
        <w:tab/>
      </w:r>
      <w:r w:rsidR="00AD6CAE">
        <w:rPr>
          <w:rFonts w:ascii="Times New Roman" w:eastAsia="Times New Roman" w:hAnsi="Times New Roman" w:cs="Times New Roman"/>
          <w:sz w:val="24"/>
          <w:szCs w:val="24"/>
        </w:rPr>
        <w:t>5</w:t>
      </w:r>
      <w:r w:rsidR="004A48F0">
        <w:rPr>
          <w:rFonts w:ascii="Times New Roman" w:eastAsia="Times New Roman" w:hAnsi="Times New Roman" w:cs="Times New Roman"/>
          <w:sz w:val="24"/>
          <w:szCs w:val="24"/>
        </w:rPr>
        <w:t>/0</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vznesených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011D51">
        <w:rPr>
          <w:rFonts w:ascii="Times New Roman" w:eastAsia="Times New Roman" w:hAnsi="Times New Roman" w:cs="Times New Roman"/>
          <w:sz w:val="24"/>
          <w:szCs w:val="24"/>
        </w:rPr>
        <w:t>0</w:t>
      </w:r>
      <w:r w:rsidR="009275DB">
        <w:rPr>
          <w:rFonts w:ascii="Times New Roman" w:eastAsia="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vyhodnotených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hAnsi="Times New Roman" w:cs="Times New Roman"/>
          <w:sz w:val="24"/>
          <w:szCs w:val="24"/>
        </w:rPr>
        <w:t>0</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9275DB">
        <w:rPr>
          <w:rFonts w:ascii="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 xml:space="preserve">et </w:t>
      </w:r>
      <w:r w:rsidR="009275DB">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iasto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ne 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9275DB">
        <w:rPr>
          <w:rFonts w:ascii="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neakceptovaných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362D69">
        <w:rPr>
          <w:sz w:val="24"/>
          <w:szCs w:val="24"/>
        </w:rPr>
        <w:tab/>
      </w:r>
    </w:p>
    <w:p w14:paraId="7416DD4C" w14:textId="08345D1C" w:rsidR="00677591" w:rsidRPr="00677591" w:rsidRDefault="00677591" w:rsidP="00677591">
      <w:pPr>
        <w:spacing w:line="276" w:lineRule="auto"/>
        <w:rPr>
          <w:rFonts w:ascii="Times New Roman" w:eastAsia="Times New Roman" w:hAnsi="Times New Roman" w:cs="Times New Roman"/>
          <w:sz w:val="24"/>
          <w:szCs w:val="24"/>
        </w:rPr>
      </w:pPr>
      <w:r w:rsidRPr="00677591">
        <w:rPr>
          <w:rFonts w:ascii="Times New Roman" w:eastAsia="Times New Roman" w:hAnsi="Times New Roman" w:cs="Times New Roman"/>
          <w:sz w:val="24"/>
          <w:szCs w:val="24"/>
        </w:rPr>
        <w:lastRenderedPageBreak/>
        <w:t>Vysvetlivky k použitým skratkám v tabu</w:t>
      </w:r>
      <w:r w:rsidR="00A6034C">
        <w:rPr>
          <w:rFonts w:ascii="Times New Roman" w:eastAsia="Times New Roman" w:hAnsi="Times New Roman" w:cs="Times New Roman"/>
          <w:sz w:val="24"/>
          <w:szCs w:val="24"/>
        </w:rPr>
        <w:t>ľ</w:t>
      </w:r>
      <w:r w:rsidRPr="00677591">
        <w:rPr>
          <w:rFonts w:ascii="Times New Roman" w:eastAsia="Times New Roman" w:hAnsi="Times New Roman" w:cs="Times New Roman"/>
          <w:sz w:val="24"/>
          <w:szCs w:val="24"/>
        </w:rPr>
        <w:t>kách:</w:t>
      </w:r>
    </w:p>
    <w:p w14:paraId="6682E303" w14:textId="77777777" w:rsidR="00677591" w:rsidRDefault="00677591" w:rsidP="00677591">
      <w:pPr>
        <w:spacing w:line="276" w:lineRule="auto"/>
        <w:rPr>
          <w:rFonts w:ascii="Times New Roman" w:eastAsia="Times New Roman" w:hAnsi="Times New Roman" w:cs="Times New Roman"/>
          <w:sz w:val="24"/>
          <w:szCs w:val="24"/>
        </w:rPr>
      </w:pPr>
      <w:r w:rsidRPr="00677591">
        <w:rPr>
          <w:rFonts w:ascii="Times New Roman" w:eastAsia="Times New Roman" w:hAnsi="Times New Roman" w:cs="Times New Roman"/>
          <w:sz w:val="24"/>
          <w:szCs w:val="24"/>
        </w:rPr>
        <w:t>O – obyčajná</w:t>
      </w:r>
      <w:r w:rsidRPr="00677591">
        <w:rPr>
          <w:rFonts w:ascii="Times New Roman" w:eastAsia="Times New Roman" w:hAnsi="Times New Roman" w:cs="Times New Roman"/>
          <w:sz w:val="24"/>
          <w:szCs w:val="24"/>
        </w:rPr>
        <w:tab/>
        <w:t>A – akceptovaná</w:t>
      </w:r>
      <w:r w:rsidRPr="00677591">
        <w:rPr>
          <w:rFonts w:ascii="Times New Roman" w:eastAsia="Times New Roman" w:hAnsi="Times New Roman" w:cs="Times New Roman"/>
          <w:sz w:val="24"/>
          <w:szCs w:val="24"/>
        </w:rPr>
        <w:br/>
        <w:t>Z – zásadná</w:t>
      </w:r>
      <w:r w:rsidRPr="00677591">
        <w:rPr>
          <w:rFonts w:ascii="Times New Roman" w:eastAsia="Times New Roman" w:hAnsi="Times New Roman" w:cs="Times New Roman"/>
          <w:sz w:val="24"/>
          <w:szCs w:val="24"/>
        </w:rPr>
        <w:tab/>
        <w:t>N – neakceptovaná</w:t>
      </w:r>
      <w:r w:rsidRPr="00677591">
        <w:rPr>
          <w:rFonts w:ascii="Times New Roman" w:eastAsia="Times New Roman" w:hAnsi="Times New Roman" w:cs="Times New Roman"/>
          <w:sz w:val="24"/>
          <w:szCs w:val="24"/>
        </w:rPr>
        <w:br/>
        <w:t xml:space="preserve">                        ČA – čiastočne akceptovaná</w:t>
      </w:r>
      <w:r w:rsidRPr="00677591">
        <w:rPr>
          <w:rFonts w:ascii="Times New Roman" w:eastAsia="Times New Roman" w:hAnsi="Times New Roman" w:cs="Times New Roman"/>
          <w:sz w:val="24"/>
          <w:szCs w:val="24"/>
        </w:rPr>
        <w:br/>
        <w:t xml:space="preserve">                        NEP – neprihliada sa</w:t>
      </w:r>
    </w:p>
    <w:p w14:paraId="1D01C82C" w14:textId="77777777" w:rsidR="00677591" w:rsidRDefault="00677591" w:rsidP="00677591">
      <w:pPr>
        <w:spacing w:line="276" w:lineRule="auto"/>
        <w:rPr>
          <w:rFonts w:ascii="Times New Roman" w:eastAsia="Times New Roman" w:hAnsi="Times New Roman" w:cs="Times New Roman"/>
          <w:sz w:val="20"/>
        </w:rPr>
      </w:pPr>
      <w:r>
        <w:rPr>
          <w:rFonts w:ascii="Times New Roman" w:eastAsia="Times New Roman" w:hAnsi="Times New Roman" w:cs="Times New Roman"/>
          <w:sz w:val="24"/>
          <w:szCs w:val="24"/>
        </w:rPr>
        <w:t>Vyhodnotenie vecných pripomienok</w:t>
      </w:r>
    </w:p>
    <w:p w14:paraId="1F0934E1" w14:textId="3FA44BEE" w:rsidR="007C1A93" w:rsidRPr="00677591" w:rsidRDefault="00E66622" w:rsidP="001E6254">
      <w:pPr>
        <w:keepLines/>
        <w:spacing w:line="276" w:lineRule="auto"/>
        <w:rPr>
          <w:rFonts w:ascii="Times New Roman" w:eastAsia="Times New Roman" w:hAnsi="Times New Roman" w:cs="Times New Roman"/>
          <w:sz w:val="24"/>
          <w:szCs w:val="24"/>
        </w:rPr>
      </w:pPr>
      <w:r w:rsidRPr="00785E8D">
        <w:rPr>
          <w:rFonts w:ascii="Times New Roman" w:eastAsia="Times New Roman" w:hAnsi="Times New Roman" w:cs="Times New Roman"/>
          <w:sz w:val="24"/>
          <w:szCs w:val="24"/>
        </w:rPr>
        <w:t>Vznesené pripomienky</w:t>
      </w:r>
    </w:p>
    <w:tbl>
      <w:tblPr>
        <w:tblW w:w="0" w:type="auto"/>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44"/>
        <w:gridCol w:w="1296"/>
        <w:gridCol w:w="6480"/>
        <w:gridCol w:w="778"/>
        <w:gridCol w:w="2462"/>
      </w:tblGrid>
      <w:tr w:rsidR="000B16EA" w:rsidRPr="00785E8D" w14:paraId="575AAFA8" w14:textId="1649F593" w:rsidTr="00343965">
        <w:trPr>
          <w:trHeight w:val="648"/>
          <w:jc w:val="center"/>
        </w:trPr>
        <w:tc>
          <w:tcPr>
            <w:tcW w:w="1944" w:type="dxa"/>
            <w:vAlign w:val="center"/>
          </w:tcPr>
          <w:p w14:paraId="4B4FA583" w14:textId="62ECD7CF"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Subjekt</w:t>
            </w:r>
          </w:p>
        </w:tc>
        <w:tc>
          <w:tcPr>
            <w:tcW w:w="1296" w:type="dxa"/>
            <w:vAlign w:val="center"/>
          </w:tcPr>
          <w:p w14:paraId="498D7DF6" w14:textId="5D009C3B"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Typ</w:t>
            </w:r>
          </w:p>
        </w:tc>
        <w:tc>
          <w:tcPr>
            <w:tcW w:w="6480" w:type="dxa"/>
            <w:vAlign w:val="center"/>
          </w:tcPr>
          <w:p w14:paraId="54262B5F" w14:textId="62E0E806" w:rsidR="000B16EA" w:rsidRPr="00785E8D" w:rsidRDefault="000B16EA" w:rsidP="001E6254">
            <w:pPr>
              <w:keepLines/>
              <w:spacing w:after="0" w:line="240" w:lineRule="auto"/>
              <w:ind w:left="-21" w:firstLine="21"/>
              <w:jc w:val="center"/>
              <w:rPr>
                <w:rFonts w:ascii="Times New Roman" w:hAnsi="Times New Roman" w:cs="Times New Roman"/>
                <w:b/>
                <w:bCs/>
                <w:sz w:val="24"/>
                <w:szCs w:val="24"/>
              </w:rPr>
            </w:pPr>
            <w:r w:rsidRPr="00785E8D">
              <w:rPr>
                <w:rFonts w:ascii="Times New Roman" w:hAnsi="Times New Roman" w:cs="Times New Roman"/>
                <w:b/>
                <w:bCs/>
                <w:sz w:val="24"/>
                <w:szCs w:val="24"/>
              </w:rPr>
              <w:t>Pripomienka</w:t>
            </w:r>
          </w:p>
        </w:tc>
        <w:tc>
          <w:tcPr>
            <w:tcW w:w="778" w:type="dxa"/>
            <w:vAlign w:val="center"/>
          </w:tcPr>
          <w:p w14:paraId="41ADFD06" w14:textId="0CD664FD"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Vyh.</w:t>
            </w:r>
          </w:p>
        </w:tc>
        <w:tc>
          <w:tcPr>
            <w:tcW w:w="2462" w:type="dxa"/>
            <w:vAlign w:val="center"/>
          </w:tcPr>
          <w:p w14:paraId="2E5EC5EB" w14:textId="449D24DE" w:rsidR="000B16EA"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Spôsob vyhodnotenia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3 – O:</w:t>
              <w:br/>
            </w:r>
            <w:r>
              <w:rPr>
                <w:b w:val="off"/>
                <w:color w:val="000000"/>
                <w:rFonts w:ascii="Times New Roman" w:hAnsi="Times New Roman" w:cs="Times New Roman" w:eastAsia="Times New Roman"/>
                <w:sz w:val="24"/>
              </w:rPr>
              <w:t>Novelizačný bod 3 odporúčame uviesť v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„3. V § 7 odsek 2 znie: </w:t>
              <w:br/>
            </w:r>
            <w:r>
              <w:rPr>
                <w:b w:val="off"/>
                <w:color w:val="000000"/>
                <w:rFonts w:ascii="Times New Roman" w:hAnsi="Times New Roman" w:cs="Times New Roman" w:eastAsia="Times New Roman"/>
                <w:sz w:val="24"/>
              </w:rPr>
              <w:t>„(2) Komisia je pri vyhodnocovaní žiadostí nezávislá a vyhodnocuje ich podľa kritérií uvedených vo výzve na predkladanie žiadostí.““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1.	V čl. I bod 2 navrhujeme v tomto znení:</w:t>
              <w:br/>
            </w:r>
            <w:r>
              <w:rPr>
                <w:b w:val="off"/>
                <w:color w:val="000000"/>
                <w:rFonts w:ascii="Times New Roman" w:hAnsi="Times New Roman" w:cs="Times New Roman" w:eastAsia="Times New Roman"/>
                <w:sz w:val="24"/>
              </w:rPr>
              <w:t>,,2. V § 6 ods. 4 písmeno e) znie: „e) overovacia doložka k projektu stavby,6a) overovacia doložka k projektu stavby na ohlásenie,6b) čestné vyhlásenie žiadateľa, že stavebné práce na ktoré žiada poskytnutie dotácie, nevyžadujú rozhodnutie o stavebnom zámere ani ohlásenie,6c) alebo čestné vyhlásenie žiadateľa, že ide o stavebné práce, ktoré môže začať uskutočňovať bez predchádzajúceho stavebného zámeru a jeho prerokovania a konania stavebného úradu o ňom.6d)“.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Poznámky pod čiarou k odkazom 6a až 6d znejú:</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„6a) § 65 ods. 5 Stavebného zákona.</w:t>
              <w:br/>
            </w:r>
            <w:r>
              <w:rPr>
                <w:b w:val="off"/>
                <w:color w:val="000000"/>
                <w:rFonts w:ascii="Times New Roman" w:hAnsi="Times New Roman" w:cs="Times New Roman" w:eastAsia="Times New Roman"/>
                <w:sz w:val="24"/>
              </w:rPr>
              <w:t xml:space="preserve">   6b) § 63 ods. 7 Stavebného zákona.</w:t>
              <w:br/>
            </w:r>
            <w:r>
              <w:rPr>
                <w:b w:val="off"/>
                <w:color w:val="000000"/>
                <w:rFonts w:ascii="Times New Roman" w:hAnsi="Times New Roman" w:cs="Times New Roman" w:eastAsia="Times New Roman"/>
                <w:sz w:val="24"/>
              </w:rPr>
              <w:t xml:space="preserve">   6c) § 18 ods. 5 Stavebného zákona.</w:t>
              <w:br/>
            </w:r>
            <w:r>
              <w:rPr>
                <w:b w:val="off"/>
                <w:color w:val="000000"/>
                <w:rFonts w:ascii="Times New Roman" w:hAnsi="Times New Roman" w:cs="Times New Roman" w:eastAsia="Times New Roman"/>
                <w:sz w:val="24"/>
              </w:rPr>
              <w:t xml:space="preserve">   6d) § 47 Stavebného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Stavebné práce možno začať uskutočňovať na základe vydanej overovacej doložky k projektu stavby alebo k projektu ohlasovanej stavby. Stavebný úrad môže vydať doklad len o úkonoch, ktoré vykonal. Stavebný úrad nemôže vydať doklad o skutočnostiach, ktoré neboli predmetom jeho posúdenia; za tie zodpovedá žiadateľ.</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Pozn. v súlade bodmi 23.2. a 39.1.Legislatívnych pravidiel vlády SR boli poznámky pod čiarou číselne označené tak, aby korešpondovali s prechádzajúcimi poznámkami pod čiarou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názvu</w:t>
              <w:br/>
            </w:r>
            <w:r>
              <w:rPr>
                <w:b w:val="off"/>
                <w:color w:val="000000"/>
                <w:rFonts w:ascii="Times New Roman" w:hAnsi="Times New Roman" w:cs="Times New Roman" w:eastAsia="Times New Roman"/>
                <w:sz w:val="24"/>
              </w:rPr>
              <w:t>2.	V názve zákona, úvodnej vete a vo všetkých častiach materiálu odporúčame vypustiť slová ,,a dopĺňa“.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Ide aj o doplnenie zákona - dopĺňajú sa nové poznámky pod čiarou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úvodnej vete</w:t>
              <w:br/>
            </w:r>
            <w:r>
              <w:rPr>
                <w:b w:val="off"/>
                <w:color w:val="000000"/>
                <w:rFonts w:ascii="Times New Roman" w:hAnsi="Times New Roman" w:cs="Times New Roman" w:eastAsia="Times New Roman"/>
                <w:sz w:val="24"/>
              </w:rPr>
              <w:t>3.	V úvodnej vete odporúčame vypustiť na konci pred slovom ,,a“ čiarku.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4.	V čl. I bod 1 navrhujeme upraviť takto: „1. V § 4 a § 6 ods. 4 písm. a) až d) sa slovo „desiatich“ nahrádza slovom „piatich“.“; predkladateľom zvolená legislatívna technika sa používa, ak sa slovo nahrádza vo všetkých jeho gramatických tvaroch, avšak v novelizovanom zákone sa nahrádzané slovo vyskytuje len na ôsmych miestach v tom istom gramatickom tvare.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5.	V čl. I  bod 3 navrhujeme upraviť takto: ,,3. V § 7 ods. 2 sa vypúšťa čiarka a slová ,,pričom jednotlivé žiadosti musia byť očíslované a bez identifikácie žiadateľa“.“.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Predkladateľ akceptoval pripomienku GPSR k rovnakému bodu; zvolená legislatívna technika je tiež správna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Na konci vety v čl. II odporúčame pripojiť bodku.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Z formálneho hľadiska upozorňujeme, že v prípade identifikovania žiadnych vplyvov materiálu na rozpočet verejnej správy a na rozpočty obcí a vyšších územných celkov sa v doložke vybraných vplyvov časti 9. Vybrané vplyvy materiálu rozpočtová zabezpečenosť neoznačuje.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Návrh je potrebné zosúladiť s prílohou č. 1 Legislatívnych pravidiel vlády SR (ďalej len „príloha LPV“) [napríklad v názve návrhu zákona slovo „Zákon“ nahradiť slovom „ZÁKON“ v súlade s bodom 18 prílohy LPV, v názve návrhu zákona a v čl. I úvodnej vete vypustiť slová „a dopĺňa“ ako nadbytočné, bod 1 preformulovať takto: „1. Slovo „desiatich“ sa v celom texte zákona nahrádza slovom „piatich“.“, v bode 2 § 6 ods. 4 písm. e) slovo „alebo“ uviesť iba medzi posledné dve možnosti, odkazy 6a až 6e označiť ako odkazy 8a až 8e, následne úpravu vykonať aj v úvodnej vety k poznámkam pod čiarou k odkazom 6a až 6e a v označení príslušných poznámok pod čiarou, v bode 3 úvodnú vetu preformulovať takto: „V § 7 odsek 2 znie:“ v súlade s bodom 30.3 prílohy LPV, v § 7 ods. 2 pred slovo „Komisia“ vložiť označenie odseku „(2)“].</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Akceptované neboli tie čiastkové pripomienky, kde boli akceptované pripomienky MD SR (týka sa pripomienky k bodu 1., a bodu 2.). Rovnako nebola akceptovaná pripomienka k vypusteniu slov „a dopĺňa“ z názvu návrhu zákona a úvodnej vety, keďže sa návrh zákona dopĺňa o nové poznámky pod čiarou.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Návrh je potrebné zosúladiť s Legislatívnymi pravidlami vlády Slovenskej republiky (ďalej len „LPV“) [napríklad v názve návrhu právneho predpisu odporúčame v slove „Zákon“ nahradiť malé písmena abecedy veľkými s ohľadom na bod 18 Prílohy č. 1 k LPV, v názve právneho predpisu a v čl. I úvodnej vete odporúčame vypustiť slová „a dopĺňa“, v čl. I bode 1 odporúčame vypustiť slová „vo všetkých tvaroch“, slovo „slovami“ odporúčame nahradiť slovom „slovom“ a odporúčame vypustiť slová „v príslušnom tvare“, v čl. I bode 2 § 6 ods. 4 písm. e) odporúčame odkazy 6a až 6e označiť ako odkazy 8a až 8e, v tejto súvislosti vykonať aj primerané úpravy vo vzťahu k označeniu príslušných poznámok pod čiarou, v ktorých zároveň odporúčame na prvom mieste zákon citovať úplne a ďalej skrátene, v čl. I bode 3 odporúčame pred slová „§ 7“ vložiť slovo „V“, pred číslo „2“ vložiť medzeru, a pred slovo „Komisia“ odporúčame vložiť označenie poradia odseku „(2)“ ].</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Akceptované neboli tie čiastkové pripomienky, kde boli akceptované pripomienky MD SR (týka sa pripomienky k bodu 1., a bodu 2.), čím sa stali tieto pripomienky nerelevantné. Rovnako nebola akceptovaná pripomienka k vypusteniu slov „a dopĺňa“ z názvu návrhu zákona a úvodnej vety, keďže sa návrh zákona dopĺňa o nové poznámky pod čiarou.</w:t>
              <w:br/>
            </w:r>
            <w:r>
              <w:rPr>
                <w:b w:val="off"/>
                <w:color w:val="000000"/>
                <w:rFonts w:ascii="Times New Roman" w:hAnsi="Times New Roman" w:cs="Times New Roman" w:eastAsia="Times New Roman"/>
                <w:sz w:val="24"/>
              </w:rPr>
              <w:t>Neakceptuje sa pripomienka  „Vo vzťahu k označeniu príslušných poznámok pod čiarou, v ktorých zároveň odporúčame na prvom mieste zákon citovať úplne a ďalej skrátene“  keďže zvolená legislatívna technika slovného označenie zákona je v súlade s bodom č. 48. prílohy č. 1 k Legislatívnym pravidlám vlády Slovenskej republiky.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w:t>
              <w:br/>
            </w:r>
            <w:r>
              <w:rPr>
                <w:b w:val="off"/>
                <w:color w:val="000000"/>
                <w:rFonts w:ascii="Times New Roman" w:hAnsi="Times New Roman" w:cs="Times New Roman" w:eastAsia="Times New Roman"/>
                <w:sz w:val="24"/>
              </w:rPr>
              <w:t xml:space="preserve">Odporúčame predložený materiál upraviť v súlade s legislatívno-technickými pokynmi LPV SR. </w:t>
              <w:br/>
            </w:r>
            <w:r>
              <w:rPr>
                <w:b w:val="off"/>
                <w:color w:val="000000"/>
                <w:rFonts w:ascii="Times New Roman" w:hAnsi="Times New Roman" w:cs="Times New Roman" w:eastAsia="Times New Roman"/>
                <w:sz w:val="24"/>
              </w:rPr>
              <w:t>Napríklad v názve návrhu zákona a úvodnej vete odporúčame vypustiť slová „a dopĺňa“. V treťom novelizačnom bode odporúčame úvodnú vetu uviesť takto: „V § 7 odsek 2 znie:“ a pred slovo „Komisia“ odporúčame vložiť označenie odseku 2.</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Nebola akceptovaná pripomienka k vypusteniu slov „a dopĺňa“ z názvu návrhu zákona a úvodnej vety, keďže sa návrh zákona dopĺňa o nové poznámky pod čiarou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bod 1</w:t>
              <w:br/>
            </w:r>
            <w:r>
              <w:rPr>
                <w:b w:val="off"/>
                <w:color w:val="000000"/>
                <w:rFonts w:ascii="Times New Roman" w:hAnsi="Times New Roman" w:cs="Times New Roman" w:eastAsia="Times New Roman"/>
                <w:sz w:val="24"/>
              </w:rPr>
              <w:t>Znenie bodu 1 odporúčame upraviť takto: „1. Slovo „desiatich“ sa v celom texte zákona nahrádza slovom „piatich“.“.</w:t>
              <w:br/>
            </w:r>
            <w:r>
              <w:rPr>
                <w:b w:val="off"/>
                <w:color w:val="000000"/>
                <w:rFonts w:ascii="Times New Roman" w:hAnsi="Times New Roman" w:cs="Times New Roman" w:eastAsia="Times New Roman"/>
                <w:sz w:val="24"/>
              </w:rPr>
              <w:t>Odôvodnenie: Slovo „desiatich“ sa v celom texte zákona nachádza len v tomto tvare.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nebola akceptovaná z dôvodu, že bola akceptovaná pripomienka MD SR, čím sa stala táto pripomienka nerelevantná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bod 2</w:t>
              <w:br/>
            </w:r>
            <w:r>
              <w:rPr>
                <w:b w:val="off"/>
                <w:color w:val="000000"/>
                <w:rFonts w:ascii="Times New Roman" w:hAnsi="Times New Roman" w:cs="Times New Roman" w:eastAsia="Times New Roman"/>
                <w:sz w:val="24"/>
              </w:rPr>
              <w:t>1.	Bod 2 odporúčame upraviť podľa bodu 5.2. prílohy č. 1 k Legislatívnym pravidlám vlády Slovenskej republiky a vylučovaciu spojku „alebo“ uviesť medzi posledné dve alternatívy.</w:t>
              <w:br/>
            </w:r>
            <w:r>
              <w:rPr>
                <w:b w:val="off"/>
                <w:color w:val="000000"/>
                <w:rFonts w:ascii="Times New Roman" w:hAnsi="Times New Roman" w:cs="Times New Roman" w:eastAsia="Times New Roman"/>
                <w:sz w:val="24"/>
              </w:rPr>
              <w:t>2.	Vetu „Poznámky pod čiarou....“ odporúčame upraviť takto: „Poznámky pod čiarou k odkazom 6a až 6e znejú:“.</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Akceptovaná nebola pripomienka pod bodom 1., z dôvodu, že bola akceptovaná pripomienka MD SR, čím sa stala táto pripomienka nerelevantná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bod 3</w:t>
              <w:br/>
            </w:r>
            <w:r>
              <w:rPr>
                <w:b w:val="off"/>
                <w:color w:val="000000"/>
                <w:rFonts w:ascii="Times New Roman" w:hAnsi="Times New Roman" w:cs="Times New Roman" w:eastAsia="Times New Roman"/>
                <w:sz w:val="24"/>
              </w:rPr>
              <w:t>Bod 3 odporúčame upraviť takto: „3. V § 7 odsek 2 znie: „(2) Komisia je pri vyhodnocovaní žiadostí nezávislá a vyhodnocuje ich podľa kritérií uvedených vo výzve na predkladanie žiadostí.“.“.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MPRVSR</w:t>
              <w:br/>
            </w:r>
            <w:r>
              <w:rPr>
                <w:b w:val="off"/>
                <w:color w:val="000000"/>
                <w:rFonts w:ascii="Times New Roman" w:hAnsi="Times New Roman" w:cs="Times New Roman" w:eastAsia="Times New Roman"/>
                <w:sz w:val="24"/>
              </w:rPr>
              <w:t>Ministerstvo pôdohospodárstva a rozvoja vidieka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Všeobecne k vlastnému materiálu</w:t>
              <w:br/>
            </w:r>
            <w:r>
              <w:rPr>
                <w:b w:val="off"/>
                <w:color w:val="000000"/>
                <w:rFonts w:ascii="Times New Roman" w:hAnsi="Times New Roman" w:cs="Times New Roman" w:eastAsia="Times New Roman"/>
                <w:sz w:val="24"/>
              </w:rPr>
              <w:t>V názve návrhu zákona odporúčame uviesť rok 2026, keďže návrh nie je predložený do skráteného pripomienkového konania, na čo nie sú ani v predkladacej správe uvedené dôvody, a teda návrh sa nebude zrejme predkladať na rokovanie NR SR do skráteného legislatívneho konania. Z rovnakého dôvodu navrhujeme v čl. II upraviť aj dátum nadobudnutia účinnosti na neskorší deň zodpovedajúci trvaniu legislatívneho procesu.</w:t>
              <w:br/>
            </w:r>
            <w:r>
              <w:rPr>
                <w:b w:val="off"/>
                <w:color w:val="000000"/>
                <w:rFonts w:ascii="Times New Roman" w:hAnsi="Times New Roman" w:cs="Times New Roman" w:eastAsia="Times New Roman"/>
                <w:sz w:val="24"/>
              </w:rPr>
              <w:t>Pred čl. I je potrebné vložiť úvodnú vetu.</w:t>
              <w:br/>
            </w:r>
            <w:r>
              <w:rPr>
                <w:b w:val="off"/>
                <w:color w:val="000000"/>
                <w:rFonts w:ascii="Times New Roman" w:hAnsi="Times New Roman" w:cs="Times New Roman" w:eastAsia="Times New Roman"/>
                <w:sz w:val="24"/>
              </w:rPr>
              <w:t>V úvodnej vete čl. I je potrebné vypustiť čiarku pred slovom "a".</w:t>
              <w:br/>
            </w:r>
            <w:r>
              <w:rPr>
                <w:b w:val="off"/>
                <w:color w:val="000000"/>
                <w:rFonts w:ascii="Times New Roman" w:hAnsi="Times New Roman" w:cs="Times New Roman" w:eastAsia="Times New Roman"/>
                <w:sz w:val="24"/>
              </w:rPr>
              <w:t>V čl. I bode 1 texte za bodkočiarkou je potrebné vypustiť čiarku pred slovom "alebo". Zároveň je potrebné v tomto bode v úvodnej vete k poznámkam pod čiarou vypustiť zátvorky.</w:t>
              <w:br/>
            </w:r>
            <w:r>
              <w:rPr>
                <w:b w:val="off"/>
                <w:color w:val="000000"/>
                <w:rFonts w:ascii="Times New Roman" w:hAnsi="Times New Roman" w:cs="Times New Roman" w:eastAsia="Times New Roman"/>
                <w:sz w:val="24"/>
              </w:rPr>
              <w:t xml:space="preserve">V čl. I bode 3 je potrebné opraviť novelizačnú inštrukciu takto: </w:t>
              <w:br/>
            </w:r>
            <w:r>
              <w:rPr>
                <w:b w:val="off"/>
                <w:color w:val="000000"/>
                <w:rFonts w:ascii="Times New Roman" w:hAnsi="Times New Roman" w:cs="Times New Roman" w:eastAsia="Times New Roman"/>
                <w:sz w:val="24"/>
              </w:rPr>
              <w:t>"V § 7 odsek 2 znie:</w:t>
              <w:br/>
            </w:r>
            <w:r>
              <w:rPr>
                <w:b w:val="off"/>
                <w:color w:val="000000"/>
                <w:rFonts w:ascii="Times New Roman" w:hAnsi="Times New Roman" w:cs="Times New Roman" w:eastAsia="Times New Roman"/>
                <w:sz w:val="24"/>
              </w:rPr>
              <w:t>"(2) Komisia ...".".</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Akceptovaná nebola len čiastková pripomienka k čl. I bod 2 z dôvodu, že bola akceptovaná pripomienka MD SR, čím sa stala táto pripomienka nerelevantná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vybraných vplyvov</w:t>
              <w:br/>
            </w:r>
            <w:r>
              <w:rPr>
                <w:b w:val="off"/>
                <w:color w:val="000000"/>
                <w:rFonts w:ascii="Times New Roman" w:hAnsi="Times New Roman" w:cs="Times New Roman" w:eastAsia="Times New Roman"/>
                <w:sz w:val="24"/>
              </w:rPr>
              <w:t>Navrhujeme v bode 9 v kategórií vplyvy na rozpočet verejnej správy neoznačiť políčko „nie“ v podkategórii „z toho rozpočtovo zabezpečené vplyvy“. A v kategórií vplyvy na podnikateľské prostredie neoznačiť políčko „žiadne“ v pod kategórií vplyvy na MSP. Odôvodnenie: Podľa II. časti bod 9 uznesenia vlády č. 24/2015 Slovenskej republiky z 14. januára 2015 v znení neskorších uznesení, ak návrh nemá vplyv na rozpočet verejnej správy, rozpočtovo zabezpečené vplyvy sa neoznačujú. A ak návrh nemá vplyv na podnikateľské prostredie, vplyvy na malé a stredné podniky sa neoznačujú.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všeobecnej časti dôvodovej správy</w:t>
              <w:br/>
            </w:r>
            <w:r>
              <w:rPr>
                <w:b w:val="off"/>
                <w:color w:val="000000"/>
                <w:rFonts w:ascii="Times New Roman" w:hAnsi="Times New Roman" w:cs="Times New Roman" w:eastAsia="Times New Roman"/>
                <w:sz w:val="24"/>
              </w:rPr>
              <w:t>Vo všeobecnej časti dôvodovej správy v poslednom odseku prvej vete navrhujeme vypustiť slovo „e“. Odôvodnenie: Gramatická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 3</w:t>
              <w:br/>
            </w:r>
            <w:r>
              <w:rPr>
                <w:b w:val="off"/>
                <w:color w:val="000000"/>
                <w:rFonts w:ascii="Times New Roman" w:hAnsi="Times New Roman" w:cs="Times New Roman" w:eastAsia="Times New Roman"/>
                <w:sz w:val="24"/>
              </w:rPr>
              <w:t>V čl. I navrhujeme bod 3 v znení: „V § 7 ods. 2 sa vypúšťa čiarka a slová „pričom jednotlivé žiadosti musia byť očíslované a bez identifikácie žiadateľa“.“. 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Predkladateľ akceptoval pripomienku GPSR k rovnakému bodu; zvolená legislatívna technika je tiež správna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Obal materiálu</w:t>
              <w:br/>
            </w:r>
            <w:r>
              <w:rPr>
                <w:b w:val="off"/>
                <w:color w:val="000000"/>
                <w:rFonts w:ascii="Times New Roman" w:hAnsi="Times New Roman" w:cs="Times New Roman" w:eastAsia="Times New Roman"/>
                <w:sz w:val="24"/>
              </w:rPr>
              <w:t>Odporúčame na obale materiálu odstrániť akademický titul pred menom predkladateľa. Odôvodnenie: Zosúladenie s čl. 5 ods. 1 písm. g) Smernice na prípravu a predkladanie materiálov  na rokovanie vlády Slovenskej republiky.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Predkladacia správa</w:t>
              <w:br/>
            </w:r>
            <w:r>
              <w:rPr>
                <w:b w:val="off"/>
                <w:color w:val="000000"/>
                <w:rFonts w:ascii="Times New Roman" w:hAnsi="Times New Roman" w:cs="Times New Roman" w:eastAsia="Times New Roman"/>
                <w:sz w:val="24"/>
              </w:rPr>
              <w:t xml:space="preserve">V predkladacej správe odporúčame uviesť informáciu o súlade návrhu s Európskou chartou miestnej samosprávy. </w:t>
              <w:br/>
            </w:r>
            <w:r>
              <w:rPr>
                <w:b w:val="off"/>
                <w:color w:val="000000"/>
                <w:rFonts w:ascii="Times New Roman" w:hAnsi="Times New Roman" w:cs="Times New Roman" w:eastAsia="Times New Roman"/>
                <w:sz w:val="24"/>
              </w:rPr>
              <w:t>Odôvodnenie: Zosúladenie s čl. 19. ods. 1 písm. d) Legislatívnych pravidiel vlády Slovenskej republiky.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2, §6 ods. 4 písm. e):</w:t>
              <w:br/>
            </w:r>
            <w:r>
              <w:rPr>
                <w:b w:val="off"/>
                <w:color w:val="000000"/>
                <w:rFonts w:ascii="Times New Roman" w:hAnsi="Times New Roman" w:cs="Times New Roman" w:eastAsia="Times New Roman"/>
                <w:sz w:val="24"/>
              </w:rPr>
              <w:t xml:space="preserve">Navrhujeme vypustiť slová „alebo doklad, že ide o stavbu, ktorá nevyžaduje ani rozhodnutie o stavebnom  zámere ani ohlásenie,6d)“ a doplniť písm. f) v znení „V prípade ak ide o stavbu podľa osobitného zákona6d) čestné vyhlásenie žiadateľa, že ide o stavbu, ktorá nevyžaduje ani rozhodnutie o stavebnom  zámere ani ohlásenie“.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 V prípade stavby, ktorá nevyžaduje ani stavebný zámer ani ohlásenie, stavebný úrad ani iný orgán nevydáva žiaden doklad, ktorý to potvrdzuje, preto je potrebné umožniť ho nahradiť čestným prehlásením. Pokiaľ predkladateľ trvá na tom, že má ísť o doklad napr. vo forme potvrdenia stavebného úradu, je potrebné povinnosť takýto doklad vydať uložiť v zákone  a to aj s príslušnosťou; inak je znenie v rozporu s čl. 2 Ústavy SR.</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nebola akceptovaná z dôvodu, že bola akceptovaná zásadná pripomienka MD SR</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MIRRI SR</w:t>
              <w:br/>
            </w:r>
            <w:r>
              <w:rPr>
                <w:b w:val="off"/>
                <w:color w:val="000000"/>
                <w:rFonts w:ascii="Times New Roman" w:hAnsi="Times New Roman" w:cs="Times New Roman" w:eastAsia="Times New Roman"/>
                <w:sz w:val="24"/>
              </w:rPr>
              <w:t>Ministerstvo investícií, regionálneho rozvoja a informatizácie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MZVEZ SR</w:t>
              <w:br/>
            </w:r>
            <w:r>
              <w:rPr>
                <w:b w:val="off"/>
                <w:color w:val="000000"/>
                <w:rFonts w:ascii="Times New Roman" w:hAnsi="Times New Roman" w:cs="Times New Roman" w:eastAsia="Times New Roman"/>
                <w:sz w:val="24"/>
              </w:rPr>
              <w:t>Ministerstvo zahraničných vecí a európskych záležitostí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MŠVVaMSR</w:t>
              <w:br/>
            </w:r>
            <w:r>
              <w:rPr>
                <w:b w:val="off"/>
                <w:color w:val="000000"/>
                <w:rFonts w:ascii="Times New Roman" w:hAnsi="Times New Roman" w:cs="Times New Roman" w:eastAsia="Times New Roman"/>
                <w:sz w:val="24"/>
              </w:rPr>
              <w:t>Ministerstvo školstva,výskumu,vývoja a mládeže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NBÚ</w:t>
              <w:br/>
            </w:r>
            <w:r>
              <w:rPr>
                <w:b w:val="off"/>
                <w:color w:val="000000"/>
                <w:rFonts w:ascii="Times New Roman" w:hAnsi="Times New Roman" w:cs="Times New Roman" w:eastAsia="Times New Roman"/>
                <w:sz w:val="24"/>
              </w:rPr>
              <w:t>Národný bezpečnostný úrad</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PMÚSR</w:t>
              <w:br/>
            </w:r>
            <w:r>
              <w:rPr>
                <w:b w:val="off"/>
                <w:color w:val="000000"/>
                <w:rFonts w:ascii="Times New Roman" w:hAnsi="Times New Roman" w:cs="Times New Roman" w:eastAsia="Times New Roman"/>
                <w:sz w:val="24"/>
              </w:rPr>
              <w:t>Protimonopolný úrad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ÚGKKSR</w:t>
              <w:br/>
            </w:r>
            <w:r>
              <w:rPr>
                <w:b w:val="off"/>
                <w:color w:val="000000"/>
                <w:rFonts w:ascii="Times New Roman" w:hAnsi="Times New Roman" w:cs="Times New Roman" w:eastAsia="Times New Roman"/>
                <w:sz w:val="24"/>
              </w:rPr>
              <w:t>Úrad geodézie, kartografie a katastra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ÚJDSR</w:t>
              <w:br/>
            </w:r>
            <w:r>
              <w:rPr>
                <w:b w:val="off"/>
                <w:color w:val="000000"/>
                <w:rFonts w:ascii="Times New Roman" w:hAnsi="Times New Roman" w:cs="Times New Roman" w:eastAsia="Times New Roman"/>
                <w:sz w:val="24"/>
              </w:rPr>
              <w:t>Úrad jadrového dozoru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ÚNMSSR</w:t>
              <w:br/>
            </w:r>
            <w:r>
              <w:rPr>
                <w:b w:val="off"/>
                <w:color w:val="000000"/>
                <w:rFonts w:ascii="Times New Roman" w:hAnsi="Times New Roman" w:cs="Times New Roman" w:eastAsia="Times New Roman"/>
                <w:sz w:val="24"/>
              </w:rPr>
              <w:t>Úrad pre normalizáciu,  metrológiu a skúšobníctvo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ÚPVSR</w:t>
              <w:br/>
            </w:r>
            <w:r>
              <w:rPr>
                <w:b w:val="off"/>
                <w:color w:val="000000"/>
                <w:rFonts w:ascii="Times New Roman" w:hAnsi="Times New Roman" w:cs="Times New Roman" w:eastAsia="Times New Roman"/>
                <w:sz w:val="24"/>
              </w:rPr>
              <w:t>Úrad priemyselného vlastníctva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ÚVO</w:t>
              <w:br/>
            </w:r>
            <w:r>
              <w:rPr>
                <w:b w:val="off"/>
                <w:color w:val="000000"/>
                <w:rFonts w:ascii="Times New Roman" w:hAnsi="Times New Roman" w:cs="Times New Roman" w:eastAsia="Times New Roman"/>
                <w:sz w:val="24"/>
              </w:rPr>
              <w:t>Úrad pre verejné obstarávanie</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ŠÚSR</w:t>
              <w:br/>
            </w:r>
            <w:r>
              <w:rPr>
                <w:b w:val="off"/>
                <w:color w:val="000000"/>
                <w:rFonts w:ascii="Times New Roman" w:hAnsi="Times New Roman" w:cs="Times New Roman" w:eastAsia="Times New Roman"/>
                <w:sz w:val="24"/>
              </w:rPr>
              <w:t>Štatistický úrad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bl>
    <w:p w14:paraId="3A57E3AF" w14:textId="77777777" w:rsidR="000B2D78" w:rsidRPr="00785E8D" w:rsidRDefault="000B2D78">
      <w:pPr>
        <w:rPr>
          <w:rFonts w:ascii="Times New Roman" w:hAnsi="Times New Roman" w:cs="Times New Roman"/>
        </w:rPr>
      </w:pPr>
    </w:p>
    <w:p w14:paraId="48602EC8" w14:textId="37FB2F71" w:rsidR="00E66622" w:rsidRPr="00785E8D" w:rsidRDefault="00E66622" w:rsidP="001E6254">
      <w:pPr>
        <w:keepLines/>
        <w:rPr>
          <w:rFonts w:ascii="Times New Roman" w:hAnsi="Times New Roman" w:cs="Times New Roman"/>
        </w:rPr>
      </w:pPr>
      <w:r w:rsidRPr="00785E8D">
        <w:rPr>
          <w:rFonts w:ascii="Times New Roman" w:eastAsia="Times New Roman" w:hAnsi="Times New Roman" w:cs="Times New Roman"/>
          <w:sz w:val="24"/>
          <w:szCs w:val="24"/>
        </w:rPr>
        <w:t>Vznesené hromadné pripomienky</w:t>
      </w:r>
    </w:p>
    <w:tbl>
      <w:tblPr>
        <w:tblW w:w="0" w:type="auto"/>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44"/>
        <w:gridCol w:w="1296"/>
        <w:gridCol w:w="6480"/>
        <w:gridCol w:w="778"/>
        <w:gridCol w:w="2462"/>
      </w:tblGrid>
      <w:tr w:rsidR="000B16EA" w:rsidRPr="00785E8D" w14:paraId="57C7F9BD" w14:textId="5FDA99DB" w:rsidTr="00343965">
        <w:trPr>
          <w:trHeight w:val="648"/>
          <w:jc w:val="center"/>
        </w:trPr>
        <w:tc>
          <w:tcPr>
            <w:tcW w:w="1944" w:type="dxa"/>
            <w:vAlign w:val="center"/>
          </w:tcPr>
          <w:p w14:paraId="12485476" w14:textId="77777777"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Subjekt</w:t>
            </w:r>
          </w:p>
        </w:tc>
        <w:tc>
          <w:tcPr>
            <w:tcW w:w="1296" w:type="dxa"/>
            <w:vAlign w:val="center"/>
          </w:tcPr>
          <w:p w14:paraId="7BDCDFBF" w14:textId="7CC13C3E"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Podporo</w:t>
            </w:r>
            <w:r>
              <w:rPr>
                <w:rFonts w:ascii="Times New Roman" w:hAnsi="Times New Roman" w:cs="Times New Roman"/>
                <w:b/>
                <w:bCs/>
                <w:sz w:val="24"/>
                <w:szCs w:val="24"/>
              </w:rPr>
              <w:t>-</w:t>
            </w:r>
            <w:r>
              <w:rPr>
                <w:rFonts w:ascii="Times New Roman" w:hAnsi="Times New Roman" w:cs="Times New Roman"/>
                <w:b/>
                <w:bCs/>
                <w:sz w:val="24"/>
                <w:szCs w:val="24"/>
              </w:rPr>
              <w:br/>
            </w:r>
            <w:r w:rsidRPr="00785E8D">
              <w:rPr>
                <w:rFonts w:ascii="Times New Roman" w:hAnsi="Times New Roman" w:cs="Times New Roman"/>
                <w:b/>
                <w:bCs/>
                <w:sz w:val="24"/>
                <w:szCs w:val="24"/>
              </w:rPr>
              <w:t>vatelia</w:t>
            </w:r>
          </w:p>
        </w:tc>
        <w:tc>
          <w:tcPr>
            <w:tcW w:w="6480" w:type="dxa"/>
            <w:vAlign w:val="center"/>
          </w:tcPr>
          <w:p w14:paraId="63809B05" w14:textId="77777777"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Pripomienka</w:t>
            </w:r>
          </w:p>
        </w:tc>
        <w:tc>
          <w:tcPr>
            <w:tcW w:w="778" w:type="dxa"/>
            <w:vAlign w:val="center"/>
          </w:tcPr>
          <w:p w14:paraId="5D84DA5A" w14:textId="5E88111B"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Vyh.</w:t>
            </w:r>
          </w:p>
        </w:tc>
        <w:tc>
          <w:tcPr>
            <w:tcW w:w="2462" w:type="dxa"/>
            <w:vAlign w:val="center"/>
          </w:tcPr>
          <w:p w14:paraId="604D4B30" w14:textId="0F85F5F9"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Spôsob vyhodnotenia</w:t>
            </w:r>
          </w:p>
        </w:tc>
      </w:tr>
      <w:tr>
        <w:trPr>
          <w:trHeight w:val="648"/>
        </w:trPr>
        <w:tc>
          <w:tcPr>
            <w:hMerge w:val="restart"/>
            <w:vAlign w:val="center"/>
          </w:tcPr>
          <w:p>
            <w:pPr>
              <w:spacing w:after="0"/>
              <w:jc w:val="center"/>
            </w:pPr>
            <w:r>
              <w:rPr>
                <w:b w:val="off"/>
                <w:color w:val="000000"/>
                <w:rFonts w:ascii="Times New Roman" w:hAnsi="Times New Roman" w:cs="Times New Roman" w:eastAsia="Times New Roman"/>
                <w:sz w:val="24"/>
              </w:rPr>
              <w:t>K materiálu neboli pridané hromadné pripomienky.</w:t>
            </w:r>
          </w:p>
        </w:tc>
        <w:tc>
          <w:tcPr>
            <w:hMerge w:val="continue"/>
          </w:tcPr>
          <w:p/>
        </w:tc>
        <w:tc>
          <w:tcPr>
            <w:hMerge w:val="continue"/>
          </w:tcPr>
          <w:p/>
        </w:tc>
        <w:tc>
          <w:tcPr>
            <w:hMerge w:val="continue"/>
          </w:tcPr>
          <w:p/>
        </w:tc>
        <w:tc>
          <w:tcPr>
            <w:hMerge w:val="continue"/>
          </w:tcPr>
          <w:p/>
        </w:tc>
      </w:tr>
    </w:tbl>
    <w:p w14:paraId="1F01DA97" w14:textId="77777777" w:rsidR="00E66622" w:rsidRDefault="00E66622">
      <w:pPr>
        <w:rPr>
          <w:rFonts w:ascii="Times New Roman" w:hAnsi="Times New Roman" w:cs="Times New Roman"/>
        </w:rPr>
      </w:pPr>
    </w:p>
    <w:p w14:paraId="20BAA03A" w14:textId="3B15C826" w:rsidR="00677591" w:rsidRDefault="00677591" w:rsidP="001E6254">
      <w:pPr>
        <w:keepLines/>
        <w:rPr>
          <w:rFonts w:ascii="Times New Roman" w:hAnsi="Times New Roman" w:cs="Times New Roman"/>
          <w:sz w:val="24"/>
          <w:szCs w:val="24"/>
          <w:lang w:val="en-US"/>
        </w:rPr>
      </w:pPr>
      <w:r w:rsidRPr="00677591">
        <w:rPr>
          <w:rFonts w:ascii="Times New Roman" w:hAnsi="Times New Roman" w:cs="Times New Roman"/>
          <w:sz w:val="24"/>
          <w:szCs w:val="24"/>
        </w:rPr>
        <w:t>Sumarizácia vznesených pripomienok pod</w:t>
      </w:r>
      <w:r w:rsidRPr="00677591">
        <w:rPr>
          <w:rFonts w:ascii="Times New Roman" w:hAnsi="Times New Roman" w:cs="Times New Roman"/>
          <w:sz w:val="24"/>
          <w:szCs w:val="24"/>
          <w:lang w:val="en-US"/>
        </w:rPr>
        <w:t>ľa subjektov</w:t>
      </w:r>
    </w:p>
    <w:tbl>
      <w:tblPr>
        <w:tblW w:w="5000" w:type="pct"/>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450"/>
        <w:gridCol w:w="6777"/>
        <w:gridCol w:w="1550"/>
        <w:gridCol w:w="1550"/>
        <w:gridCol w:w="1537"/>
        <w:gridCol w:w="1096"/>
      </w:tblGrid>
      <w:tr w:rsidR="00634468" w:rsidRPr="00785E8D" w14:paraId="45EBE45F" w14:textId="77777777" w:rsidTr="008C63F3">
        <w:trPr>
          <w:trHeight w:val="648"/>
          <w:jc w:val="center"/>
        </w:trPr>
        <w:tc>
          <w:tcPr>
            <w:tcW w:w="178" w:type="pct"/>
            <w:tcBorders>
              <w:right w:val="single" w:sz="2" w:space="0" w:color="auto"/>
            </w:tcBorders>
            <w:vAlign w:val="center"/>
          </w:tcPr>
          <w:p w14:paraId="2337D103" w14:textId="702E9A83" w:rsidR="00634468" w:rsidRPr="00785E8D" w:rsidRDefault="00634468"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Č.</w:t>
            </w:r>
          </w:p>
        </w:tc>
        <w:tc>
          <w:tcPr>
            <w:tcW w:w="2750" w:type="pct"/>
            <w:tcBorders>
              <w:top w:val="single" w:sz="2" w:space="0" w:color="auto"/>
              <w:left w:val="single" w:sz="2" w:space="0" w:color="auto"/>
              <w:bottom w:val="single" w:sz="4" w:space="0" w:color="auto"/>
              <w:right w:val="single" w:sz="2" w:space="0" w:color="auto"/>
            </w:tcBorders>
            <w:vAlign w:val="center"/>
          </w:tcPr>
          <w:p w14:paraId="2F5A17B0" w14:textId="580FA8A4"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Subjekt</w:t>
            </w:r>
          </w:p>
        </w:tc>
        <w:tc>
          <w:tcPr>
            <w:tcW w:w="613" w:type="pct"/>
            <w:tcBorders>
              <w:left w:val="single" w:sz="2" w:space="0" w:color="auto"/>
            </w:tcBorders>
            <w:vAlign w:val="center"/>
          </w:tcPr>
          <w:p w14:paraId="2E49D00C" w14:textId="475549EF"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Pripomienky do termínu</w:t>
            </w:r>
          </w:p>
        </w:tc>
        <w:tc>
          <w:tcPr>
            <w:tcW w:w="613" w:type="pct"/>
            <w:vAlign w:val="center"/>
          </w:tcPr>
          <w:p w14:paraId="2E4B8C3C" w14:textId="1CD05F49" w:rsidR="00634468" w:rsidRPr="00A80C4C" w:rsidRDefault="00A80C4C" w:rsidP="001E6254">
            <w:pPr>
              <w:keepLines/>
              <w:spacing w:after="0" w:line="240" w:lineRule="auto"/>
              <w:jc w:val="center"/>
              <w:rPr>
                <w:rFonts w:ascii="Times New Roman" w:hAnsi="Times New Roman" w:cs="Times New Roman"/>
                <w:b/>
                <w:bCs/>
                <w:sz w:val="24"/>
                <w:szCs w:val="24"/>
                <w:lang w:val="en-US"/>
              </w:rPr>
            </w:pPr>
            <w:r>
              <w:rPr>
                <w:rFonts w:ascii="Times New Roman" w:hAnsi="Times New Roman" w:cs="Times New Roman"/>
                <w:b/>
                <w:bCs/>
                <w:sz w:val="24"/>
                <w:szCs w:val="24"/>
              </w:rPr>
              <w:t>Pripomienky po termíne</w:t>
            </w:r>
          </w:p>
        </w:tc>
        <w:tc>
          <w:tcPr>
            <w:tcW w:w="486" w:type="pct"/>
            <w:vAlign w:val="center"/>
          </w:tcPr>
          <w:p w14:paraId="4561F266" w14:textId="377257BE" w:rsidR="00634468" w:rsidRDefault="00634468"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Nemali pripomienky</w:t>
            </w:r>
          </w:p>
        </w:tc>
        <w:tc>
          <w:tcPr>
            <w:tcW w:w="486" w:type="pct"/>
            <w:vAlign w:val="center"/>
          </w:tcPr>
          <w:p w14:paraId="44212096" w14:textId="60E9F3CB"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Vôbec neza</w:t>
            </w:r>
            <w:r w:rsidR="0001352E">
              <w:rPr>
                <w:rFonts w:ascii="Times New Roman" w:hAnsi="Times New Roman" w:cs="Times New Roman"/>
                <w:b/>
                <w:bCs/>
                <w:sz w:val="24"/>
                <w:szCs w:val="24"/>
              </w:rPr>
              <w:t>slali</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w:t>
            </w:r>
          </w:p>
        </w:tc>
        <w:tc>
          <w:tcPr>
            <w:vAlign w:val="top"/>
          </w:tcPr>
          <w:p>
            <w:pPr>
              <w:spacing w:after="0"/>
              <w:jc w:val="start"/>
            </w:pPr>
            <w:r>
              <w:rPr>
                <w:b w:val="on"/>
                <w:color w:val="000000"/>
                <w:rFonts w:ascii="Times New Roman" w:hAnsi="Times New Roman" w:cs="Times New Roman" w:eastAsia="Times New Roman"/>
                <w:sz w:val="24"/>
              </w:rPr>
              <w:t>APZD</w:t>
            </w:r>
            <w:r>
              <w:rPr>
                <w:b w:val="off"/>
                <w:color w:val="000000"/>
                <w:rFonts w:ascii="Times New Roman" w:hAnsi="Times New Roman" w:cs="Times New Roman" w:eastAsia="Times New Roman"/>
                <w:sz w:val="24"/>
              </w:rPr>
              <w:t xml:space="preserve"> – Asociácia priemyselných zväzov a dopravy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w:t>
            </w:r>
          </w:p>
        </w:tc>
        <w:tc>
          <w:tcPr>
            <w:vAlign w:val="top"/>
          </w:tcPr>
          <w:p>
            <w:pPr>
              <w:spacing w:after="0"/>
              <w:jc w:val="start"/>
            </w:pPr>
            <w:r>
              <w:rPr>
                <w:b w:val="on"/>
                <w:color w:val="000000"/>
                <w:rFonts w:ascii="Times New Roman" w:hAnsi="Times New Roman" w:cs="Times New Roman" w:eastAsia="Times New Roman"/>
                <w:sz w:val="24"/>
              </w:rPr>
              <w:t>AZZZ SR</w:t>
            </w:r>
            <w:r>
              <w:rPr>
                <w:b w:val="off"/>
                <w:color w:val="000000"/>
                <w:rFonts w:ascii="Times New Roman" w:hAnsi="Times New Roman" w:cs="Times New Roman" w:eastAsia="Times New Roman"/>
                <w:sz w:val="24"/>
              </w:rPr>
              <w:t xml:space="preserve"> – Asociácia zamestnávatelských zväzov a združení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w:t>
            </w:r>
          </w:p>
        </w:tc>
        <w:tc>
          <w:tcPr>
            <w:vAlign w:val="top"/>
          </w:tcPr>
          <w:p>
            <w:pPr>
              <w:spacing w:after="0"/>
              <w:jc w:val="start"/>
            </w:pPr>
            <w:r>
              <w:rPr>
                <w:b w:val="on"/>
                <w:color w:val="000000"/>
                <w:rFonts w:ascii="Times New Roman" w:hAnsi="Times New Roman" w:cs="Times New Roman" w:eastAsia="Times New Roman"/>
                <w:sz w:val="24"/>
              </w:rPr>
              <w:t>BBSK</w:t>
            </w:r>
            <w:r>
              <w:rPr>
                <w:b w:val="off"/>
                <w:color w:val="000000"/>
                <w:rFonts w:ascii="Times New Roman" w:hAnsi="Times New Roman" w:cs="Times New Roman" w:eastAsia="Times New Roman"/>
                <w:sz w:val="24"/>
              </w:rPr>
              <w:t xml:space="preserve"> – Banskobystrický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w:t>
            </w:r>
          </w:p>
        </w:tc>
        <w:tc>
          <w:tcPr>
            <w:vAlign w:val="top"/>
          </w:tcPr>
          <w:p>
            <w:pPr>
              <w:spacing w:after="0"/>
              <w:jc w:val="start"/>
            </w:pPr>
            <w:r>
              <w:rPr>
                <w:b w:val="on"/>
                <w:color w:val="000000"/>
                <w:rFonts w:ascii="Times New Roman" w:hAnsi="Times New Roman" w:cs="Times New Roman" w:eastAsia="Times New Roman"/>
                <w:sz w:val="24"/>
              </w:rPr>
              <w:t>BSK</w:t>
            </w:r>
            <w:r>
              <w:rPr>
                <w:b w:val="off"/>
                <w:color w:val="000000"/>
                <w:rFonts w:ascii="Times New Roman" w:hAnsi="Times New Roman" w:cs="Times New Roman" w:eastAsia="Times New Roman"/>
                <w:sz w:val="24"/>
              </w:rPr>
              <w:t xml:space="preserve"> – BRATISLAVSKÝ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w:t>
            </w:r>
          </w:p>
        </w:tc>
        <w:tc>
          <w:tcPr>
            <w:vAlign w:val="top"/>
          </w:tcPr>
          <w:p>
            <w:pPr>
              <w:spacing w:after="0"/>
              <w:jc w:val="start"/>
            </w:pPr>
            <w:r>
              <w:rPr>
                <w:b w:val="on"/>
                <w:color w:val="000000"/>
                <w:rFonts w:ascii="Times New Roman" w:hAnsi="Times New Roman" w:cs="Times New Roman" w:eastAsia="Times New Roman"/>
                <w:sz w:val="24"/>
              </w:rPr>
              <w:t>GPSR</w:t>
            </w:r>
            <w:r>
              <w:rPr>
                <w:b w:val="off"/>
                <w:color w:val="000000"/>
                <w:rFonts w:ascii="Times New Roman" w:hAnsi="Times New Roman" w:cs="Times New Roman" w:eastAsia="Times New Roman"/>
                <w:sz w:val="24"/>
              </w:rPr>
              <w:t xml:space="preserve"> – Generálna prokuratúra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w:t>
            </w:r>
          </w:p>
        </w:tc>
        <w:tc>
          <w:tcPr>
            <w:vAlign w:val="top"/>
          </w:tcPr>
          <w:p>
            <w:pPr>
              <w:spacing w:after="0"/>
              <w:jc w:val="start"/>
            </w:pPr>
            <w:r>
              <w:rPr>
                <w:b w:val="on"/>
                <w:color w:val="000000"/>
                <w:rFonts w:ascii="Times New Roman" w:hAnsi="Times New Roman" w:cs="Times New Roman" w:eastAsia="Times New Roman"/>
                <w:sz w:val="24"/>
              </w:rPr>
              <w:t>KBS</w:t>
            </w:r>
            <w:r>
              <w:rPr>
                <w:b w:val="off"/>
                <w:color w:val="000000"/>
                <w:rFonts w:ascii="Times New Roman" w:hAnsi="Times New Roman" w:cs="Times New Roman" w:eastAsia="Times New Roman"/>
                <w:sz w:val="24"/>
              </w:rPr>
              <w:t xml:space="preserve"> – Konferencia biskupov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w:t>
            </w:r>
          </w:p>
        </w:tc>
        <w:tc>
          <w:tcPr>
            <w:vAlign w:val="top"/>
          </w:tcPr>
          <w:p>
            <w:pPr>
              <w:spacing w:after="0"/>
              <w:jc w:val="start"/>
            </w:pPr>
            <w:r>
              <w:rPr>
                <w:b w:val="on"/>
                <w:color w:val="000000"/>
                <w:rFonts w:ascii="Times New Roman" w:hAnsi="Times New Roman" w:cs="Times New Roman" w:eastAsia="Times New Roman"/>
                <w:sz w:val="24"/>
              </w:rPr>
              <w:t>KOZSR</w:t>
            </w:r>
            <w:r>
              <w:rPr>
                <w:b w:val="off"/>
                <w:color w:val="000000"/>
                <w:rFonts w:ascii="Times New Roman" w:hAnsi="Times New Roman" w:cs="Times New Roman" w:eastAsia="Times New Roman"/>
                <w:sz w:val="24"/>
              </w:rPr>
              <w:t xml:space="preserve"> – Konfederácia odborových zväzov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8.</w:t>
            </w:r>
          </w:p>
        </w:tc>
        <w:tc>
          <w:tcPr>
            <w:vAlign w:val="top"/>
          </w:tcPr>
          <w:p>
            <w:pPr>
              <w:spacing w:after="0"/>
              <w:jc w:val="start"/>
            </w:pPr>
            <w:r>
              <w:rPr>
                <w:b w:val="on"/>
                <w:color w:val="000000"/>
                <w:rFonts w:ascii="Times New Roman" w:hAnsi="Times New Roman" w:cs="Times New Roman" w:eastAsia="Times New Roman"/>
                <w:sz w:val="24"/>
              </w:rPr>
              <w:t>KSK</w:t>
            </w:r>
            <w:r>
              <w:rPr>
                <w:b w:val="off"/>
                <w:color w:val="000000"/>
                <w:rFonts w:ascii="Times New Roman" w:hAnsi="Times New Roman" w:cs="Times New Roman" w:eastAsia="Times New Roman"/>
                <w:sz w:val="24"/>
              </w:rPr>
              <w:t xml:space="preserve"> – Košický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9.</w:t>
            </w:r>
          </w:p>
        </w:tc>
        <w:tc>
          <w:tcPr>
            <w:vAlign w:val="top"/>
          </w:tcPr>
          <w:p>
            <w:pPr>
              <w:spacing w:after="0"/>
              <w:jc w:val="start"/>
            </w:pPr>
            <w:r>
              <w:rPr>
                <w:b w:val="on"/>
                <w:color w:val="000000"/>
                <w:rFonts w:ascii="Times New Roman" w:hAnsi="Times New Roman" w:cs="Times New Roman" w:eastAsia="Times New Roman"/>
                <w:sz w:val="24"/>
              </w:rPr>
              <w:t>Klub 500</w:t>
            </w:r>
            <w:r>
              <w:rPr>
                <w:b w:val="off"/>
                <w:color w:val="000000"/>
                <w:rFonts w:ascii="Times New Roman" w:hAnsi="Times New Roman" w:cs="Times New Roman" w:eastAsia="Times New Roman"/>
                <w:sz w:val="24"/>
              </w:rPr>
              <w:t xml:space="preserve"> – Klub 500</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10.</w:t>
            </w:r>
          </w:p>
        </w:tc>
        <w:tc>
          <w:tcPr>
            <w:vAlign w:val="top"/>
          </w:tcPr>
          <w:p>
            <w:pPr>
              <w:spacing w:after="0"/>
              <w:jc w:val="start"/>
            </w:pPr>
            <w:r>
              <w:rPr>
                <w:b w:val="on"/>
                <w:color w:val="000000"/>
                <w:rFonts w:ascii="Times New Roman" w:hAnsi="Times New Roman" w:cs="Times New Roman" w:eastAsia="Times New Roman"/>
                <w:sz w:val="24"/>
              </w:rPr>
              <w:t>MDSR</w:t>
            </w:r>
            <w:r>
              <w:rPr>
                <w:b w:val="off"/>
                <w:color w:val="000000"/>
                <w:rFonts w:ascii="Times New Roman" w:hAnsi="Times New Roman" w:cs="Times New Roman" w:eastAsia="Times New Roman"/>
                <w:sz w:val="24"/>
              </w:rPr>
              <w:t xml:space="preserve"> – Ministerstvo dopravy Slovenskej republiky</w:t>
            </w:r>
          </w:p>
        </w:tc>
        <w:tc>
          <w:tcPr>
            <w:vAlign w:val="top"/>
          </w:tcPr>
          <w:p>
            <w:pPr>
              <w:spacing w:after="0"/>
              <w:jc w:val="center"/>
            </w:pPr>
            <w:r>
              <w:rPr>
                <w:b w:val="off"/>
                <w:color w:val="000000"/>
                <w:rFonts w:ascii="Times New Roman" w:hAnsi="Times New Roman" w:cs="Times New Roman" w:eastAsia="Times New Roman"/>
                <w:sz w:val="24"/>
              </w:rPr>
              <w:t>6 (5o, 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11.</w:t>
            </w:r>
          </w:p>
        </w:tc>
        <w:tc>
          <w:tcPr>
            <w:vAlign w:val="top"/>
          </w:tcPr>
          <w:p>
            <w:pPr>
              <w:spacing w:after="0"/>
              <w:jc w:val="start"/>
            </w:pPr>
            <w:r>
              <w:rPr>
                <w:b w:val="on"/>
                <w:color w:val="000000"/>
                <w:rFonts w:ascii="Times New Roman" w:hAnsi="Times New Roman" w:cs="Times New Roman" w:eastAsia="Times New Roman"/>
                <w:sz w:val="24"/>
              </w:rPr>
              <w:t>MFSR</w:t>
            </w:r>
            <w:r>
              <w:rPr>
                <w:b w:val="off"/>
                <w:color w:val="000000"/>
                <w:rFonts w:ascii="Times New Roman" w:hAnsi="Times New Roman" w:cs="Times New Roman" w:eastAsia="Times New Roman"/>
                <w:sz w:val="24"/>
              </w:rPr>
              <w:t xml:space="preserve"> – Ministerstvo financií Slovenskej republiky</w:t>
            </w:r>
          </w:p>
        </w:tc>
        <w:tc>
          <w:tcPr>
            <w:vAlign w:val="top"/>
          </w:tcPr>
          <w:p>
            <w:pPr>
              <w:spacing w:after="0"/>
              <w:jc w:val="center"/>
            </w:pPr>
            <w:r>
              <w:rPr>
                <w:b w:val="off"/>
                <w:color w:val="000000"/>
                <w:rFonts w:ascii="Times New Roman" w:hAnsi="Times New Roman" w:cs="Times New Roman" w:eastAsia="Times New Roman"/>
                <w:sz w:val="24"/>
              </w:rPr>
              <w:t>2 (2o,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12.</w:t>
            </w:r>
          </w:p>
        </w:tc>
        <w:tc>
          <w:tcPr>
            <w:vAlign w:val="top"/>
          </w:tcPr>
          <w:p>
            <w:pPr>
              <w:spacing w:after="0"/>
              <w:jc w:val="start"/>
            </w:pPr>
            <w:r>
              <w:rPr>
                <w:b w:val="on"/>
                <w:color w:val="000000"/>
                <w:rFonts w:ascii="Times New Roman" w:hAnsi="Times New Roman" w:cs="Times New Roman" w:eastAsia="Times New Roman"/>
                <w:sz w:val="24"/>
              </w:rPr>
              <w:t>MHSR</w:t>
            </w:r>
            <w:r>
              <w:rPr>
                <w:b w:val="off"/>
                <w:color w:val="000000"/>
                <w:rFonts w:ascii="Times New Roman" w:hAnsi="Times New Roman" w:cs="Times New Roman" w:eastAsia="Times New Roman"/>
                <w:sz w:val="24"/>
              </w:rPr>
              <w:t xml:space="preserve"> – Ministerstvo hospodárstva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13.</w:t>
            </w:r>
          </w:p>
        </w:tc>
        <w:tc>
          <w:tcPr>
            <w:vAlign w:val="top"/>
          </w:tcPr>
          <w:p>
            <w:pPr>
              <w:spacing w:after="0"/>
              <w:jc w:val="start"/>
            </w:pPr>
            <w:r>
              <w:rPr>
                <w:b w:val="on"/>
                <w:color w:val="000000"/>
                <w:rFonts w:ascii="Times New Roman" w:hAnsi="Times New Roman" w:cs="Times New Roman" w:eastAsia="Times New Roman"/>
                <w:sz w:val="24"/>
              </w:rPr>
              <w:t>MINCRS</w:t>
            </w:r>
            <w:r>
              <w:rPr>
                <w:b w:val="off"/>
                <w:color w:val="000000"/>
                <w:rFonts w:ascii="Times New Roman" w:hAnsi="Times New Roman" w:cs="Times New Roman" w:eastAsia="Times New Roman"/>
                <w:sz w:val="24"/>
              </w:rPr>
              <w:t xml:space="preserve"> – Ministerstvo cestovného ruchu a športu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14.</w:t>
            </w:r>
          </w:p>
        </w:tc>
        <w:tc>
          <w:tcPr>
            <w:vAlign w:val="top"/>
          </w:tcPr>
          <w:p>
            <w:pPr>
              <w:spacing w:after="0"/>
              <w:jc w:val="start"/>
            </w:pPr>
            <w:r>
              <w:rPr>
                <w:b w:val="on"/>
                <w:color w:val="000000"/>
                <w:rFonts w:ascii="Times New Roman" w:hAnsi="Times New Roman" w:cs="Times New Roman" w:eastAsia="Times New Roman"/>
                <w:sz w:val="24"/>
              </w:rPr>
              <w:t>MIRRI SR</w:t>
            </w:r>
            <w:r>
              <w:rPr>
                <w:b w:val="off"/>
                <w:color w:val="000000"/>
                <w:rFonts w:ascii="Times New Roman" w:hAnsi="Times New Roman" w:cs="Times New Roman" w:eastAsia="Times New Roman"/>
                <w:sz w:val="24"/>
              </w:rPr>
              <w:t xml:space="preserve"> – Ministerstvo investícií, regionálneho rozvoja a informatizácie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15.</w:t>
            </w:r>
          </w:p>
        </w:tc>
        <w:tc>
          <w:tcPr>
            <w:vAlign w:val="top"/>
          </w:tcPr>
          <w:p>
            <w:pPr>
              <w:spacing w:after="0"/>
              <w:jc w:val="start"/>
            </w:pPr>
            <w:r>
              <w:rPr>
                <w:b w:val="on"/>
                <w:color w:val="000000"/>
                <w:rFonts w:ascii="Times New Roman" w:hAnsi="Times New Roman" w:cs="Times New Roman" w:eastAsia="Times New Roman"/>
                <w:sz w:val="24"/>
              </w:rPr>
              <w:t>MKSR</w:t>
            </w:r>
            <w:r>
              <w:rPr>
                <w:b w:val="off"/>
                <w:color w:val="000000"/>
                <w:rFonts w:ascii="Times New Roman" w:hAnsi="Times New Roman" w:cs="Times New Roman" w:eastAsia="Times New Roman"/>
                <w:sz w:val="24"/>
              </w:rPr>
              <w:t xml:space="preserve"> – Ministerstvo kultúry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16.</w:t>
            </w:r>
          </w:p>
        </w:tc>
        <w:tc>
          <w:tcPr>
            <w:vAlign w:val="top"/>
          </w:tcPr>
          <w:p>
            <w:pPr>
              <w:spacing w:after="0"/>
              <w:jc w:val="start"/>
            </w:pPr>
            <w:r>
              <w:rPr>
                <w:b w:val="on"/>
                <w:color w:val="000000"/>
                <w:rFonts w:ascii="Times New Roman" w:hAnsi="Times New Roman" w:cs="Times New Roman" w:eastAsia="Times New Roman"/>
                <w:sz w:val="24"/>
              </w:rPr>
              <w:t>MOSR</w:t>
            </w:r>
            <w:r>
              <w:rPr>
                <w:b w:val="off"/>
                <w:color w:val="000000"/>
                <w:rFonts w:ascii="Times New Roman" w:hAnsi="Times New Roman" w:cs="Times New Roman" w:eastAsia="Times New Roman"/>
                <w:sz w:val="24"/>
              </w:rPr>
              <w:t xml:space="preserve"> – Ministerstvo obrany Slovenskej republiky</w:t>
            </w:r>
          </w:p>
        </w:tc>
        <w:tc>
          <w:tcPr>
            <w:vAlign w:val="top"/>
          </w:tcPr>
          <w:p>
            <w:pPr>
              <w:spacing w:after="0"/>
              <w:jc w:val="center"/>
            </w:pPr>
            <w:r>
              <w:rPr>
                <w:b w:val="off"/>
                <w:color w:val="000000"/>
                <w:rFonts w:ascii="Times New Roman" w:hAnsi="Times New Roman" w:cs="Times New Roman" w:eastAsia="Times New Roman"/>
                <w:sz w:val="24"/>
              </w:rPr>
              <w:t>3 (3o,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17.</w:t>
            </w:r>
          </w:p>
        </w:tc>
        <w:tc>
          <w:tcPr>
            <w:vAlign w:val="top"/>
          </w:tcPr>
          <w:p>
            <w:pPr>
              <w:spacing w:after="0"/>
              <w:jc w:val="start"/>
            </w:pPr>
            <w:r>
              <w:rPr>
                <w:b w:val="on"/>
                <w:color w:val="000000"/>
                <w:rFonts w:ascii="Times New Roman" w:hAnsi="Times New Roman" w:cs="Times New Roman" w:eastAsia="Times New Roman"/>
                <w:sz w:val="24"/>
              </w:rPr>
              <w:t>MPRVSR</w:t>
            </w:r>
            <w:r>
              <w:rPr>
                <w:b w:val="off"/>
                <w:color w:val="000000"/>
                <w:rFonts w:ascii="Times New Roman" w:hAnsi="Times New Roman" w:cs="Times New Roman" w:eastAsia="Times New Roman"/>
                <w:sz w:val="24"/>
              </w:rPr>
              <w:t xml:space="preserve"> – Ministerstvo pôdohospodárstva a rozvoja vidieka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18.</w:t>
            </w:r>
          </w:p>
        </w:tc>
        <w:tc>
          <w:tcPr>
            <w:vAlign w:val="top"/>
          </w:tcPr>
          <w:p>
            <w:pPr>
              <w:spacing w:after="0"/>
              <w:jc w:val="start"/>
            </w:pPr>
            <w:r>
              <w:rPr>
                <w:b w:val="on"/>
                <w:color w:val="000000"/>
                <w:rFonts w:ascii="Times New Roman" w:hAnsi="Times New Roman" w:cs="Times New Roman" w:eastAsia="Times New Roman"/>
                <w:sz w:val="24"/>
              </w:rPr>
              <w:t>MPSVRSR</w:t>
            </w:r>
            <w:r>
              <w:rPr>
                <w:b w:val="off"/>
                <w:color w:val="000000"/>
                <w:rFonts w:ascii="Times New Roman" w:hAnsi="Times New Roman" w:cs="Times New Roman" w:eastAsia="Times New Roman"/>
                <w:sz w:val="24"/>
              </w:rPr>
              <w:t xml:space="preserve"> – Ministerstvo práce, sociálnych vecí a rodiny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19.</w:t>
            </w:r>
          </w:p>
        </w:tc>
        <w:tc>
          <w:tcPr>
            <w:vAlign w:val="top"/>
          </w:tcPr>
          <w:p>
            <w:pPr>
              <w:spacing w:after="0"/>
              <w:jc w:val="start"/>
            </w:pPr>
            <w:r>
              <w:rPr>
                <w:b w:val="on"/>
                <w:color w:val="000000"/>
                <w:rFonts w:ascii="Times New Roman" w:hAnsi="Times New Roman" w:cs="Times New Roman" w:eastAsia="Times New Roman"/>
                <w:sz w:val="24"/>
              </w:rPr>
              <w:t>MSSR</w:t>
            </w:r>
            <w:r>
              <w:rPr>
                <w:b w:val="off"/>
                <w:color w:val="000000"/>
                <w:rFonts w:ascii="Times New Roman" w:hAnsi="Times New Roman" w:cs="Times New Roman" w:eastAsia="Times New Roman"/>
                <w:sz w:val="24"/>
              </w:rPr>
              <w:t xml:space="preserve"> – Ministerstvo spravodlivosti Slovenskej republiky</w:t>
            </w:r>
          </w:p>
        </w:tc>
        <w:tc>
          <w:tcPr>
            <w:vAlign w:val="top"/>
          </w:tcPr>
          <w:p>
            <w:pPr>
              <w:spacing w:after="0"/>
              <w:jc w:val="center"/>
            </w:pPr>
            <w:r>
              <w:rPr>
                <w:b w:val="off"/>
                <w:color w:val="000000"/>
                <w:rFonts w:ascii="Times New Roman" w:hAnsi="Times New Roman" w:cs="Times New Roman" w:eastAsia="Times New Roman"/>
                <w:sz w:val="24"/>
              </w:rPr>
              <w:t>3 (3o,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20.</w:t>
            </w:r>
          </w:p>
        </w:tc>
        <w:tc>
          <w:tcPr>
            <w:vAlign w:val="top"/>
          </w:tcPr>
          <w:p>
            <w:pPr>
              <w:spacing w:after="0"/>
              <w:jc w:val="start"/>
            </w:pPr>
            <w:r>
              <w:rPr>
                <w:b w:val="on"/>
                <w:color w:val="000000"/>
                <w:rFonts w:ascii="Times New Roman" w:hAnsi="Times New Roman" w:cs="Times New Roman" w:eastAsia="Times New Roman"/>
                <w:sz w:val="24"/>
              </w:rPr>
              <w:t>MVSR</w:t>
            </w:r>
            <w:r>
              <w:rPr>
                <w:b w:val="off"/>
                <w:color w:val="000000"/>
                <w:rFonts w:ascii="Times New Roman" w:hAnsi="Times New Roman" w:cs="Times New Roman" w:eastAsia="Times New Roman"/>
                <w:sz w:val="24"/>
              </w:rPr>
              <w:t xml:space="preserve"> – Ministerstvo vnútra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21.</w:t>
            </w:r>
          </w:p>
        </w:tc>
        <w:tc>
          <w:tcPr>
            <w:vAlign w:val="top"/>
          </w:tcPr>
          <w:p>
            <w:pPr>
              <w:spacing w:after="0"/>
              <w:jc w:val="start"/>
            </w:pPr>
            <w:r>
              <w:rPr>
                <w:b w:val="on"/>
                <w:color w:val="000000"/>
                <w:rFonts w:ascii="Times New Roman" w:hAnsi="Times New Roman" w:cs="Times New Roman" w:eastAsia="Times New Roman"/>
                <w:sz w:val="24"/>
              </w:rPr>
              <w:t>MZSR</w:t>
            </w:r>
            <w:r>
              <w:rPr>
                <w:b w:val="off"/>
                <w:color w:val="000000"/>
                <w:rFonts w:ascii="Times New Roman" w:hAnsi="Times New Roman" w:cs="Times New Roman" w:eastAsia="Times New Roman"/>
                <w:sz w:val="24"/>
              </w:rPr>
              <w:t xml:space="preserve"> – Ministerstvo zdravotníctva Slovenskej republiky</w:t>
            </w:r>
          </w:p>
        </w:tc>
        <w:tc>
          <w:tcPr>
            <w:vAlign w:val="top"/>
          </w:tcPr>
          <w:p>
            <w:pPr>
              <w:spacing w:after="0"/>
              <w:jc w:val="center"/>
            </w:pPr>
            <w:r>
              <w:rPr>
                <w:b w:val="off"/>
                <w:color w:val="000000"/>
                <w:rFonts w:ascii="Times New Roman" w:hAnsi="Times New Roman" w:cs="Times New Roman" w:eastAsia="Times New Roman"/>
                <w:sz w:val="24"/>
              </w:rPr>
              <w:t>2 (2o,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22.</w:t>
            </w:r>
          </w:p>
        </w:tc>
        <w:tc>
          <w:tcPr>
            <w:vAlign w:val="top"/>
          </w:tcPr>
          <w:p>
            <w:pPr>
              <w:spacing w:after="0"/>
              <w:jc w:val="start"/>
            </w:pPr>
            <w:r>
              <w:rPr>
                <w:b w:val="on"/>
                <w:color w:val="000000"/>
                <w:rFonts w:ascii="Times New Roman" w:hAnsi="Times New Roman" w:cs="Times New Roman" w:eastAsia="Times New Roman"/>
                <w:sz w:val="24"/>
              </w:rPr>
              <w:t>MZVEZ SR</w:t>
            </w:r>
            <w:r>
              <w:rPr>
                <w:b w:val="off"/>
                <w:color w:val="000000"/>
                <w:rFonts w:ascii="Times New Roman" w:hAnsi="Times New Roman" w:cs="Times New Roman" w:eastAsia="Times New Roman"/>
                <w:sz w:val="24"/>
              </w:rPr>
              <w:t xml:space="preserve"> – Ministerstvo zahraničných vecí a európskych záležitostí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23.</w:t>
            </w:r>
          </w:p>
        </w:tc>
        <w:tc>
          <w:tcPr>
            <w:vAlign w:val="top"/>
          </w:tcPr>
          <w:p>
            <w:pPr>
              <w:spacing w:after="0"/>
              <w:jc w:val="start"/>
            </w:pPr>
            <w:r>
              <w:rPr>
                <w:b w:val="on"/>
                <w:color w:val="000000"/>
                <w:rFonts w:ascii="Times New Roman" w:hAnsi="Times New Roman" w:cs="Times New Roman" w:eastAsia="Times New Roman"/>
                <w:sz w:val="24"/>
              </w:rPr>
              <w:t>MŠVVaMSR</w:t>
            </w:r>
            <w:r>
              <w:rPr>
                <w:b w:val="off"/>
                <w:color w:val="000000"/>
                <w:rFonts w:ascii="Times New Roman" w:hAnsi="Times New Roman" w:cs="Times New Roman" w:eastAsia="Times New Roman"/>
                <w:sz w:val="24"/>
              </w:rPr>
              <w:t xml:space="preserve"> – Ministerstvo školstva,výskumu,vývoja a mládeže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24.</w:t>
            </w:r>
          </w:p>
        </w:tc>
        <w:tc>
          <w:tcPr>
            <w:vAlign w:val="top"/>
          </w:tcPr>
          <w:p>
            <w:pPr>
              <w:spacing w:after="0"/>
              <w:jc w:val="start"/>
            </w:pPr>
            <w:r>
              <w:rPr>
                <w:b w:val="on"/>
                <w:color w:val="000000"/>
                <w:rFonts w:ascii="Times New Roman" w:hAnsi="Times New Roman" w:cs="Times New Roman" w:eastAsia="Times New Roman"/>
                <w:sz w:val="24"/>
              </w:rPr>
              <w:t>MŽPSR</w:t>
            </w:r>
            <w:r>
              <w:rPr>
                <w:b w:val="off"/>
                <w:color w:val="000000"/>
                <w:rFonts w:ascii="Times New Roman" w:hAnsi="Times New Roman" w:cs="Times New Roman" w:eastAsia="Times New Roman"/>
                <w:sz w:val="24"/>
              </w:rPr>
              <w:t xml:space="preserve"> – Ministerstvo životného prostredia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25.</w:t>
            </w:r>
          </w:p>
        </w:tc>
        <w:tc>
          <w:tcPr>
            <w:vAlign w:val="top"/>
          </w:tcPr>
          <w:p>
            <w:pPr>
              <w:spacing w:after="0"/>
              <w:jc w:val="start"/>
            </w:pPr>
            <w:r>
              <w:rPr>
                <w:b w:val="on"/>
                <w:color w:val="000000"/>
                <w:rFonts w:ascii="Times New Roman" w:hAnsi="Times New Roman" w:cs="Times New Roman" w:eastAsia="Times New Roman"/>
                <w:sz w:val="24"/>
              </w:rPr>
              <w:t>NBS</w:t>
            </w:r>
            <w:r>
              <w:rPr>
                <w:b w:val="off"/>
                <w:color w:val="000000"/>
                <w:rFonts w:ascii="Times New Roman" w:hAnsi="Times New Roman" w:cs="Times New Roman" w:eastAsia="Times New Roman"/>
                <w:sz w:val="24"/>
              </w:rPr>
              <w:t xml:space="preserve"> – Národná banka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26.</w:t>
            </w:r>
          </w:p>
        </w:tc>
        <w:tc>
          <w:tcPr>
            <w:vAlign w:val="top"/>
          </w:tcPr>
          <w:p>
            <w:pPr>
              <w:spacing w:after="0"/>
              <w:jc w:val="start"/>
            </w:pPr>
            <w:r>
              <w:rPr>
                <w:b w:val="on"/>
                <w:color w:val="000000"/>
                <w:rFonts w:ascii="Times New Roman" w:hAnsi="Times New Roman" w:cs="Times New Roman" w:eastAsia="Times New Roman"/>
                <w:sz w:val="24"/>
              </w:rPr>
              <w:t>NBÚ</w:t>
            </w:r>
            <w:r>
              <w:rPr>
                <w:b w:val="off"/>
                <w:color w:val="000000"/>
                <w:rFonts w:ascii="Times New Roman" w:hAnsi="Times New Roman" w:cs="Times New Roman" w:eastAsia="Times New Roman"/>
                <w:sz w:val="24"/>
              </w:rPr>
              <w:t xml:space="preserve"> – Národný bezpečnostný úrad</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27.</w:t>
            </w:r>
          </w:p>
        </w:tc>
        <w:tc>
          <w:tcPr>
            <w:vAlign w:val="top"/>
          </w:tcPr>
          <w:p>
            <w:pPr>
              <w:spacing w:after="0"/>
              <w:jc w:val="start"/>
            </w:pPr>
            <w:r>
              <w:rPr>
                <w:b w:val="on"/>
                <w:color w:val="000000"/>
                <w:rFonts w:ascii="Times New Roman" w:hAnsi="Times New Roman" w:cs="Times New Roman" w:eastAsia="Times New Roman"/>
                <w:sz w:val="24"/>
              </w:rPr>
              <w:t>NKÚSR</w:t>
            </w:r>
            <w:r>
              <w:rPr>
                <w:b w:val="off"/>
                <w:color w:val="000000"/>
                <w:rFonts w:ascii="Times New Roman" w:hAnsi="Times New Roman" w:cs="Times New Roman" w:eastAsia="Times New Roman"/>
                <w:sz w:val="24"/>
              </w:rPr>
              <w:t xml:space="preserve"> – Najvyšší kontrolný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28.</w:t>
            </w:r>
          </w:p>
        </w:tc>
        <w:tc>
          <w:tcPr>
            <w:vAlign w:val="top"/>
          </w:tcPr>
          <w:p>
            <w:pPr>
              <w:spacing w:after="0"/>
              <w:jc w:val="start"/>
            </w:pPr>
            <w:r>
              <w:rPr>
                <w:b w:val="on"/>
                <w:color w:val="000000"/>
                <w:rFonts w:ascii="Times New Roman" w:hAnsi="Times New Roman" w:cs="Times New Roman" w:eastAsia="Times New Roman"/>
                <w:sz w:val="24"/>
              </w:rPr>
              <w:t>NSK</w:t>
            </w:r>
            <w:r>
              <w:rPr>
                <w:b w:val="off"/>
                <w:color w:val="000000"/>
                <w:rFonts w:ascii="Times New Roman" w:hAnsi="Times New Roman" w:cs="Times New Roman" w:eastAsia="Times New Roman"/>
                <w:sz w:val="24"/>
              </w:rPr>
              <w:t xml:space="preserve"> – Nitriansky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29.</w:t>
            </w:r>
          </w:p>
        </w:tc>
        <w:tc>
          <w:tcPr>
            <w:vAlign w:val="top"/>
          </w:tcPr>
          <w:p>
            <w:pPr>
              <w:spacing w:after="0"/>
              <w:jc w:val="start"/>
            </w:pPr>
            <w:r>
              <w:rPr>
                <w:b w:val="on"/>
                <w:color w:val="000000"/>
                <w:rFonts w:ascii="Times New Roman" w:hAnsi="Times New Roman" w:cs="Times New Roman" w:eastAsia="Times New Roman"/>
                <w:sz w:val="24"/>
              </w:rPr>
              <w:t>NSSR</w:t>
            </w:r>
            <w:r>
              <w:rPr>
                <w:b w:val="off"/>
                <w:color w:val="000000"/>
                <w:rFonts w:ascii="Times New Roman" w:hAnsi="Times New Roman" w:cs="Times New Roman" w:eastAsia="Times New Roman"/>
                <w:sz w:val="24"/>
              </w:rPr>
              <w:t xml:space="preserve"> – Najvyšší súd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30.</w:t>
            </w:r>
          </w:p>
        </w:tc>
        <w:tc>
          <w:tcPr>
            <w:vAlign w:val="top"/>
          </w:tcPr>
          <w:p>
            <w:pPr>
              <w:spacing w:after="0"/>
              <w:jc w:val="start"/>
            </w:pPr>
            <w:r>
              <w:rPr>
                <w:b w:val="on"/>
                <w:color w:val="000000"/>
                <w:rFonts w:ascii="Times New Roman" w:hAnsi="Times New Roman" w:cs="Times New Roman" w:eastAsia="Times New Roman"/>
                <w:sz w:val="24"/>
              </w:rPr>
              <w:t>OAPSVLÚVSR</w:t>
            </w:r>
            <w:r>
              <w:rPr>
                <w:b w:val="off"/>
                <w:color w:val="000000"/>
                <w:rFonts w:ascii="Times New Roman" w:hAnsi="Times New Roman" w:cs="Times New Roman" w:eastAsia="Times New Roman"/>
                <w:sz w:val="24"/>
              </w:rPr>
              <w:t xml:space="preserve"> – Odbor aproximácie práva sekcie vládnej legislatívy Úradu vlády SR</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31.</w:t>
            </w:r>
          </w:p>
        </w:tc>
        <w:tc>
          <w:tcPr>
            <w:vAlign w:val="top"/>
          </w:tcPr>
          <w:p>
            <w:pPr>
              <w:spacing w:after="0"/>
              <w:jc w:val="start"/>
            </w:pPr>
            <w:r>
              <w:rPr>
                <w:b w:val="on"/>
                <w:color w:val="000000"/>
                <w:rFonts w:ascii="Times New Roman" w:hAnsi="Times New Roman" w:cs="Times New Roman" w:eastAsia="Times New Roman"/>
                <w:sz w:val="24"/>
              </w:rPr>
              <w:t>PMÚSR</w:t>
            </w:r>
            <w:r>
              <w:rPr>
                <w:b w:val="off"/>
                <w:color w:val="000000"/>
                <w:rFonts w:ascii="Times New Roman" w:hAnsi="Times New Roman" w:cs="Times New Roman" w:eastAsia="Times New Roman"/>
                <w:sz w:val="24"/>
              </w:rPr>
              <w:t xml:space="preserve"> – Protimonopolný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32.</w:t>
            </w:r>
          </w:p>
        </w:tc>
        <w:tc>
          <w:tcPr>
            <w:vAlign w:val="top"/>
          </w:tcPr>
          <w:p>
            <w:pPr>
              <w:spacing w:after="0"/>
              <w:jc w:val="start"/>
            </w:pPr>
            <w:r>
              <w:rPr>
                <w:b w:val="on"/>
                <w:color w:val="000000"/>
                <w:rFonts w:ascii="Times New Roman" w:hAnsi="Times New Roman" w:cs="Times New Roman" w:eastAsia="Times New Roman"/>
                <w:sz w:val="24"/>
              </w:rPr>
              <w:t>PSK</w:t>
            </w:r>
            <w:r>
              <w:rPr>
                <w:b w:val="off"/>
                <w:color w:val="000000"/>
                <w:rFonts w:ascii="Times New Roman" w:hAnsi="Times New Roman" w:cs="Times New Roman" w:eastAsia="Times New Roman"/>
                <w:sz w:val="24"/>
              </w:rPr>
              <w:t xml:space="preserve"> – Prešovský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33.</w:t>
            </w:r>
          </w:p>
        </w:tc>
        <w:tc>
          <w:tcPr>
            <w:vAlign w:val="top"/>
          </w:tcPr>
          <w:p>
            <w:pPr>
              <w:spacing w:after="0"/>
              <w:jc w:val="start"/>
            </w:pPr>
            <w:r>
              <w:rPr>
                <w:b w:val="on"/>
                <w:color w:val="000000"/>
                <w:rFonts w:ascii="Times New Roman" w:hAnsi="Times New Roman" w:cs="Times New Roman" w:eastAsia="Times New Roman"/>
                <w:sz w:val="24"/>
              </w:rPr>
              <w:t>RÚZSR</w:t>
            </w:r>
            <w:r>
              <w:rPr>
                <w:b w:val="off"/>
                <w:color w:val="000000"/>
                <w:rFonts w:ascii="Times New Roman" w:hAnsi="Times New Roman" w:cs="Times New Roman" w:eastAsia="Times New Roman"/>
                <w:sz w:val="24"/>
              </w:rPr>
              <w:t xml:space="preserve"> – Republiková únia zamestnávateľov</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34.</w:t>
            </w:r>
          </w:p>
        </w:tc>
        <w:tc>
          <w:tcPr>
            <w:vAlign w:val="top"/>
          </w:tcPr>
          <w:p>
            <w:pPr>
              <w:spacing w:after="0"/>
              <w:jc w:val="start"/>
            </w:pPr>
            <w:r>
              <w:rPr>
                <w:b w:val="on"/>
                <w:color w:val="000000"/>
                <w:rFonts w:ascii="Times New Roman" w:hAnsi="Times New Roman" w:cs="Times New Roman" w:eastAsia="Times New Roman"/>
                <w:sz w:val="24"/>
              </w:rPr>
              <w:t>SK8</w:t>
            </w:r>
            <w:r>
              <w:rPr>
                <w:b w:val="off"/>
                <w:color w:val="000000"/>
                <w:rFonts w:ascii="Times New Roman" w:hAnsi="Times New Roman" w:cs="Times New Roman" w:eastAsia="Times New Roman"/>
                <w:sz w:val="24"/>
              </w:rPr>
              <w:t xml:space="preserve"> – Samosprávne kraje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35.</w:t>
            </w:r>
          </w:p>
        </w:tc>
        <w:tc>
          <w:tcPr>
            <w:vAlign w:val="top"/>
          </w:tcPr>
          <w:p>
            <w:pPr>
              <w:spacing w:after="0"/>
              <w:jc w:val="start"/>
            </w:pPr>
            <w:r>
              <w:rPr>
                <w:b w:val="on"/>
                <w:color w:val="000000"/>
                <w:rFonts w:ascii="Times New Roman" w:hAnsi="Times New Roman" w:cs="Times New Roman" w:eastAsia="Times New Roman"/>
                <w:sz w:val="24"/>
              </w:rPr>
              <w:t>SPPK</w:t>
            </w:r>
            <w:r>
              <w:rPr>
                <w:b w:val="off"/>
                <w:color w:val="000000"/>
                <w:rFonts w:ascii="Times New Roman" w:hAnsi="Times New Roman" w:cs="Times New Roman" w:eastAsia="Times New Roman"/>
                <w:sz w:val="24"/>
              </w:rPr>
              <w:t xml:space="preserve"> – Slovenská poľnohospodárska a potravinárska komora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36.</w:t>
            </w:r>
          </w:p>
        </w:tc>
        <w:tc>
          <w:tcPr>
            <w:vAlign w:val="top"/>
          </w:tcPr>
          <w:p>
            <w:pPr>
              <w:spacing w:after="0"/>
              <w:jc w:val="start"/>
            </w:pPr>
            <w:r>
              <w:rPr>
                <w:b w:val="on"/>
                <w:color w:val="000000"/>
                <w:rFonts w:ascii="Times New Roman" w:hAnsi="Times New Roman" w:cs="Times New Roman" w:eastAsia="Times New Roman"/>
                <w:sz w:val="24"/>
              </w:rPr>
              <w:t>SVSLPRK</w:t>
            </w:r>
            <w:r>
              <w:rPr>
                <w:b w:val="off"/>
                <w:color w:val="000000"/>
                <w:rFonts w:ascii="Times New Roman" w:hAnsi="Times New Roman" w:cs="Times New Roman" w:eastAsia="Times New Roman"/>
                <w:sz w:val="24"/>
              </w:rPr>
              <w:t xml:space="preserve"> – Splnomocnenec vlády Slovenskej republiky pre rómske komunity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37.</w:t>
            </w:r>
          </w:p>
        </w:tc>
        <w:tc>
          <w:tcPr>
            <w:vAlign w:val="top"/>
          </w:tcPr>
          <w:p>
            <w:pPr>
              <w:spacing w:after="0"/>
              <w:jc w:val="start"/>
            </w:pPr>
            <w:r>
              <w:rPr>
                <w:b w:val="on"/>
                <w:color w:val="000000"/>
                <w:rFonts w:ascii="Times New Roman" w:hAnsi="Times New Roman" w:cs="Times New Roman" w:eastAsia="Times New Roman"/>
                <w:sz w:val="24"/>
              </w:rPr>
              <w:t>Slovenská advokátska komora</w:t>
            </w:r>
            <w:r>
              <w:rPr>
                <w:b w:val="off"/>
                <w:color w:val="000000"/>
                <w:rFonts w:ascii="Times New Roman" w:hAnsi="Times New Roman" w:cs="Times New Roman" w:eastAsia="Times New Roman"/>
                <w:sz w:val="24"/>
              </w:rPr>
              <w:t xml:space="preserve"> – Slovenská advokátska komora</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38.</w:t>
            </w:r>
          </w:p>
        </w:tc>
        <w:tc>
          <w:tcPr>
            <w:vAlign w:val="top"/>
          </w:tcPr>
          <w:p>
            <w:pPr>
              <w:spacing w:after="0"/>
              <w:jc w:val="start"/>
            </w:pPr>
            <w:r>
              <w:rPr>
                <w:b w:val="on"/>
                <w:color w:val="000000"/>
                <w:rFonts w:ascii="Times New Roman" w:hAnsi="Times New Roman" w:cs="Times New Roman" w:eastAsia="Times New Roman"/>
                <w:sz w:val="24"/>
              </w:rPr>
              <w:t>SŠHRSR</w:t>
            </w:r>
            <w:r>
              <w:rPr>
                <w:b w:val="off"/>
                <w:color w:val="000000"/>
                <w:rFonts w:ascii="Times New Roman" w:hAnsi="Times New Roman" w:cs="Times New Roman" w:eastAsia="Times New Roman"/>
                <w:sz w:val="24"/>
              </w:rPr>
              <w:t xml:space="preserve"> – Správa štátnych hmotných rezerv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39.</w:t>
            </w:r>
          </w:p>
        </w:tc>
        <w:tc>
          <w:tcPr>
            <w:vAlign w:val="top"/>
          </w:tcPr>
          <w:p>
            <w:pPr>
              <w:spacing w:after="0"/>
              <w:jc w:val="start"/>
            </w:pPr>
            <w:r>
              <w:rPr>
                <w:b w:val="on"/>
                <w:color w:val="000000"/>
                <w:rFonts w:ascii="Times New Roman" w:hAnsi="Times New Roman" w:cs="Times New Roman" w:eastAsia="Times New Roman"/>
                <w:sz w:val="24"/>
              </w:rPr>
              <w:t>TSK</w:t>
            </w:r>
            <w:r>
              <w:rPr>
                <w:b w:val="off"/>
                <w:color w:val="000000"/>
                <w:rFonts w:ascii="Times New Roman" w:hAnsi="Times New Roman" w:cs="Times New Roman" w:eastAsia="Times New Roman"/>
                <w:sz w:val="24"/>
              </w:rPr>
              <w:t xml:space="preserve"> – Trenčiansky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40.</w:t>
            </w:r>
          </w:p>
        </w:tc>
        <w:tc>
          <w:tcPr>
            <w:vAlign w:val="top"/>
          </w:tcPr>
          <w:p>
            <w:pPr>
              <w:spacing w:after="0"/>
              <w:jc w:val="start"/>
            </w:pPr>
            <w:r>
              <w:rPr>
                <w:b w:val="on"/>
                <w:color w:val="000000"/>
                <w:rFonts w:ascii="Times New Roman" w:hAnsi="Times New Roman" w:cs="Times New Roman" w:eastAsia="Times New Roman"/>
                <w:sz w:val="24"/>
              </w:rPr>
              <w:t>TTSK</w:t>
            </w:r>
            <w:r>
              <w:rPr>
                <w:b w:val="off"/>
                <w:color w:val="000000"/>
                <w:rFonts w:ascii="Times New Roman" w:hAnsi="Times New Roman" w:cs="Times New Roman" w:eastAsia="Times New Roman"/>
                <w:sz w:val="24"/>
              </w:rPr>
              <w:t xml:space="preserve"> – Trnavský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41.</w:t>
            </w:r>
          </w:p>
        </w:tc>
        <w:tc>
          <w:tcPr>
            <w:vAlign w:val="top"/>
          </w:tcPr>
          <w:p>
            <w:pPr>
              <w:spacing w:after="0"/>
              <w:jc w:val="start"/>
            </w:pPr>
            <w:r>
              <w:rPr>
                <w:b w:val="on"/>
                <w:color w:val="000000"/>
                <w:rFonts w:ascii="Times New Roman" w:hAnsi="Times New Roman" w:cs="Times New Roman" w:eastAsia="Times New Roman"/>
                <w:sz w:val="24"/>
              </w:rPr>
              <w:t>UOOU SR</w:t>
            </w:r>
            <w:r>
              <w:rPr>
                <w:b w:val="off"/>
                <w:color w:val="000000"/>
                <w:rFonts w:ascii="Times New Roman" w:hAnsi="Times New Roman" w:cs="Times New Roman" w:eastAsia="Times New Roman"/>
                <w:sz w:val="24"/>
              </w:rPr>
              <w:t xml:space="preserve"> – Úrad na ochranu osobných údajov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42.</w:t>
            </w:r>
          </w:p>
        </w:tc>
        <w:tc>
          <w:tcPr>
            <w:vAlign w:val="top"/>
          </w:tcPr>
          <w:p>
            <w:pPr>
              <w:spacing w:after="0"/>
              <w:jc w:val="start"/>
            </w:pPr>
            <w:r>
              <w:rPr>
                <w:b w:val="on"/>
                <w:color w:val="000000"/>
                <w:rFonts w:ascii="Times New Roman" w:hAnsi="Times New Roman" w:cs="Times New Roman" w:eastAsia="Times New Roman"/>
                <w:sz w:val="24"/>
              </w:rPr>
              <w:t>UPVSR POaZE</w:t>
            </w:r>
            <w:r>
              <w:rPr>
                <w:b w:val="off"/>
                <w:color w:val="000000"/>
                <w:rFonts w:ascii="Times New Roman" w:hAnsi="Times New Roman" w:cs="Times New Roman" w:eastAsia="Times New Roman"/>
                <w:sz w:val="24"/>
              </w:rPr>
              <w:t xml:space="preserve"> – Úrad podpredsedu vlády Slovenskej republiky pre Plán obnovy a znalostnú ekonomiku</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43.</w:t>
            </w:r>
          </w:p>
        </w:tc>
        <w:tc>
          <w:tcPr>
            <w:vAlign w:val="top"/>
          </w:tcPr>
          <w:p>
            <w:pPr>
              <w:spacing w:after="0"/>
              <w:jc w:val="start"/>
            </w:pPr>
            <w:r>
              <w:rPr>
                <w:b w:val="on"/>
                <w:color w:val="000000"/>
                <w:rFonts w:ascii="Times New Roman" w:hAnsi="Times New Roman" w:cs="Times New Roman" w:eastAsia="Times New Roman"/>
                <w:sz w:val="24"/>
              </w:rPr>
              <w:t>URSO</w:t>
            </w:r>
            <w:r>
              <w:rPr>
                <w:b w:val="off"/>
                <w:color w:val="000000"/>
                <w:rFonts w:ascii="Times New Roman" w:hAnsi="Times New Roman" w:cs="Times New Roman" w:eastAsia="Times New Roman"/>
                <w:sz w:val="24"/>
              </w:rPr>
              <w:t xml:space="preserve"> – Úrad pre reguláciu sieťových odvetví</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44.</w:t>
            </w:r>
          </w:p>
        </w:tc>
        <w:tc>
          <w:tcPr>
            <w:vAlign w:val="top"/>
          </w:tcPr>
          <w:p>
            <w:pPr>
              <w:spacing w:after="0"/>
              <w:jc w:val="start"/>
            </w:pPr>
            <w:r>
              <w:rPr>
                <w:b w:val="on"/>
                <w:color w:val="000000"/>
                <w:rFonts w:ascii="Times New Roman" w:hAnsi="Times New Roman" w:cs="Times New Roman" w:eastAsia="Times New Roman"/>
                <w:sz w:val="24"/>
              </w:rPr>
              <w:t>UpUPaVSR</w:t>
            </w:r>
            <w:r>
              <w:rPr>
                <w:b w:val="off"/>
                <w:color w:val="000000"/>
                <w:rFonts w:ascii="Times New Roman" w:hAnsi="Times New Roman" w:cs="Times New Roman" w:eastAsia="Times New Roman"/>
                <w:sz w:val="24"/>
              </w:rPr>
              <w:t xml:space="preserve"> – Úrad pre územné plánovanie a výstavbu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45.</w:t>
            </w:r>
          </w:p>
        </w:tc>
        <w:tc>
          <w:tcPr>
            <w:vAlign w:val="top"/>
          </w:tcPr>
          <w:p>
            <w:pPr>
              <w:spacing w:after="0"/>
              <w:jc w:val="start"/>
            </w:pPr>
            <w:r>
              <w:rPr>
                <w:b w:val="on"/>
                <w:color w:val="000000"/>
                <w:rFonts w:ascii="Times New Roman" w:hAnsi="Times New Roman" w:cs="Times New Roman" w:eastAsia="Times New Roman"/>
                <w:sz w:val="24"/>
              </w:rPr>
              <w:t>ZMOS</w:t>
            </w:r>
            <w:r>
              <w:rPr>
                <w:b w:val="off"/>
                <w:color w:val="000000"/>
                <w:rFonts w:ascii="Times New Roman" w:hAnsi="Times New Roman" w:cs="Times New Roman" w:eastAsia="Times New Roman"/>
                <w:sz w:val="24"/>
              </w:rPr>
              <w:t xml:space="preserve"> – Združenie miest a obcí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46.</w:t>
            </w:r>
          </w:p>
        </w:tc>
        <w:tc>
          <w:tcPr>
            <w:vAlign w:val="top"/>
          </w:tcPr>
          <w:p>
            <w:pPr>
              <w:spacing w:after="0"/>
              <w:jc w:val="start"/>
            </w:pPr>
            <w:r>
              <w:rPr>
                <w:b w:val="on"/>
                <w:color w:val="000000"/>
                <w:rFonts w:ascii="Times New Roman" w:hAnsi="Times New Roman" w:cs="Times New Roman" w:eastAsia="Times New Roman"/>
                <w:sz w:val="24"/>
              </w:rPr>
              <w:t>hlavné mesto</w:t>
            </w:r>
            <w:r>
              <w:rPr>
                <w:b w:val="off"/>
                <w:color w:val="000000"/>
                <w:rFonts w:ascii="Times New Roman" w:hAnsi="Times New Roman" w:cs="Times New Roman" w:eastAsia="Times New Roman"/>
                <w:sz w:val="24"/>
              </w:rPr>
              <w:t xml:space="preserve"> – Hlavné mesto Slovenskej republiky Bratislava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47.</w:t>
            </w:r>
          </w:p>
        </w:tc>
        <w:tc>
          <w:tcPr>
            <w:vAlign w:val="top"/>
          </w:tcPr>
          <w:p>
            <w:pPr>
              <w:spacing w:after="0"/>
              <w:jc w:val="start"/>
            </w:pPr>
            <w:r>
              <w:rPr>
                <w:b w:val="on"/>
                <w:color w:val="000000"/>
                <w:rFonts w:ascii="Times New Roman" w:hAnsi="Times New Roman" w:cs="Times New Roman" w:eastAsia="Times New Roman"/>
                <w:sz w:val="24"/>
              </w:rPr>
              <w:t>ÚDZS</w:t>
            </w:r>
            <w:r>
              <w:rPr>
                <w:b w:val="off"/>
                <w:color w:val="000000"/>
                <w:rFonts w:ascii="Times New Roman" w:hAnsi="Times New Roman" w:cs="Times New Roman" w:eastAsia="Times New Roman"/>
                <w:sz w:val="24"/>
              </w:rPr>
              <w:t xml:space="preserve"> – Úrad pre dohľad nad zdravotnou starostlivosťou</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48.</w:t>
            </w:r>
          </w:p>
        </w:tc>
        <w:tc>
          <w:tcPr>
            <w:vAlign w:val="top"/>
          </w:tcPr>
          <w:p>
            <w:pPr>
              <w:spacing w:after="0"/>
              <w:jc w:val="start"/>
            </w:pPr>
            <w:r>
              <w:rPr>
                <w:b w:val="on"/>
                <w:color w:val="000000"/>
                <w:rFonts w:ascii="Times New Roman" w:hAnsi="Times New Roman" w:cs="Times New Roman" w:eastAsia="Times New Roman"/>
                <w:sz w:val="24"/>
              </w:rPr>
              <w:t>ÚGKKSR</w:t>
            </w:r>
            <w:r>
              <w:rPr>
                <w:b w:val="off"/>
                <w:color w:val="000000"/>
                <w:rFonts w:ascii="Times New Roman" w:hAnsi="Times New Roman" w:cs="Times New Roman" w:eastAsia="Times New Roman"/>
                <w:sz w:val="24"/>
              </w:rPr>
              <w:t xml:space="preserve"> – Úrad geodézie, kartografie a katastra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49.</w:t>
            </w:r>
          </w:p>
        </w:tc>
        <w:tc>
          <w:tcPr>
            <w:vAlign w:val="top"/>
          </w:tcPr>
          <w:p>
            <w:pPr>
              <w:spacing w:after="0"/>
              <w:jc w:val="start"/>
            </w:pPr>
            <w:r>
              <w:rPr>
                <w:b w:val="on"/>
                <w:color w:val="000000"/>
                <w:rFonts w:ascii="Times New Roman" w:hAnsi="Times New Roman" w:cs="Times New Roman" w:eastAsia="Times New Roman"/>
                <w:sz w:val="24"/>
              </w:rPr>
              <w:t>ÚJDSR</w:t>
            </w:r>
            <w:r>
              <w:rPr>
                <w:b w:val="off"/>
                <w:color w:val="000000"/>
                <w:rFonts w:ascii="Times New Roman" w:hAnsi="Times New Roman" w:cs="Times New Roman" w:eastAsia="Times New Roman"/>
                <w:sz w:val="24"/>
              </w:rPr>
              <w:t xml:space="preserve"> – Úrad jadrového dozoru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50.</w:t>
            </w:r>
          </w:p>
        </w:tc>
        <w:tc>
          <w:tcPr>
            <w:vAlign w:val="top"/>
          </w:tcPr>
          <w:p>
            <w:pPr>
              <w:spacing w:after="0"/>
              <w:jc w:val="start"/>
            </w:pPr>
            <w:r>
              <w:rPr>
                <w:b w:val="on"/>
                <w:color w:val="000000"/>
                <w:rFonts w:ascii="Times New Roman" w:hAnsi="Times New Roman" w:cs="Times New Roman" w:eastAsia="Times New Roman"/>
                <w:sz w:val="24"/>
              </w:rPr>
              <w:t>ÚMS</w:t>
            </w:r>
            <w:r>
              <w:rPr>
                <w:b w:val="off"/>
                <w:color w:val="000000"/>
                <w:rFonts w:ascii="Times New Roman" w:hAnsi="Times New Roman" w:cs="Times New Roman" w:eastAsia="Times New Roman"/>
                <w:sz w:val="24"/>
              </w:rPr>
              <w:t xml:space="preserve"> – Únia miest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51.</w:t>
            </w:r>
          </w:p>
        </w:tc>
        <w:tc>
          <w:tcPr>
            <w:vAlign w:val="top"/>
          </w:tcPr>
          <w:p>
            <w:pPr>
              <w:spacing w:after="0"/>
              <w:jc w:val="start"/>
            </w:pPr>
            <w:r>
              <w:rPr>
                <w:b w:val="on"/>
                <w:color w:val="000000"/>
                <w:rFonts w:ascii="Times New Roman" w:hAnsi="Times New Roman" w:cs="Times New Roman" w:eastAsia="Times New Roman"/>
                <w:sz w:val="24"/>
              </w:rPr>
              <w:t>ÚNMSSR</w:t>
            </w:r>
            <w:r>
              <w:rPr>
                <w:b w:val="off"/>
                <w:color w:val="000000"/>
                <w:rFonts w:ascii="Times New Roman" w:hAnsi="Times New Roman" w:cs="Times New Roman" w:eastAsia="Times New Roman"/>
                <w:sz w:val="24"/>
              </w:rPr>
              <w:t xml:space="preserve"> – Úrad pre normalizáciu,  metrológiu a skúšobníctvo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52.</w:t>
            </w:r>
          </w:p>
        </w:tc>
        <w:tc>
          <w:tcPr>
            <w:vAlign w:val="top"/>
          </w:tcPr>
          <w:p>
            <w:pPr>
              <w:spacing w:after="0"/>
              <w:jc w:val="start"/>
            </w:pPr>
            <w:r>
              <w:rPr>
                <w:b w:val="on"/>
                <w:color w:val="000000"/>
                <w:rFonts w:ascii="Times New Roman" w:hAnsi="Times New Roman" w:cs="Times New Roman" w:eastAsia="Times New Roman"/>
                <w:sz w:val="24"/>
              </w:rPr>
              <w:t>ÚPVSR</w:t>
            </w:r>
            <w:r>
              <w:rPr>
                <w:b w:val="off"/>
                <w:color w:val="000000"/>
                <w:rFonts w:ascii="Times New Roman" w:hAnsi="Times New Roman" w:cs="Times New Roman" w:eastAsia="Times New Roman"/>
                <w:sz w:val="24"/>
              </w:rPr>
              <w:t xml:space="preserve"> – Úrad priemyselného vlastníctva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53.</w:t>
            </w:r>
          </w:p>
        </w:tc>
        <w:tc>
          <w:tcPr>
            <w:vAlign w:val="top"/>
          </w:tcPr>
          <w:p>
            <w:pPr>
              <w:spacing w:after="0"/>
              <w:jc w:val="start"/>
            </w:pPr>
            <w:r>
              <w:rPr>
                <w:b w:val="on"/>
                <w:color w:val="000000"/>
                <w:rFonts w:ascii="Times New Roman" w:hAnsi="Times New Roman" w:cs="Times New Roman" w:eastAsia="Times New Roman"/>
                <w:sz w:val="24"/>
              </w:rPr>
              <w:t>ÚVO</w:t>
            </w:r>
            <w:r>
              <w:rPr>
                <w:b w:val="off"/>
                <w:color w:val="000000"/>
                <w:rFonts w:ascii="Times New Roman" w:hAnsi="Times New Roman" w:cs="Times New Roman" w:eastAsia="Times New Roman"/>
                <w:sz w:val="24"/>
              </w:rPr>
              <w:t xml:space="preserve"> – Úrad pre verejné obstarávanie</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54.</w:t>
            </w:r>
          </w:p>
        </w:tc>
        <w:tc>
          <w:tcPr>
            <w:vAlign w:val="top"/>
          </w:tcPr>
          <w:p>
            <w:pPr>
              <w:spacing w:after="0"/>
              <w:jc w:val="start"/>
            </w:pPr>
            <w:r>
              <w:rPr>
                <w:b w:val="on"/>
                <w:color w:val="000000"/>
                <w:rFonts w:ascii="Times New Roman" w:hAnsi="Times New Roman" w:cs="Times New Roman" w:eastAsia="Times New Roman"/>
                <w:sz w:val="24"/>
              </w:rPr>
              <w:t>ÚVSR</w:t>
            </w:r>
            <w:r>
              <w:rPr>
                <w:b w:val="off"/>
                <w:color w:val="000000"/>
                <w:rFonts w:ascii="Times New Roman" w:hAnsi="Times New Roman" w:cs="Times New Roman" w:eastAsia="Times New Roman"/>
                <w:sz w:val="24"/>
              </w:rPr>
              <w:t xml:space="preserve"> – Úrad vlády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55.</w:t>
            </w:r>
          </w:p>
        </w:tc>
        <w:tc>
          <w:tcPr>
            <w:vAlign w:val="top"/>
          </w:tcPr>
          <w:p>
            <w:pPr>
              <w:spacing w:after="0"/>
              <w:jc w:val="start"/>
            </w:pPr>
            <w:r>
              <w:rPr>
                <w:b w:val="on"/>
                <w:color w:val="000000"/>
                <w:rFonts w:ascii="Times New Roman" w:hAnsi="Times New Roman" w:cs="Times New Roman" w:eastAsia="Times New Roman"/>
                <w:sz w:val="24"/>
              </w:rPr>
              <w:t>Ústavný súd SR</w:t>
            </w:r>
            <w:r>
              <w:rPr>
                <w:b w:val="off"/>
                <w:color w:val="000000"/>
                <w:rFonts w:ascii="Times New Roman" w:hAnsi="Times New Roman" w:cs="Times New Roman" w:eastAsia="Times New Roman"/>
                <w:sz w:val="24"/>
              </w:rPr>
              <w:t xml:space="preserve"> – Kancelária Ústavného súdu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56.</w:t>
            </w:r>
          </w:p>
        </w:tc>
        <w:tc>
          <w:tcPr>
            <w:vAlign w:val="top"/>
          </w:tcPr>
          <w:p>
            <w:pPr>
              <w:spacing w:after="0"/>
              <w:jc w:val="start"/>
            </w:pPr>
            <w:r>
              <w:rPr>
                <w:b w:val="on"/>
                <w:color w:val="000000"/>
                <w:rFonts w:ascii="Times New Roman" w:hAnsi="Times New Roman" w:cs="Times New Roman" w:eastAsia="Times New Roman"/>
                <w:sz w:val="24"/>
              </w:rPr>
              <w:t>ŠÚSR</w:t>
            </w:r>
            <w:r>
              <w:rPr>
                <w:b w:val="off"/>
                <w:color w:val="000000"/>
                <w:rFonts w:ascii="Times New Roman" w:hAnsi="Times New Roman" w:cs="Times New Roman" w:eastAsia="Times New Roman"/>
                <w:sz w:val="24"/>
              </w:rPr>
              <w:t xml:space="preserve"> – Štatistický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57.</w:t>
            </w:r>
          </w:p>
        </w:tc>
        <w:tc>
          <w:tcPr>
            <w:vAlign w:val="top"/>
          </w:tcPr>
          <w:p>
            <w:pPr>
              <w:spacing w:after="0"/>
              <w:jc w:val="start"/>
            </w:pPr>
            <w:r>
              <w:rPr>
                <w:b w:val="on"/>
                <w:color w:val="000000"/>
                <w:rFonts w:ascii="Times New Roman" w:hAnsi="Times New Roman" w:cs="Times New Roman" w:eastAsia="Times New Roman"/>
                <w:sz w:val="24"/>
              </w:rPr>
              <w:t>ŽSK</w:t>
            </w:r>
            <w:r>
              <w:rPr>
                <w:b w:val="off"/>
                <w:color w:val="000000"/>
                <w:rFonts w:ascii="Times New Roman" w:hAnsi="Times New Roman" w:cs="Times New Roman" w:eastAsia="Times New Roman"/>
                <w:sz w:val="24"/>
              </w:rPr>
              <w:t xml:space="preserve"> – Žilinský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
            </w:r>
          </w:p>
        </w:tc>
        <w:tc>
          <w:tcPr>
            <w:vAlign w:val="center"/>
          </w:tcPr>
          <w:p>
            <w:pPr>
              <w:spacing w:after="0"/>
              <w:jc w:val="start"/>
            </w:pPr>
            <w:r>
              <w:rPr>
                <w:b w:val="on"/>
                <w:color w:val="000000"/>
                <w:rFonts w:ascii="Times New Roman" w:hAnsi="Times New Roman" w:cs="Times New Roman" w:eastAsia="Times New Roman"/>
                <w:sz w:val="24"/>
              </w:rPr>
              <w:t>Spolu</w:t>
            </w:r>
          </w:p>
        </w:tc>
        <w:tc>
          <w:tcPr>
            <w:vAlign w:val="center"/>
          </w:tcPr>
          <w:p>
            <w:pPr>
              <w:spacing w:after="0"/>
              <w:jc w:val="center"/>
            </w:pPr>
            <w:r>
              <w:rPr>
                <w:b w:val="on"/>
                <w:color w:val="000000"/>
                <w:rFonts w:ascii="Times New Roman" w:hAnsi="Times New Roman" w:cs="Times New Roman" w:eastAsia="Times New Roman"/>
                <w:sz w:val="24"/>
              </w:rPr>
              <w:t>21 (20o, 1z)</w:t>
            </w:r>
          </w:p>
        </w:tc>
        <w:tc>
          <w:tcPr>
            <w:vAlign w:val="center"/>
          </w:tcPr>
          <w:p>
            <w:pPr>
              <w:spacing w:after="0"/>
              <w:jc w:val="center"/>
            </w:pPr>
            <w:r>
              <w:rPr>
                <w:b w:val="on"/>
                <w:color w:val="000000"/>
                <w:rFonts w:ascii="Times New Roman" w:hAnsi="Times New Roman" w:cs="Times New Roman" w:eastAsia="Times New Roman"/>
                <w:sz w:val="24"/>
              </w:rPr>
              <w:t>0 (0o, 0z)</w:t>
            </w:r>
          </w:p>
        </w:tc>
        <w:tc>
          <w:tcPr>
            <w:vAlign w:val="center"/>
          </w:tcPr>
          <w:p>
            <w:pPr>
              <w:spacing w:after="0"/>
              <w:jc w:val="center"/>
            </w:pPr>
            <w:r>
              <w:rPr>
                <w:b w:val="on"/>
                <w:color w:val="000000"/>
                <w:rFonts w:ascii="Times New Roman" w:hAnsi="Times New Roman" w:cs="Times New Roman" w:eastAsia="Times New Roman"/>
                <w:sz w:val="24"/>
              </w:rPr>
              <w:t>16</w:t>
            </w:r>
          </w:p>
        </w:tc>
        <w:tc>
          <w:tcPr>
            <w:vAlign w:val="center"/>
          </w:tcPr>
          <w:p>
            <w:pPr>
              <w:spacing w:after="0"/>
              <w:jc w:val="center"/>
            </w:pPr>
            <w:r>
              <w:rPr>
                <w:b w:val="on"/>
                <w:color w:val="000000"/>
                <w:rFonts w:ascii="Times New Roman" w:hAnsi="Times New Roman" w:cs="Times New Roman" w:eastAsia="Times New Roman"/>
                <w:sz w:val="24"/>
              </w:rPr>
              <w:t>31</w:t>
            </w:r>
          </w:p>
        </w:tc>
      </w:tr>
    </w:tbl>
    <w:p w14:paraId="1D280440" w14:textId="77777777" w:rsidR="008960F8" w:rsidRPr="00677591" w:rsidRDefault="008960F8" w:rsidP="00C00CF3">
      <w:pPr>
        <w:spacing w:after="0"/>
        <w:rPr>
          <w:rFonts w:ascii="Times New Roman" w:hAnsi="Times New Roman" w:cs="Times New Roman"/>
          <w:sz w:val="24"/>
          <w:szCs w:val="24"/>
          <w:lang w:val="en-US"/>
        </w:rPr>
      </w:pPr>
    </w:p>
    <w:sectPr w:rsidR="008960F8" w:rsidRPr="00677591" w:rsidSect="00362D69">
      <w:headerReference w:type="first" r:id="rId8"/>
      <w:footerReference w:type="first" r:id="rId9"/>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292465" w14:textId="77777777" w:rsidR="006D051F" w:rsidRPr="00785E8D" w:rsidRDefault="006D051F" w:rsidP="00E66622">
      <w:pPr>
        <w:spacing w:after="0" w:line="240" w:lineRule="auto"/>
      </w:pPr>
      <w:r w:rsidRPr="00785E8D">
        <w:separator/>
      </w:r>
    </w:p>
  </w:endnote>
  <w:endnote w:type="continuationSeparator" w:id="0">
    <w:p w14:paraId="72C637E6" w14:textId="77777777" w:rsidR="006D051F" w:rsidRPr="00785E8D" w:rsidRDefault="006D051F" w:rsidP="00E66622">
      <w:pPr>
        <w:spacing w:after="0" w:line="240" w:lineRule="auto"/>
      </w:pPr>
      <w:r w:rsidRPr="00785E8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274362024"/>
      <w:docPartObj>
        <w:docPartGallery w:val="Page Numbers (Bottom of Page)"/>
        <w:docPartUnique/>
      </w:docPartObj>
    </w:sdtPr>
    <w:sdtEndPr>
      <w:rPr>
        <w:rFonts w:ascii="Times New Roman" w:hAnsi="Times New Roman"/>
        <w:noProof/>
      </w:rPr>
    </w:sdtEndPr>
    <w:sdtContent>
      <w:p w14:paraId="45945688" w14:textId="3489CFEE" w:rsidR="00362D69" w:rsidRPr="00362D69" w:rsidRDefault="00362D69">
        <w:pPr>
          <w:pStyle w:val="Footer"/>
          <w:jc w:val="center"/>
          <w:rPr>
            <w:rFonts w:ascii="Times New Roman" w:hAnsi="Times New Roman"/>
          </w:rPr>
        </w:pPr>
        <w:r w:rsidRPr="00362D69">
          <w:rPr>
            <w:rFonts w:ascii="Times New Roman" w:hAnsi="Times New Roman"/>
            <w:noProof w:val="0"/>
          </w:rPr>
          <w:fldChar w:fldCharType="begin"/>
        </w:r>
        <w:r w:rsidRPr="00362D69">
          <w:rPr>
            <w:rFonts w:ascii="Times New Roman" w:hAnsi="Times New Roman"/>
          </w:rPr>
          <w:instrText xml:space="preserve"> PAGE   \* MERGEFORMAT </w:instrText>
        </w:r>
        <w:r w:rsidRPr="00362D69">
          <w:rPr>
            <w:rFonts w:ascii="Times New Roman" w:hAnsi="Times New Roman"/>
            <w:noProof w:val="0"/>
          </w:rPr>
          <w:fldChar w:fldCharType="separate"/>
        </w:r>
        <w:r w:rsidRPr="00362D69">
          <w:rPr>
            <w:rFonts w:ascii="Times New Roman" w:hAnsi="Times New Roman"/>
          </w:rPr>
          <w:t>2</w:t>
        </w:r>
        <w:r w:rsidRPr="00362D69">
          <w:rPr>
            <w:rFonts w:ascii="Times New Roman" w:hAnsi="Times New Roman"/>
          </w:rPr>
          <w:fldChar w:fldCharType="end"/>
        </w:r>
      </w:p>
    </w:sdtContent>
  </w:sdt>
  <w:p w14:paraId="1A536CAE" w14:textId="77777777" w:rsidR="00362D69" w:rsidRDefault="00362D6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709146490"/>
      <w:docPartObj>
        <w:docPartGallery w:val="Page Numbers (Bottom of Page)"/>
        <w:docPartUnique/>
      </w:docPartObj>
    </w:sdtPr>
    <w:sdtEndPr>
      <w:rPr>
        <w:rFonts w:ascii="Times New Roman" w:hAnsi="Times New Roman" w:cs="Times New Roman"/>
        <w:noProof/>
      </w:rPr>
    </w:sdtEndPr>
    <w:sdtContent>
      <w:p w14:paraId="487DCFBA" w14:textId="77777777" w:rsidR="00362D69" w:rsidRPr="003E3F51" w:rsidRDefault="00362D69">
        <w:pPr>
          <w:pStyle w:val="Footer"/>
          <w:jc w:val="center"/>
          <w:rPr>
            <w:rFonts w:ascii="Times New Roman" w:hAnsi="Times New Roman" w:cs="Times New Roman"/>
          </w:rPr>
        </w:pPr>
        <w:r w:rsidRPr="003E3F51">
          <w:rPr>
            <w:rFonts w:ascii="Times New Roman" w:hAnsi="Times New Roman" w:cs="Times New Roman"/>
            <w:noProof w:val="0"/>
          </w:rPr>
          <w:fldChar w:fldCharType="begin"/>
        </w:r>
        <w:r w:rsidRPr="003E3F51">
          <w:rPr>
            <w:rFonts w:ascii="Times New Roman" w:hAnsi="Times New Roman" w:cs="Times New Roman"/>
          </w:rPr>
          <w:instrText xml:space="preserve"> PAGE   \* MERGEFORMAT </w:instrText>
        </w:r>
        <w:r w:rsidRPr="003E3F51">
          <w:rPr>
            <w:rFonts w:ascii="Times New Roman" w:hAnsi="Times New Roman" w:cs="Times New Roman"/>
            <w:noProof w:val="0"/>
          </w:rPr>
          <w:fldChar w:fldCharType="separate"/>
        </w:r>
        <w:r w:rsidRPr="003E3F51">
          <w:rPr>
            <w:rFonts w:ascii="Times New Roman" w:hAnsi="Times New Roman" w:cs="Times New Roman"/>
          </w:rPr>
          <w:t>2</w:t>
        </w:r>
        <w:r w:rsidRPr="003E3F51">
          <w:rPr>
            <w:rFonts w:ascii="Times New Roman" w:hAnsi="Times New Roman" w:cs="Times New Roman"/>
          </w:rPr>
          <w:fldChar w:fldCharType="end"/>
        </w:r>
      </w:p>
    </w:sdtContent>
  </w:sdt>
  <w:p w14:paraId="1D96E3B8" w14:textId="77777777" w:rsidR="00362D69" w:rsidRDefault="00362D69" w:rsidP="00FD38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7C60E1" w14:textId="77777777" w:rsidR="006D051F" w:rsidRPr="00785E8D" w:rsidRDefault="006D051F" w:rsidP="00E66622">
      <w:pPr>
        <w:spacing w:after="0" w:line="240" w:lineRule="auto"/>
      </w:pPr>
      <w:r w:rsidRPr="00785E8D">
        <w:separator/>
      </w:r>
    </w:p>
  </w:footnote>
  <w:footnote w:type="continuationSeparator" w:id="0">
    <w:p w14:paraId="1ED6E918" w14:textId="77777777" w:rsidR="006D051F" w:rsidRPr="00785E8D" w:rsidRDefault="006D051F" w:rsidP="00E66622">
      <w:pPr>
        <w:spacing w:after="0" w:line="240" w:lineRule="auto"/>
      </w:pPr>
      <w:r w:rsidRPr="00785E8D">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C88A22" w14:textId="77777777" w:rsidR="00362D69" w:rsidRDefault="00362D6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1A93"/>
    <w:rsid w:val="00011D51"/>
    <w:rsid w:val="0001352E"/>
    <w:rsid w:val="00047E84"/>
    <w:rsid w:val="00050137"/>
    <w:rsid w:val="0006133B"/>
    <w:rsid w:val="000A2F5F"/>
    <w:rsid w:val="000B16EA"/>
    <w:rsid w:val="000B2D78"/>
    <w:rsid w:val="000C172E"/>
    <w:rsid w:val="000D3CA3"/>
    <w:rsid w:val="000D5402"/>
    <w:rsid w:val="001228AD"/>
    <w:rsid w:val="00131490"/>
    <w:rsid w:val="00131742"/>
    <w:rsid w:val="001433FA"/>
    <w:rsid w:val="00146A7D"/>
    <w:rsid w:val="00176679"/>
    <w:rsid w:val="0019276A"/>
    <w:rsid w:val="001B1BE3"/>
    <w:rsid w:val="001D2B4E"/>
    <w:rsid w:val="001E50FA"/>
    <w:rsid w:val="001E6254"/>
    <w:rsid w:val="001F2C94"/>
    <w:rsid w:val="001F5D28"/>
    <w:rsid w:val="001F777F"/>
    <w:rsid w:val="00215E64"/>
    <w:rsid w:val="00231554"/>
    <w:rsid w:val="00237490"/>
    <w:rsid w:val="00245F36"/>
    <w:rsid w:val="0026614F"/>
    <w:rsid w:val="002715E0"/>
    <w:rsid w:val="00273DAE"/>
    <w:rsid w:val="0029170C"/>
    <w:rsid w:val="00295E6A"/>
    <w:rsid w:val="002A0A58"/>
    <w:rsid w:val="002A4482"/>
    <w:rsid w:val="002D3B5E"/>
    <w:rsid w:val="002E17D6"/>
    <w:rsid w:val="002F4660"/>
    <w:rsid w:val="002F717D"/>
    <w:rsid w:val="003034A4"/>
    <w:rsid w:val="00303CA7"/>
    <w:rsid w:val="00335FFB"/>
    <w:rsid w:val="00343965"/>
    <w:rsid w:val="00362D69"/>
    <w:rsid w:val="003640A5"/>
    <w:rsid w:val="003A59FA"/>
    <w:rsid w:val="003C31D4"/>
    <w:rsid w:val="003E3F51"/>
    <w:rsid w:val="003E641E"/>
    <w:rsid w:val="003E7146"/>
    <w:rsid w:val="003F1216"/>
    <w:rsid w:val="003F37C1"/>
    <w:rsid w:val="004050CF"/>
    <w:rsid w:val="00405348"/>
    <w:rsid w:val="00434080"/>
    <w:rsid w:val="00461B69"/>
    <w:rsid w:val="0048545F"/>
    <w:rsid w:val="004A12EE"/>
    <w:rsid w:val="004A48F0"/>
    <w:rsid w:val="004A62B8"/>
    <w:rsid w:val="004B4188"/>
    <w:rsid w:val="004C6C3C"/>
    <w:rsid w:val="004E0BF7"/>
    <w:rsid w:val="004F10FF"/>
    <w:rsid w:val="004F4092"/>
    <w:rsid w:val="00500EBD"/>
    <w:rsid w:val="00506E0B"/>
    <w:rsid w:val="00511A3C"/>
    <w:rsid w:val="00513767"/>
    <w:rsid w:val="005146CA"/>
    <w:rsid w:val="005259A1"/>
    <w:rsid w:val="0053699B"/>
    <w:rsid w:val="00550D13"/>
    <w:rsid w:val="00583F11"/>
    <w:rsid w:val="0059287B"/>
    <w:rsid w:val="005B618C"/>
    <w:rsid w:val="005C0A7E"/>
    <w:rsid w:val="005C4CF5"/>
    <w:rsid w:val="005E6A45"/>
    <w:rsid w:val="005F3B1C"/>
    <w:rsid w:val="005F3E6F"/>
    <w:rsid w:val="005F5908"/>
    <w:rsid w:val="00602231"/>
    <w:rsid w:val="006031E3"/>
    <w:rsid w:val="00634468"/>
    <w:rsid w:val="006371D1"/>
    <w:rsid w:val="00641DD8"/>
    <w:rsid w:val="006434AC"/>
    <w:rsid w:val="00664F3B"/>
    <w:rsid w:val="00677591"/>
    <w:rsid w:val="00695857"/>
    <w:rsid w:val="006C2D6E"/>
    <w:rsid w:val="006D051F"/>
    <w:rsid w:val="0070694E"/>
    <w:rsid w:val="00707B3A"/>
    <w:rsid w:val="0072062B"/>
    <w:rsid w:val="00724A0E"/>
    <w:rsid w:val="00726A34"/>
    <w:rsid w:val="00727704"/>
    <w:rsid w:val="00745443"/>
    <w:rsid w:val="00754CB0"/>
    <w:rsid w:val="0077472A"/>
    <w:rsid w:val="00774ED8"/>
    <w:rsid w:val="00776E62"/>
    <w:rsid w:val="00784062"/>
    <w:rsid w:val="00785E8D"/>
    <w:rsid w:val="00796E02"/>
    <w:rsid w:val="00796EBE"/>
    <w:rsid w:val="007C1A93"/>
    <w:rsid w:val="007C678D"/>
    <w:rsid w:val="007E7C38"/>
    <w:rsid w:val="007E7E01"/>
    <w:rsid w:val="007F53D4"/>
    <w:rsid w:val="0084532B"/>
    <w:rsid w:val="0087153C"/>
    <w:rsid w:val="008741FE"/>
    <w:rsid w:val="00876D47"/>
    <w:rsid w:val="008960F8"/>
    <w:rsid w:val="008C2612"/>
    <w:rsid w:val="008C63F3"/>
    <w:rsid w:val="008D299D"/>
    <w:rsid w:val="008E0404"/>
    <w:rsid w:val="008F1FF3"/>
    <w:rsid w:val="00913D14"/>
    <w:rsid w:val="00917A99"/>
    <w:rsid w:val="00925ABD"/>
    <w:rsid w:val="009275DB"/>
    <w:rsid w:val="00932936"/>
    <w:rsid w:val="00947810"/>
    <w:rsid w:val="00980D7A"/>
    <w:rsid w:val="009912BF"/>
    <w:rsid w:val="00995007"/>
    <w:rsid w:val="009B0C1F"/>
    <w:rsid w:val="009B1491"/>
    <w:rsid w:val="009D152C"/>
    <w:rsid w:val="009D32B4"/>
    <w:rsid w:val="009D3FBE"/>
    <w:rsid w:val="009F35D2"/>
    <w:rsid w:val="00A070EB"/>
    <w:rsid w:val="00A6034C"/>
    <w:rsid w:val="00A61348"/>
    <w:rsid w:val="00A80C4C"/>
    <w:rsid w:val="00A81039"/>
    <w:rsid w:val="00AD6CAE"/>
    <w:rsid w:val="00AE09D4"/>
    <w:rsid w:val="00AF678C"/>
    <w:rsid w:val="00B02EF2"/>
    <w:rsid w:val="00B0310C"/>
    <w:rsid w:val="00B11932"/>
    <w:rsid w:val="00B13C0C"/>
    <w:rsid w:val="00B41FEA"/>
    <w:rsid w:val="00B60148"/>
    <w:rsid w:val="00B74B69"/>
    <w:rsid w:val="00B8742A"/>
    <w:rsid w:val="00B946A0"/>
    <w:rsid w:val="00BD7F55"/>
    <w:rsid w:val="00BE323C"/>
    <w:rsid w:val="00BF207A"/>
    <w:rsid w:val="00C00CF3"/>
    <w:rsid w:val="00C42676"/>
    <w:rsid w:val="00C43D79"/>
    <w:rsid w:val="00C53F43"/>
    <w:rsid w:val="00C62C70"/>
    <w:rsid w:val="00C84A5B"/>
    <w:rsid w:val="00CD7313"/>
    <w:rsid w:val="00D40591"/>
    <w:rsid w:val="00D44E47"/>
    <w:rsid w:val="00D466F6"/>
    <w:rsid w:val="00D50310"/>
    <w:rsid w:val="00D610D0"/>
    <w:rsid w:val="00D91683"/>
    <w:rsid w:val="00DA267A"/>
    <w:rsid w:val="00DD2850"/>
    <w:rsid w:val="00DD302E"/>
    <w:rsid w:val="00DD7CB5"/>
    <w:rsid w:val="00DE3F5A"/>
    <w:rsid w:val="00E06854"/>
    <w:rsid w:val="00E07639"/>
    <w:rsid w:val="00E078E8"/>
    <w:rsid w:val="00E11D16"/>
    <w:rsid w:val="00E245BC"/>
    <w:rsid w:val="00E37A37"/>
    <w:rsid w:val="00E41A2D"/>
    <w:rsid w:val="00E66622"/>
    <w:rsid w:val="00E741B6"/>
    <w:rsid w:val="00E92A50"/>
    <w:rsid w:val="00EA23A2"/>
    <w:rsid w:val="00EB4CEF"/>
    <w:rsid w:val="00ED6E83"/>
    <w:rsid w:val="00EE00C6"/>
    <w:rsid w:val="00F23986"/>
    <w:rsid w:val="00F273EE"/>
    <w:rsid w:val="00F456DC"/>
    <w:rsid w:val="00F727C3"/>
    <w:rsid w:val="00F758C6"/>
    <w:rsid w:val="00F8431B"/>
    <w:rsid w:val="00F85AB8"/>
    <w:rsid w:val="00F907A2"/>
    <w:rsid w:val="00FA016F"/>
    <w:rsid w:val="00FA0A5A"/>
    <w:rsid w:val="00FA40AE"/>
    <w:rsid w:val="00FC0831"/>
    <w:rsid w:val="00FD38D1"/>
    <w:rsid w:val="00FE16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32CD4F"/>
  <w15:docId w15:val="{800A4F65-FABE-47DB-AF8A-6E31DFCAB5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60F8"/>
    <w:rPr>
      <w:noProof/>
      <w:lang w:val="sk-S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66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6622"/>
  </w:style>
  <w:style w:type="paragraph" w:styleId="Footer">
    <w:name w:val="footer"/>
    <w:basedOn w:val="Normal"/>
    <w:link w:val="FooterChar"/>
    <w:uiPriority w:val="99"/>
    <w:unhideWhenUsed/>
    <w:rsid w:val="00E666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66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Relationships xmlns="http://schemas.openxmlformats.org/package/2006/relationships"><Relationship Id="rId1" Target="../customXml/item1.xml" Type="http://schemas.openxmlformats.org/officeDocument/2006/relationships/customXml"/><Relationship Id="rId10" Target="fontTable.xml" Type="http://schemas.openxmlformats.org/officeDocument/2006/relationships/fontTable"/><Relationship Id="rId11" Target="theme/theme1.xml" Type="http://schemas.openxmlformats.org/officeDocument/2006/relationships/theme"/><Relationship Id="rId2" Target="styles.xml" Type="http://schemas.openxmlformats.org/officeDocument/2006/relationships/styles"/><Relationship Id="rId3" Target="settings.xml" Type="http://schemas.openxmlformats.org/officeDocument/2006/relationships/settings"/><Relationship Id="rId4" Target="webSettings.xml" Type="http://schemas.openxmlformats.org/officeDocument/2006/relationships/webSettings"/><Relationship Id="rId5" Target="footnotes.xml" Type="http://schemas.openxmlformats.org/officeDocument/2006/relationships/footnotes"/><Relationship Id="rId6" Target="endnotes.xml" Type="http://schemas.openxmlformats.org/officeDocument/2006/relationships/endnotes"/><Relationship Id="rId7" Target="footer1.xml" Type="http://schemas.openxmlformats.org/officeDocument/2006/relationships/footer"/><Relationship Id="rId8" Target="header1.xml" Type="http://schemas.openxmlformats.org/officeDocument/2006/relationships/header"/><Relationship Id="rId9" Target="footer2.xml" Type="http://schemas.openxmlformats.org/officeDocument/2006/relationships/footer"/></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43904B-5DF0-4166-8157-7EF183BD17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127</TotalTime>
  <Pages>2</Pages>
  <Words>219</Words>
  <Characters>1250</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2024-12-11T14:15:00Z</dcterms:created>
  <dc:creator>Apache POI</dc:creator>
  <cp:lastModifiedBy>Mark M</cp:lastModifiedBy>
  <dcterms:modified xsi:type="dcterms:W3CDTF">2025-01-21T10:34:00Z</dcterms:modified>
  <cp:revision>80</cp:revision>
</cp:coreProperties>
</file>