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71925" w14:textId="77777777" w:rsidR="00575EE4" w:rsidRPr="00D713C1" w:rsidRDefault="00575EE4" w:rsidP="00E51502">
      <w:pPr>
        <w:spacing w:after="120"/>
        <w:jc w:val="center"/>
        <w:rPr>
          <w:b/>
          <w:caps/>
        </w:rPr>
      </w:pPr>
      <w:r w:rsidRPr="00D713C1">
        <w:rPr>
          <w:b/>
          <w:caps/>
        </w:rPr>
        <w:t xml:space="preserve">Predkladacia správa </w:t>
      </w:r>
    </w:p>
    <w:p w14:paraId="07BC8958" w14:textId="77777777" w:rsidR="00E51502" w:rsidRDefault="00E51502" w:rsidP="00E51502">
      <w:pPr>
        <w:spacing w:after="120"/>
        <w:jc w:val="both"/>
      </w:pPr>
    </w:p>
    <w:p w14:paraId="66EDB3D5" w14:textId="0FA74E4E" w:rsidR="00575EE4" w:rsidRDefault="00EF7EED" w:rsidP="001B1ADE">
      <w:pPr>
        <w:spacing w:after="120"/>
        <w:ind w:firstLine="708"/>
        <w:jc w:val="both"/>
      </w:pPr>
      <w:r>
        <w:t>Návrh zákona, ktorým sa</w:t>
      </w:r>
      <w:r w:rsidR="0052742B">
        <w:t xml:space="preserve"> mení a </w:t>
      </w:r>
      <w:r>
        <w:t>dopĺňa zákon č. 747/2004 Z. z. o dohľade nad finančným trhom a o zmene a doplnení niektorých zákonov v znení neskorších predpisov a ktorým sa men</w:t>
      </w:r>
      <w:r w:rsidR="008A0974">
        <w:t>í</w:t>
      </w:r>
      <w:r w:rsidR="00743556">
        <w:t xml:space="preserve"> a dopĺňa</w:t>
      </w:r>
      <w:r>
        <w:t xml:space="preserve"> </w:t>
      </w:r>
      <w:r w:rsidR="008A0974">
        <w:t>zákon č. 371/2014 Z. z. o riešení krízových situácií na finančnom trhu a o zmene a doplnení niektorých zákonov v znení neskorších predpisov</w:t>
      </w:r>
      <w:r w:rsidR="00292CEC">
        <w:t xml:space="preserve"> </w:t>
      </w:r>
      <w:r>
        <w:t xml:space="preserve">(ďalej len „návrh zákona“) vyplýva z potreby implementácie nariadenia (EÚ) 2024/3005 </w:t>
      </w:r>
      <w:r w:rsidR="00BE4727">
        <w:t xml:space="preserve">z 27. novembra 2024 </w:t>
      </w:r>
      <w:r>
        <w:t>o transparentnosti a integrite činností týkajúcich sa environmentálnych ratingov, sociálnych ratingov a ratingov v oblasti správy a riadenia ratingov (ratingov ESG)</w:t>
      </w:r>
      <w:r w:rsidR="00BE4727">
        <w:t xml:space="preserve"> a o zmene nariadení (EÚ) 2019/2088 a (EÚ) 2023/2859 (Ú. v. EÚ L, 2024/3005, 12.12.2024)</w:t>
      </w:r>
      <w:r>
        <w:t xml:space="preserve"> s cieľom určenia orgánu na úrovni členského štátu, ktorý bude vykonávať jednotlivé úlohy a aktivity vyplývajúce z nariadenia 202</w:t>
      </w:r>
      <w:r w:rsidR="001264F3">
        <w:t>4</w:t>
      </w:r>
      <w:r>
        <w:t>/3005.</w:t>
      </w:r>
    </w:p>
    <w:p w14:paraId="72A89B2A" w14:textId="77777777" w:rsidR="002A26EF" w:rsidRDefault="00EF7EED" w:rsidP="002A26EF">
      <w:pPr>
        <w:spacing w:after="120"/>
        <w:ind w:firstLine="708"/>
        <w:jc w:val="both"/>
      </w:pPr>
      <w:r>
        <w:t>Vo všeobecnosti dohľad nad poskytovateľmi ESG ratingov podľa predmetného nariadenia vykonáva orgán ESMA, ale tento orgán je oprávnený v určitých prípadoch definovaných v nariadení žiadať príslušné orgány na úrovni členských štátov (v prípade Slovenskej republiky Národnú banku Slovenska), aby vykonávali v jeho mene konkrétne vyšetrovacie úlohy a kontroly na mieste. Orgán ESM</w:t>
      </w:r>
      <w:r w:rsidR="00055497">
        <w:t>A</w:t>
      </w:r>
      <w:r>
        <w:t xml:space="preserve"> by mal zároveň na základe predmetného nariadenia informovať príslušné orgány členských štátov o vyšetrovaní na území členského štátu</w:t>
      </w:r>
      <w:r w:rsidR="002A26EF">
        <w:t>.</w:t>
      </w:r>
    </w:p>
    <w:p w14:paraId="48CC461F" w14:textId="0A1F6D16" w:rsidR="00EF7EED" w:rsidRDefault="00EF7EED" w:rsidP="002A26EF">
      <w:pPr>
        <w:spacing w:after="120"/>
        <w:ind w:firstLine="708"/>
        <w:jc w:val="both"/>
      </w:pPr>
      <w:r>
        <w:t xml:space="preserve">Podstatou zmien zákona je určenie Národnej banky Slovenska ako príslušného orgánu v Slovenskej republike, ktorý bude vykonávať vybrané úlohy a aktivity vyplývajúce z nariadenia. </w:t>
      </w:r>
    </w:p>
    <w:p w14:paraId="046C5565" w14:textId="145005B7" w:rsidR="005A3F74" w:rsidRDefault="00EF7EED" w:rsidP="00D4090E">
      <w:pPr>
        <w:spacing w:after="120"/>
        <w:ind w:firstLine="708"/>
        <w:jc w:val="both"/>
        <w:rPr>
          <w:color w:val="000000"/>
          <w:lang w:eastAsia="sk-SK"/>
        </w:rPr>
      </w:pPr>
      <w:r>
        <w:t xml:space="preserve">Súčasťou návrhu zákona je aj úprava vybraných </w:t>
      </w:r>
      <w:r w:rsidR="00D4090E">
        <w:t>ustanovení zákona č. 747/2004 Z. z. o dohľade nad finančným trhom a o zmene a doplnení niektorých zákonov v znení neskorších predpisov, ktoré vyplynuli z aplikačnej praxe.</w:t>
      </w:r>
      <w:r w:rsidR="005A3F74" w:rsidRPr="005A3F74">
        <w:rPr>
          <w:color w:val="000000"/>
          <w:lang w:eastAsia="sk-SK"/>
        </w:rPr>
        <w:t xml:space="preserve"> </w:t>
      </w:r>
    </w:p>
    <w:p w14:paraId="3721E9CA" w14:textId="391C73C9" w:rsidR="002A26EF" w:rsidRPr="002A26EF" w:rsidRDefault="00EF6D43" w:rsidP="002A26EF">
      <w:pPr>
        <w:spacing w:after="120"/>
        <w:ind w:firstLine="708"/>
        <w:jc w:val="both"/>
      </w:pPr>
      <w:r w:rsidRPr="00EF6D43">
        <w:t xml:space="preserve">Súčasťou návrhu sú aj legislatívne úpravy zákona č. 371/2014 Z. z. o riešení krízových situácií na finančnom trhu a o zmene a doplnení niektorých zákonov s cieľom odstrániť nedostatky </w:t>
      </w:r>
      <w:r w:rsidR="00C375E7">
        <w:t xml:space="preserve">transpozície čl. </w:t>
      </w:r>
      <w:r w:rsidR="00D12DC4">
        <w:t>2</w:t>
      </w:r>
      <w:r w:rsidRPr="00EF6D43">
        <w:t xml:space="preserve"> </w:t>
      </w:r>
      <w:r w:rsidR="00C375E7" w:rsidRPr="00C375E7">
        <w:t>Nariadeni</w:t>
      </w:r>
      <w:r w:rsidR="00C375E7">
        <w:t>a</w:t>
      </w:r>
      <w:r w:rsidR="00C375E7" w:rsidRPr="00C375E7">
        <w:t xml:space="preserve"> Európskeho parlamentu a Rady (EÚ) 2022/2036 z 19. októbra 2022, ktorým sa mení nariadenie (EÚ) č. 575/2013 a smernica 2014/59/EÚ, pokiaľ ide o </w:t>
      </w:r>
      <w:proofErr w:type="spellStart"/>
      <w:r w:rsidR="00C375E7" w:rsidRPr="00C375E7">
        <w:t>prudenciálne</w:t>
      </w:r>
      <w:proofErr w:type="spellEnd"/>
      <w:r w:rsidR="00C375E7" w:rsidRPr="00C375E7">
        <w:t xml:space="preserve"> zaobchádzanie s globálnymi systémovo významnými inštitúciami so stratégiou riešenia krízových situácií vo viacerých okamihoch a metódy nepriameho upisovania nástrojov oprávnených na splnenie minimálnej požiadavky na vlastné zdroje a oprávnené záväzky</w:t>
      </w:r>
      <w:r w:rsidR="00D12DC4">
        <w:t xml:space="preserve"> (Ú. v. EÚ L 275, 25.10.2022)</w:t>
      </w:r>
      <w:r w:rsidR="00C375E7">
        <w:t xml:space="preserve">, ktorým sa upravuje smernica </w:t>
      </w:r>
      <w:r w:rsidR="00C375E7" w:rsidRPr="00C375E7">
        <w:t>Európskeho parlamentu a Rady 2014/59/EÚ z  15. mája 2014, ktorou sa stanovuje rámec pre ozdravenie a riešenie krízových situácií úverových inštitúcií a investičných spoločností a ktorou sa mení smernica Rady 82/891/EHS a smernice Európskeho parlamentu a Rady 2001/24/ES, 2002/47/ES, 2004/25/ES, 2005/56/ES, 2007/36/ES, 2011/35/EÚ, 2012/30/EÚ a 2013/36/EÚ a nariadenia Európskeho parlamentu a Rady (EÚ) č. 1093/2010 a (EÚ) č. 648/2012</w:t>
      </w:r>
      <w:r w:rsidR="00D12DC4">
        <w:t xml:space="preserve"> (Ú. v. EÚ L 173, 12.6.2014) v platnom znení</w:t>
      </w:r>
      <w:r w:rsidR="00C375E7">
        <w:t>.</w:t>
      </w:r>
    </w:p>
    <w:p w14:paraId="0A494D05" w14:textId="1392BDFD" w:rsidR="002A26EF" w:rsidRDefault="0001575F" w:rsidP="002A26EF">
      <w:pPr>
        <w:spacing w:after="120"/>
        <w:ind w:firstLine="708"/>
        <w:jc w:val="both"/>
        <w:rPr>
          <w:color w:val="000000"/>
          <w:lang w:eastAsia="sk-SK"/>
        </w:rPr>
      </w:pPr>
      <w:r>
        <w:rPr>
          <w:color w:val="000000"/>
          <w:lang w:eastAsia="sk-SK"/>
        </w:rPr>
        <w:t>Návrh zákona je v súlade s Európskou chartou miestnej samosprávy.</w:t>
      </w:r>
    </w:p>
    <w:p w14:paraId="08073AC8" w14:textId="7958408C" w:rsidR="00BF3BEE" w:rsidRPr="00F76573" w:rsidRDefault="00F663FB" w:rsidP="00F76573">
      <w:pPr>
        <w:spacing w:after="120"/>
        <w:ind w:firstLine="708"/>
        <w:jc w:val="both"/>
        <w:rPr>
          <w:color w:val="000000"/>
          <w:lang w:eastAsia="sk-SK"/>
        </w:rPr>
      </w:pPr>
      <w:r>
        <w:t>Návrh zákona bol dňa 21. apríla 2026 prerokovaný a schválený Legislatívnou radou vlády Slovenskej republiky a na rokovanie vlády SR sa predkladá bez rozporov a so zapracovanými pripomienkami sekretariátu Legislatívnej rady vlády Slovenskej republiky.</w:t>
      </w:r>
    </w:p>
    <w:sectPr w:rsidR="00BF3BEE" w:rsidRPr="00F76573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E3260" w14:textId="77777777" w:rsidR="00BD42AD" w:rsidRDefault="00BD42AD" w:rsidP="00B81523">
      <w:r>
        <w:separator/>
      </w:r>
    </w:p>
  </w:endnote>
  <w:endnote w:type="continuationSeparator" w:id="0">
    <w:p w14:paraId="691A7377" w14:textId="77777777" w:rsidR="00BD42AD" w:rsidRDefault="00BD42AD" w:rsidP="00B81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64DD3" w14:textId="25C96F52" w:rsidR="00D4090E" w:rsidRDefault="00D4090E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8794F" w14:textId="02D44E38" w:rsidR="001B1ADE" w:rsidRPr="00B81523" w:rsidRDefault="00000000">
    <w:pPr>
      <w:pStyle w:val="Pta"/>
      <w:jc w:val="right"/>
      <w:rPr>
        <w:sz w:val="22"/>
        <w:szCs w:val="22"/>
      </w:rPr>
    </w:pPr>
    <w:sdt>
      <w:sdtPr>
        <w:id w:val="-2118896484"/>
        <w:docPartObj>
          <w:docPartGallery w:val="Page Numbers (Bottom of Page)"/>
          <w:docPartUnique/>
        </w:docPartObj>
      </w:sdtPr>
      <w:sdtEndPr>
        <w:rPr>
          <w:sz w:val="22"/>
          <w:szCs w:val="22"/>
        </w:rPr>
      </w:sdtEndPr>
      <w:sdtContent>
        <w:r w:rsidR="001B1ADE" w:rsidRPr="00B81523">
          <w:rPr>
            <w:sz w:val="22"/>
            <w:szCs w:val="22"/>
          </w:rPr>
          <w:fldChar w:fldCharType="begin"/>
        </w:r>
        <w:r w:rsidR="001B1ADE" w:rsidRPr="00B81523">
          <w:rPr>
            <w:sz w:val="22"/>
            <w:szCs w:val="22"/>
          </w:rPr>
          <w:instrText>PAGE   \* MERGEFORMAT</w:instrText>
        </w:r>
        <w:r w:rsidR="001B1ADE" w:rsidRPr="00B81523">
          <w:rPr>
            <w:sz w:val="22"/>
            <w:szCs w:val="22"/>
          </w:rPr>
          <w:fldChar w:fldCharType="separate"/>
        </w:r>
        <w:r w:rsidR="00E13C4A">
          <w:rPr>
            <w:noProof/>
            <w:sz w:val="22"/>
            <w:szCs w:val="22"/>
          </w:rPr>
          <w:t>2</w:t>
        </w:r>
        <w:r w:rsidR="001B1ADE" w:rsidRPr="00B81523">
          <w:rPr>
            <w:sz w:val="22"/>
            <w:szCs w:val="22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B299E" w14:textId="7EB1B75C" w:rsidR="00D4090E" w:rsidRDefault="00D4090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90BBE" w14:textId="77777777" w:rsidR="00BD42AD" w:rsidRDefault="00BD42AD" w:rsidP="00B81523">
      <w:r>
        <w:separator/>
      </w:r>
    </w:p>
  </w:footnote>
  <w:footnote w:type="continuationSeparator" w:id="0">
    <w:p w14:paraId="185FE3AF" w14:textId="77777777" w:rsidR="00BD42AD" w:rsidRDefault="00BD42AD" w:rsidP="00B815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47640"/>
    <w:multiLevelType w:val="hybridMultilevel"/>
    <w:tmpl w:val="84BA56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7443BA"/>
    <w:multiLevelType w:val="hybridMultilevel"/>
    <w:tmpl w:val="052A6E16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992AC8"/>
    <w:multiLevelType w:val="hybridMultilevel"/>
    <w:tmpl w:val="0944BB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9932EC"/>
    <w:multiLevelType w:val="hybridMultilevel"/>
    <w:tmpl w:val="81B452CC"/>
    <w:lvl w:ilvl="0" w:tplc="DBE8CE16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0A7D40"/>
    <w:multiLevelType w:val="hybridMultilevel"/>
    <w:tmpl w:val="A808CD78"/>
    <w:lvl w:ilvl="0" w:tplc="C0DC552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4598641">
    <w:abstractNumId w:val="2"/>
  </w:num>
  <w:num w:numId="2" w16cid:durableId="1327057548">
    <w:abstractNumId w:val="0"/>
  </w:num>
  <w:num w:numId="3" w16cid:durableId="2018531054">
    <w:abstractNumId w:val="4"/>
  </w:num>
  <w:num w:numId="4" w16cid:durableId="1144002339">
    <w:abstractNumId w:val="1"/>
  </w:num>
  <w:num w:numId="5" w16cid:durableId="9418416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EE4"/>
    <w:rsid w:val="0001575F"/>
    <w:rsid w:val="00017160"/>
    <w:rsid w:val="000205E8"/>
    <w:rsid w:val="000520C1"/>
    <w:rsid w:val="00055497"/>
    <w:rsid w:val="00064395"/>
    <w:rsid w:val="00067F37"/>
    <w:rsid w:val="00073A05"/>
    <w:rsid w:val="000761AC"/>
    <w:rsid w:val="000C29E7"/>
    <w:rsid w:val="000D2D43"/>
    <w:rsid w:val="000E06EC"/>
    <w:rsid w:val="000F5DA6"/>
    <w:rsid w:val="00120785"/>
    <w:rsid w:val="001264F3"/>
    <w:rsid w:val="0013724B"/>
    <w:rsid w:val="00175C32"/>
    <w:rsid w:val="001913F2"/>
    <w:rsid w:val="001B1ADE"/>
    <w:rsid w:val="001D7558"/>
    <w:rsid w:val="00206816"/>
    <w:rsid w:val="0023068D"/>
    <w:rsid w:val="00231B51"/>
    <w:rsid w:val="0024522C"/>
    <w:rsid w:val="00245859"/>
    <w:rsid w:val="0028302E"/>
    <w:rsid w:val="00292CEC"/>
    <w:rsid w:val="002A26EF"/>
    <w:rsid w:val="002C1040"/>
    <w:rsid w:val="002C5300"/>
    <w:rsid w:val="002D22B9"/>
    <w:rsid w:val="002D67AB"/>
    <w:rsid w:val="002E4E75"/>
    <w:rsid w:val="002E59A1"/>
    <w:rsid w:val="002F39DF"/>
    <w:rsid w:val="002F5D28"/>
    <w:rsid w:val="003558AF"/>
    <w:rsid w:val="00370149"/>
    <w:rsid w:val="003A0FF1"/>
    <w:rsid w:val="003B181D"/>
    <w:rsid w:val="003E5107"/>
    <w:rsid w:val="003F0185"/>
    <w:rsid w:val="0041351D"/>
    <w:rsid w:val="00460D0D"/>
    <w:rsid w:val="00487ECC"/>
    <w:rsid w:val="00494441"/>
    <w:rsid w:val="00497F26"/>
    <w:rsid w:val="004E0F33"/>
    <w:rsid w:val="004F3E68"/>
    <w:rsid w:val="0052742B"/>
    <w:rsid w:val="0053596B"/>
    <w:rsid w:val="00574912"/>
    <w:rsid w:val="00575C9D"/>
    <w:rsid w:val="00575EE4"/>
    <w:rsid w:val="00577192"/>
    <w:rsid w:val="00595BCF"/>
    <w:rsid w:val="005A0321"/>
    <w:rsid w:val="005A3F74"/>
    <w:rsid w:val="005D1D48"/>
    <w:rsid w:val="005E09BD"/>
    <w:rsid w:val="00635D76"/>
    <w:rsid w:val="006422D7"/>
    <w:rsid w:val="0064248E"/>
    <w:rsid w:val="006B0F37"/>
    <w:rsid w:val="006D52E6"/>
    <w:rsid w:val="006F3606"/>
    <w:rsid w:val="00743556"/>
    <w:rsid w:val="00744BBF"/>
    <w:rsid w:val="00774151"/>
    <w:rsid w:val="007762E7"/>
    <w:rsid w:val="007834C5"/>
    <w:rsid w:val="00783BB2"/>
    <w:rsid w:val="007A3AC1"/>
    <w:rsid w:val="007A54BA"/>
    <w:rsid w:val="007D4A94"/>
    <w:rsid w:val="0081385A"/>
    <w:rsid w:val="00856231"/>
    <w:rsid w:val="008A0974"/>
    <w:rsid w:val="008A6BEA"/>
    <w:rsid w:val="008C3272"/>
    <w:rsid w:val="008F2B3C"/>
    <w:rsid w:val="009059C5"/>
    <w:rsid w:val="0095537C"/>
    <w:rsid w:val="00963340"/>
    <w:rsid w:val="00983825"/>
    <w:rsid w:val="009C6E43"/>
    <w:rsid w:val="00A05A97"/>
    <w:rsid w:val="00A1114A"/>
    <w:rsid w:val="00A1166B"/>
    <w:rsid w:val="00A40F7F"/>
    <w:rsid w:val="00A73789"/>
    <w:rsid w:val="00A81EEE"/>
    <w:rsid w:val="00A91ABE"/>
    <w:rsid w:val="00AC0652"/>
    <w:rsid w:val="00AC07D2"/>
    <w:rsid w:val="00AE111B"/>
    <w:rsid w:val="00AE4709"/>
    <w:rsid w:val="00B26002"/>
    <w:rsid w:val="00B30435"/>
    <w:rsid w:val="00B347C8"/>
    <w:rsid w:val="00B40AB2"/>
    <w:rsid w:val="00B53DDF"/>
    <w:rsid w:val="00B77FAC"/>
    <w:rsid w:val="00B81523"/>
    <w:rsid w:val="00B820FA"/>
    <w:rsid w:val="00B94A93"/>
    <w:rsid w:val="00BB4851"/>
    <w:rsid w:val="00BD40D3"/>
    <w:rsid w:val="00BD42AD"/>
    <w:rsid w:val="00BE2A28"/>
    <w:rsid w:val="00BE415C"/>
    <w:rsid w:val="00BE4727"/>
    <w:rsid w:val="00BF3BEE"/>
    <w:rsid w:val="00C23C54"/>
    <w:rsid w:val="00C25B46"/>
    <w:rsid w:val="00C375E7"/>
    <w:rsid w:val="00C46E5A"/>
    <w:rsid w:val="00C57E01"/>
    <w:rsid w:val="00C74613"/>
    <w:rsid w:val="00C759BC"/>
    <w:rsid w:val="00CD6C34"/>
    <w:rsid w:val="00D00288"/>
    <w:rsid w:val="00D038D5"/>
    <w:rsid w:val="00D12DC4"/>
    <w:rsid w:val="00D40293"/>
    <w:rsid w:val="00D4090E"/>
    <w:rsid w:val="00D41782"/>
    <w:rsid w:val="00D4602D"/>
    <w:rsid w:val="00D60CAF"/>
    <w:rsid w:val="00D713C1"/>
    <w:rsid w:val="00D805AE"/>
    <w:rsid w:val="00D92880"/>
    <w:rsid w:val="00D954AE"/>
    <w:rsid w:val="00DB28C9"/>
    <w:rsid w:val="00DD624D"/>
    <w:rsid w:val="00DE1137"/>
    <w:rsid w:val="00DF5004"/>
    <w:rsid w:val="00E034E3"/>
    <w:rsid w:val="00E071E3"/>
    <w:rsid w:val="00E13C4A"/>
    <w:rsid w:val="00E24C50"/>
    <w:rsid w:val="00E51502"/>
    <w:rsid w:val="00E62698"/>
    <w:rsid w:val="00E66F3A"/>
    <w:rsid w:val="00E801F0"/>
    <w:rsid w:val="00E85D53"/>
    <w:rsid w:val="00E90CD8"/>
    <w:rsid w:val="00E94D0E"/>
    <w:rsid w:val="00E95E5A"/>
    <w:rsid w:val="00EF50AB"/>
    <w:rsid w:val="00EF6D43"/>
    <w:rsid w:val="00EF7EED"/>
    <w:rsid w:val="00F01722"/>
    <w:rsid w:val="00F25044"/>
    <w:rsid w:val="00F55BFE"/>
    <w:rsid w:val="00F663FB"/>
    <w:rsid w:val="00F672D8"/>
    <w:rsid w:val="00F76573"/>
    <w:rsid w:val="00F90FAD"/>
    <w:rsid w:val="00FB311F"/>
    <w:rsid w:val="00FB7CCE"/>
    <w:rsid w:val="00FE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4A3A1"/>
  <w15:docId w15:val="{122CDE9A-7E20-4C1B-AEFE-7FFCD4EC8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75E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575EE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75EE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Odsekzoznamu">
    <w:name w:val="List Paragraph"/>
    <w:aliases w:val="Odstavec cíl se seznamem,Odstavec se seznamem1"/>
    <w:basedOn w:val="Normlny"/>
    <w:link w:val="OdsekzoznamuChar"/>
    <w:uiPriority w:val="34"/>
    <w:qFormat/>
    <w:rsid w:val="00575EE4"/>
    <w:pPr>
      <w:ind w:left="720"/>
      <w:contextualSpacing/>
    </w:pPr>
  </w:style>
  <w:style w:type="character" w:customStyle="1" w:styleId="OdsekzoznamuChar">
    <w:name w:val="Odsek zoznamu Char"/>
    <w:aliases w:val="Odstavec cíl se seznamem Char,Odstavec se seznamem1 Char"/>
    <w:basedOn w:val="Predvolenpsmoodseku"/>
    <w:link w:val="Odsekzoznamu"/>
    <w:uiPriority w:val="34"/>
    <w:locked/>
    <w:rsid w:val="00575EE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unhideWhenUsed/>
    <w:rsid w:val="00B81523"/>
    <w:pPr>
      <w:tabs>
        <w:tab w:val="center" w:pos="4513"/>
        <w:tab w:val="right" w:pos="9026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8152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riadkovania">
    <w:name w:val="No Spacing"/>
    <w:aliases w:val="Hlavní písmo"/>
    <w:basedOn w:val="Normlny"/>
    <w:link w:val="BezriadkovaniaChar"/>
    <w:uiPriority w:val="1"/>
    <w:qFormat/>
    <w:rsid w:val="00D805AE"/>
    <w:pPr>
      <w:suppressAutoHyphens/>
      <w:spacing w:before="80" w:after="200" w:line="276" w:lineRule="auto"/>
      <w:jc w:val="both"/>
    </w:pPr>
    <w:rPr>
      <w:rFonts w:ascii="Calibri" w:eastAsia="Droid Sans Fallback" w:hAnsi="Calibri"/>
      <w:sz w:val="22"/>
      <w:szCs w:val="22"/>
      <w:lang w:val="cs-CZ" w:eastAsia="en-US"/>
    </w:rPr>
  </w:style>
  <w:style w:type="character" w:customStyle="1" w:styleId="BezriadkovaniaChar">
    <w:name w:val="Bez riadkovania Char"/>
    <w:aliases w:val="Hlavní písmo Char"/>
    <w:link w:val="Bezriadkovania"/>
    <w:uiPriority w:val="1"/>
    <w:rsid w:val="00D805AE"/>
    <w:rPr>
      <w:rFonts w:ascii="Calibri" w:eastAsia="Droid Sans Fallback" w:hAnsi="Calibri" w:cs="Times New Roman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55BF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55BFE"/>
    <w:rPr>
      <w:rFonts w:ascii="Segoe UI" w:eastAsia="Times New Roman" w:hAnsi="Segoe UI" w:cs="Segoe UI"/>
      <w:sz w:val="18"/>
      <w:szCs w:val="18"/>
      <w:lang w:eastAsia="cs-CZ"/>
    </w:rPr>
  </w:style>
  <w:style w:type="paragraph" w:styleId="Revzia">
    <w:name w:val="Revision"/>
    <w:hidden/>
    <w:uiPriority w:val="99"/>
    <w:semiHidden/>
    <w:rsid w:val="00EF7E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3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worknbde</dc:creator>
  <cp:lastModifiedBy>Fokova Barbora</cp:lastModifiedBy>
  <cp:revision>34</cp:revision>
  <cp:lastPrinted>2026-04-21T10:24:00Z</cp:lastPrinted>
  <dcterms:created xsi:type="dcterms:W3CDTF">2024-05-29T14:58:00Z</dcterms:created>
  <dcterms:modified xsi:type="dcterms:W3CDTF">2026-04-21T10:24:00Z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2026-03-11T09:17:18Z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7aeb6ccf-f573-4bbc-9866-1a879406d8a2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