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zodpovednosti za škodu spôsobenú vadným výrobkom</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LP/2025/715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28/6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17</w:t>
      </w:r>
      <w:r w:rsidR="00754CB0">
        <w:rPr>
          <w:rFonts w:ascii="Times New Roman" w:eastAsia="Times New Roman" w:hAnsi="Times New Roman" w:cs="Times New Roman"/>
          <w:sz w:val="24"/>
          <w:szCs w:val="24"/>
        </w:rPr>
        <w:t>/4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 1 ods. 2 písm. a) – O:</w:t>
              <w:br/>
            </w:r>
            <w:r>
              <w:rPr>
                <w:b w:val="off"/>
                <w:color w:val="000000"/>
                <w:rFonts w:ascii="Times New Roman" w:hAnsi="Times New Roman" w:cs="Times New Roman" w:eastAsia="Times New Roman"/>
                <w:sz w:val="24"/>
              </w:rPr>
              <w:t>V navrhovanom znení § 1 ods. 2 písm. a) sa uvádza pojem „slobodný softvér“, ktorý náš právny poriadok nepozná a nie je všeobecne známy alebo dostatočne zrejmý.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3 ods. 6 zákona č. 400/2015 Z. z. o tvorbe právnych predpisov a o Zbierke zákonov Slovenskej republiky a o zmene a doplnení niektorých zákonov navrhujeme tento pojem vymedziť v § 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upozorňujeme na nesprávny preklad čl. 2 ods. 2 smernice Európskeho parlamentu a Rady (EÚ) 2024/2853 z 23. októbra 2024 o zodpovednosti za chybné výrobky a o zrušení smernice Rady 85/374/EHS, ktorá sa týmto návrhom zákona transponuje.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 ods. 2 písm. a) transponuje čl. 2 ods. 2 smernice (EÚ) 2024/2853. Anglické znenie smernice používa jednotný pojem „free and open-source software“. Návrh zákona preto používa formuláciu „slobodný softvér s otvoreným zdrojovým kódom“ ako vyjadrenie jedného konceptu. Návrh zákona vecne zodpovedá obsahu smernice (EÚ) 2024/2853, keďže výnimka sa viaže na podmienku, že ide o slobodný softvér s otvoreným zdrojovým kódom vyvinutý alebo dodaný mimo rámca obchodnej činnosti. Ak je takýto softvér dodávaný v rámci obchodnej činnosti, výnimka sa neuplatní a návrh zákona sa naň vzťahuje. Slovenská jazyková verzia smernice obsahuje nepresnú formuláciu „slobodný softvér a softvér s otvoreným zdrojovým kódom“, ktorá môže vytvárať mylný dojem dvoch samostatných kategórií. Predkladateľ však transpozíciu nastavuje podľa vecného významu ustanovenia čl. 2 ods. 2 v súlade s jednotným pojmom používaným v iných jazykových verziách smernice (EÚ) 2024/2853. Predkladateľ zároveň plánuje na túto nepresnosť slovenskej jazykovej verzie smernice upozorniť Európsku komisiu a iniciovať jej jazykovú 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predkladateľa je pojem „slobodný softvér s otvoreným zdrojovým kódom“ osobitne nedefinovať, rovnako ako sa v návrhu zákona osobitne nedefinuje pojem „softvér“. Dôvodom je zachovanie technologickej neutrality a nadčasovosti. Pokus o legálnu definíciu by mohol byť rýchlo prekonaný vývojom licenčných modelov a praxe a zároveň by mohol neprimerane zúžiť rozsah výnimky. Smernica (EÚ) 2024/2853 ani právo Európskej únie tento pojem osobitne nedefinuje. Jeho význam približujú recitály smernice (EÚ) 2024/2853, ktoré opisujú typické znaky takéhoto softvéru. Obdobne aj návrh zákona tento pojem bližšie vysvetľuje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 4 ods. 2 – O:</w:t>
              <w:br/>
            </w:r>
            <w:r>
              <w:rPr>
                <w:b w:val="off"/>
                <w:color w:val="000000"/>
                <w:rFonts w:ascii="Times New Roman" w:hAnsi="Times New Roman" w:cs="Times New Roman" w:eastAsia="Times New Roman"/>
                <w:sz w:val="24"/>
              </w:rPr>
              <w:t>Za slovo „majetkovú“ odporúčame vložiť slovo „škodu“.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Navrhujeme v § 4 doplniť slovo „len“ tak, aby bolo jednoznačne vyjadrené, že náhrada škody sa vzťahuje len na škodu vymedzenú v tomto ustanovení, v súlade so znením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6 smernice (EÚ) 2024/2853 výslovne viaže právo na náhradu škody len na taxatívne vymedzené druhy škody. Doplnenie slova „len“ je významové, nie formálne – zabezpečuje jednoznačný výklad rozsahu zodpovednosti a predchádza rozsiahlejšiemu výkladu nad rámec smernice. Ide teda len o zosúladenie so znením a účelom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ods.1 písm. b)</w:t>
              <w:br/>
            </w:r>
            <w:r>
              <w:rPr>
                <w:b w:val="off"/>
                <w:color w:val="000000"/>
                <w:rFonts w:ascii="Times New Roman" w:hAnsi="Times New Roman" w:cs="Times New Roman" w:eastAsia="Times New Roman"/>
                <w:sz w:val="24"/>
              </w:rPr>
              <w:t>Navrhujeme v § 4 ods. 1 písm. b) doplniť slovo „samotného“, aby bolo jednoznačne vyjadrené, že z náhrady škody je vylúčená škoda na samotnom vadnom výrobku.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v článku 6 výslovne pracuje s pojmom „damage to the defective product itself“. Doplnenie slova „samotného“ precizuje výklad a zamedzuje nejasnostiam, či je vylúčená náhrada škody len na vadnom výrobku, alebo aj na iných veciach. Ide o významové zosúladenie so smernicou a o zvýšenie právnej istoty adresátov právnej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Navrhujeme vypustiť § 6 ods. 5 ako nadbytočné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Obsah § 6 ods. 5 je už výslovne pokrytý § 6 ods. 1 písm. b), ktorý jednoznačne stanovuje, že zodpovednosť výrobcu vadného výrobku nie je dotknutá zodpovednosťou výrobcu vadného komponentu. Odsek 5 neprináša nový normatívny obsah a pôsobí duplicitne, čo je v rozpore so zásadami legislatívnej techniky. Vypustenie ustanovenia nemá vecný dopad na rozsah zodpovednosti a zvyšuje prehľadnosť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 ods. 5 je nevyhnutné zachovať, keďže predstavuje transpozíciu druhého pododseku článku 8 ods. 1 smernice (EÚ) 2024/2853, ktorá sa transponuje v režime maximálnej harmonizácie. Ustanovenie má samostatný normatívny význam, pretože výslovne spresňuje, že zodpovednosť výrobcu vadného výrobku podľa § 6 ods. 1 písm. a) sa vzťahuje aj na škodu spôsobenú vadným komponentom, ak je vadný komponent do výrobku začlenený pod kontrolou výrobcu výrobku alebo je s ním prepojený pod kontrolou výrobcu výrobku. Hoci § 6 ods. 1 písm. b) výslovne uvádza, že tým nie je dotknutá zodpovednosť výrobcu vadného výrobku podľa písm. a), toto pravidlo rieši najmä súbeh zodpovednosti výrobcu komponentu a výrobcu výrobku, kým § 6 ods. 5 výslovne upravuje rozsah zodpovednosti výrobcu výrobku pri škode spôsobenej vadným komponentom, ak je vadný komponent do výrobku začlenený pod kontrolou výrobcu výrobku alebo je s ním prepojený pod kontrolou výrobcu výrobku. Zachovanie § 6 ods. 5 znižuje priestor pre pochybnosti pri uplatňovaní nároku, najmä pri námietkach, že bezprostrednou príčinou škody bol komponent a nie výrobok, a posilňuje právnu istotu poškodeného. Ustanovenie zároveň pokrýva aj špecifické situácie uvedené v dôvodovej správe, keď je komponent dodaný mimo obchodnej činnosti, napríklad slobodný softvér s otvoreným zdrojovým kódom, a výrobca ho následne začlení ako komponent do výrobku v rámci svojej obchodnej činnosti, čím ho uvedie na trh. V takom prípade možno zodpovednosť za škodu spôsobenú vadnosťou takéhoto komponentu vyvodiť voči výrobcovi výrobku, nie voči pôvodnému výrobcovi softvéru, ktorý nespĺňa podmienky uvedenia výrobku alebo komponentu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po dohode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uvádzame nasledovné pripomienky:</w:t>
              <w:br/>
            </w:r>
            <w:r>
              <w:rPr>
                <w:b w:val="off"/>
                <w:color w:val="000000"/>
                <w:rFonts w:ascii="Times New Roman" w:hAnsi="Times New Roman" w:cs="Times New Roman" w:eastAsia="Times New Roman"/>
                <w:sz w:val="24"/>
              </w:rPr>
              <w:t>1.	V § 1 navrhujeme odsek 1 formulovať v jednotnom čísle napr. „...ktorú fyzickej osobe spôsobí  vadný výrobok...“.</w:t>
              <w:br/>
            </w:r>
            <w:r>
              <w:rPr>
                <w:b w:val="off"/>
                <w:color w:val="000000"/>
                <w:rFonts w:ascii="Times New Roman" w:hAnsi="Times New Roman" w:cs="Times New Roman" w:eastAsia="Times New Roman"/>
                <w:sz w:val="24"/>
              </w:rPr>
              <w:t>2.	Nad § 1 navrhujeme vložiť nadpis „Základné ustanovenia“ a vypustiť nadpisy pod § 1 a 2.</w:t>
              <w:br/>
            </w:r>
            <w:r>
              <w:rPr>
                <w:b w:val="off"/>
                <w:color w:val="000000"/>
                <w:rFonts w:ascii="Times New Roman" w:hAnsi="Times New Roman" w:cs="Times New Roman" w:eastAsia="Times New Roman"/>
                <w:sz w:val="24"/>
              </w:rPr>
              <w:t>3.	V § 2 písm. b) navrhujeme slová „ktoré sú začlenené... alebo sú“ nahradiť slovom „ktoré je začlenená ... alebo je“ vzhľadom na použitie spojky „alebo“ na začiatku legálnej definície.</w:t>
              <w:br/>
            </w:r>
            <w:r>
              <w:rPr>
                <w:b w:val="off"/>
                <w:color w:val="000000"/>
                <w:rFonts w:ascii="Times New Roman" w:hAnsi="Times New Roman" w:cs="Times New Roman" w:eastAsia="Times New Roman"/>
                <w:sz w:val="24"/>
              </w:rPr>
              <w:t xml:space="preserve">4.	V § 2 písm. f) a i) a § 6 ods. 6 navrhujeme vypustiť slová „fyzická osoba alebo právnická“, pre nadbytočnosť. </w:t>
              <w:br/>
            </w:r>
            <w:r>
              <w:rPr>
                <w:b w:val="off"/>
                <w:color w:val="000000"/>
                <w:rFonts w:ascii="Times New Roman" w:hAnsi="Times New Roman" w:cs="Times New Roman" w:eastAsia="Times New Roman"/>
                <w:sz w:val="24"/>
              </w:rPr>
              <w:t>5.	V § 2 písm. f) sa definuje výrobca ako fyzická osoba alebo právnická osoba, ktorý skrátene povedané na výrobok umiestňuje svoje meno, ochrannú známku alebo iný rozlišovací znak, pokiaľ ide o právnickú osobu považujeme za vhodnejšie hovoriť o názve (tento pojem zahŕňa aj obchodné meno) a v prípade fyzickej osoby o mene a priezvisku.</w:t>
              <w:br/>
            </w:r>
            <w:r>
              <w:rPr>
                <w:b w:val="off"/>
                <w:color w:val="000000"/>
                <w:rFonts w:ascii="Times New Roman" w:hAnsi="Times New Roman" w:cs="Times New Roman" w:eastAsia="Times New Roman"/>
                <w:sz w:val="24"/>
              </w:rPr>
              <w:t>6.	V § 2 písm. g) navrhujeme  z predvetia vypustiť slovo „výrobku“, to že ide ak sa hovorí o výrobcovi má sa na mysli výrobca výrobku vyplýva z legálnej definície  v písmene f).“.</w:t>
              <w:br/>
            </w:r>
            <w:r>
              <w:rPr>
                <w:b w:val="off"/>
                <w:color w:val="000000"/>
                <w:rFonts w:ascii="Times New Roman" w:hAnsi="Times New Roman" w:cs="Times New Roman" w:eastAsia="Times New Roman"/>
                <w:sz w:val="24"/>
              </w:rPr>
              <w:t>7.	V § 4 ods. 1 písm. b) treťom bode navrhujeme slová „je používaný“ nahradiť slovami „sa používa“.</w:t>
              <w:br/>
            </w:r>
            <w:r>
              <w:rPr>
                <w:b w:val="off"/>
                <w:color w:val="000000"/>
                <w:rFonts w:ascii="Times New Roman" w:hAnsi="Times New Roman" w:cs="Times New Roman" w:eastAsia="Times New Roman"/>
                <w:sz w:val="24"/>
              </w:rPr>
              <w:t>8.	V § 5 ods. 3 navrhujeme slová „bol uvedený....uvedený do“ nahradiť slovami „sa uviedol....sa uviedol“.</w:t>
              <w:br/>
            </w:r>
            <w:r>
              <w:rPr>
                <w:b w:val="off"/>
                <w:color w:val="000000"/>
                <w:rFonts w:ascii="Times New Roman" w:hAnsi="Times New Roman" w:cs="Times New Roman" w:eastAsia="Times New Roman"/>
                <w:sz w:val="24"/>
              </w:rPr>
              <w:t>9.	V§ 6 ods. 1 navrhujeme slovo „vadného“ presunúť na začiatok pododsekov.</w:t>
              <w:br/>
            </w:r>
            <w:r>
              <w:rPr>
                <w:b w:val="off"/>
                <w:color w:val="000000"/>
                <w:rFonts w:ascii="Times New Roman" w:hAnsi="Times New Roman" w:cs="Times New Roman" w:eastAsia="Times New Roman"/>
                <w:sz w:val="24"/>
              </w:rPr>
              <w:t>10.	V § 6 ods. 2 úvodnej vete navrhujeme nahradiť slovo „osôb“ slovom „výrobcu“.</w:t>
              <w:br/>
            </w:r>
            <w:r>
              <w:rPr>
                <w:b w:val="off"/>
                <w:color w:val="000000"/>
                <w:rFonts w:ascii="Times New Roman" w:hAnsi="Times New Roman" w:cs="Times New Roman" w:eastAsia="Times New Roman"/>
                <w:sz w:val="24"/>
              </w:rPr>
              <w:t>11.	V § 6 ods. 2 písm. c) navrhujeme slovo „písmena“ nahradiť slovom „písmen“.</w:t>
              <w:br/>
            </w:r>
            <w:r>
              <w:rPr>
                <w:b w:val="off"/>
                <w:color w:val="000000"/>
                <w:rFonts w:ascii="Times New Roman" w:hAnsi="Times New Roman" w:cs="Times New Roman" w:eastAsia="Times New Roman"/>
                <w:sz w:val="24"/>
              </w:rPr>
              <w:t>12.	V § 6 ods. 5 a 6 navrhujeme vypustiť slová „vadného výrobku“ alebo „podľa odseku 1 písm. a)“ pre nadbytočnosť; pripomienka platí primerane pre § 7 ods. 2.</w:t>
              <w:br/>
            </w:r>
            <w:r>
              <w:rPr>
                <w:b w:val="off"/>
                <w:color w:val="000000"/>
                <w:rFonts w:ascii="Times New Roman" w:hAnsi="Times New Roman" w:cs="Times New Roman" w:eastAsia="Times New Roman"/>
                <w:sz w:val="24"/>
              </w:rPr>
              <w:t>13.	V § 7 ods. 1 písm. e) navrhujeme slová „bol uvedený“ nahradiť slovami „sa uviedol“.</w:t>
              <w:br/>
            </w:r>
            <w:r>
              <w:rPr>
                <w:b w:val="off"/>
                <w:color w:val="000000"/>
                <w:rFonts w:ascii="Times New Roman" w:hAnsi="Times New Roman" w:cs="Times New Roman" w:eastAsia="Times New Roman"/>
                <w:sz w:val="24"/>
              </w:rPr>
              <w:t>14.	V § 8, § 9 a 16 navrhujeme slová „ak tento zákon neustanovuje inak“ nahradiť uvedením konkrétnym ustanovením obsahujúcim odchylnú úpravu, a to je vzhľadom na rozsah návrhu zákona.</w:t>
              <w:br/>
            </w:r>
            <w:r>
              <w:rPr>
                <w:b w:val="off"/>
                <w:color w:val="000000"/>
                <w:rFonts w:ascii="Times New Roman" w:hAnsi="Times New Roman" w:cs="Times New Roman" w:eastAsia="Times New Roman"/>
                <w:sz w:val="24"/>
              </w:rPr>
              <w:t>15.	V § 11 písm. b) navrhujeme slová „jej bolo postúpené“ nahradiť slovami „sa jej postúpilo“.</w:t>
              <w:br/>
            </w:r>
            <w:r>
              <w:rPr>
                <w:b w:val="off"/>
                <w:color w:val="000000"/>
                <w:rFonts w:ascii="Times New Roman" w:hAnsi="Times New Roman" w:cs="Times New Roman" w:eastAsia="Times New Roman"/>
                <w:sz w:val="24"/>
              </w:rPr>
              <w:t>16.	V § 13 ods. 2 navrhujeme za slovo „alebo“ vložiť slovo „psím.“.</w:t>
              <w:br/>
            </w:r>
            <w:r>
              <w:rPr>
                <w:b w:val="off"/>
                <w:color w:val="000000"/>
                <w:rFonts w:ascii="Times New Roman" w:hAnsi="Times New Roman" w:cs="Times New Roman" w:eastAsia="Times New Roman"/>
                <w:sz w:val="24"/>
              </w:rPr>
              <w:t>17.	V § 15 navrhujeme vypustiť odsek 5 pre nadbytočnosť, vzhľadom na bod 7.2. Legislatívnotechnických pokynov.</w:t>
              <w:br/>
            </w:r>
            <w:r>
              <w:rPr>
                <w:b w:val="off"/>
                <w:color w:val="000000"/>
                <w:rFonts w:ascii="Times New Roman" w:hAnsi="Times New Roman" w:cs="Times New Roman" w:eastAsia="Times New Roman"/>
                <w:sz w:val="24"/>
              </w:rPr>
              <w:t>18.	Nad § 16 navrhujeme umiestniť nadpis „Spoločné, prechodné a záverečné ustanovenia“ a vypustiť nadpisy pod § 16 až 20.</w:t>
              <w:br/>
            </w:r>
            <w:r>
              <w:rPr>
                <w:b w:val="off"/>
                <w:color w:val="000000"/>
                <w:rFonts w:ascii="Times New Roman" w:hAnsi="Times New Roman" w:cs="Times New Roman" w:eastAsia="Times New Roman"/>
                <w:sz w:val="24"/>
              </w:rPr>
              <w:t>19.	V § 17 navrhujeme vypustiť odsek 1 keďže nejde o prechodné ustanovenie, pretože odsek 1 konštatuje, že nový zákon sa vzťahuje na škodu spôsobenú vadným výrobkom uvedeným na trh od 9. decembra 2026 teda po nadobudnutí účinnosti návrhu zákona. V nadväznosti na uvedené sa zruší označenie odseku 2.</w:t>
              <w:br/>
            </w:r>
            <w:r>
              <w:rPr>
                <w:b w:val="off"/>
                <w:color w:val="000000"/>
                <w:rFonts w:ascii="Times New Roman" w:hAnsi="Times New Roman" w:cs="Times New Roman" w:eastAsia="Times New Roman"/>
                <w:sz w:val="24"/>
              </w:rPr>
              <w:t>20.	V § 19 navrhujeme upraviť znenie takto: „Zrušuje sa zákon č. 294/1999 Z. z. o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Neakceptujú sa pripomienky k nasledujúcim bodom:</w:t>
              <w:br/>
            </w:r>
            <w:r>
              <w:rPr>
                <w:b w:val="off"/>
                <w:color w:val="000000"/>
                <w:rFonts w:ascii="Times New Roman" w:hAnsi="Times New Roman" w:cs="Times New Roman" w:eastAsia="Times New Roman"/>
                <w:sz w:val="24"/>
              </w:rPr>
              <w:t>Bod 2. a bod 18.: Návrh zákona v predloženom rozsahu nie je natoľko rozsiahly, aby bolo účelné nahrádzať paragrafové nadpisy všeobecným nadpisom nad skupinou paragrafov. Nadpisy paragrafov zvyšujú prehľadnosť a orientáciu v texte. Zároveň navrhované vloženie všeobecného nadpisu bez vytvorenia časti alebo hlavy neprispieva k systematike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4.: Slová „fyzická osoba alebo právnická osoba“ sú potrebné, keďže ide o terminologické upresnenie okruhu subjektov zodpovednosti a zároveň o prebratie znenia smernice (EÚ) 2024/2853 (definícia „výrobcu“ a čl. 8 ods. 2 používa formuláciu „fyzická alebo právnická osoba“). Ich zachovanie zvyšuje právnu istotu a predchádza výkladovým pochybnostiam, najmä v ustanoveniach, ktoré priamo zakladajú zodpovednosť (§ 6 ods. 6) alebo vymedzujú subjekty (§ 2 písm. f)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5.: Ustanovenie § 2 písm. f) používa označenia „meno“, „ochranná známka“ a „iný rozlišovací znak“  ako všeobecné identifikačné prostriedky, ktoré sa uplatnia rovnako pri fyzickej osobe aj pri právnickej osobe. Rozčlenenie na názov a meno a priezvisko nie je potrebné a znížilo by univerzálnosť definície bez vecného prínosu, pričom by sa zároveň vzdialilo od terminológie smernice (EÚ) 2024/2853.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6.: Ponechanie slova „výrobku“ v spojení „výrobca výrobku“ je účelné z hľadiska jednoznačnosti a čitateľnosti ustanovenia. V texte návrhu zákona sa používa opakovane aj pojem výrobca komponentu a iné kategórie hospodárskych subjektov, preto spresnenie doplením slova „výrobku“ predchádza výkladovým pochybnostiam a zjednocuje formulácie v rámci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8 a bod 13.: Formulácie typu „bol uvedený na trh“ sa v právnych predpisoch pri tejto terminológii bežne používajú (napríklad: § 4 ods. 4 zákona č. 56/2018 Z. z. o posudzovaní zhody výrobku, sprístupňovaní určeného výrobku na trhu a o zmene a doplnení niektorých zákonov,  § 34 ods. 1 písm. b) zákona č. 79/2015 Z. z. o odpadoch a o zmene a doplnení niektorých zákonov, § 14 a 14a zákona č. 314/2012 Z. z. o pravidelnej kontrole vykurovacích systémov a klimatizačných systémov a o zmene zákona č. 455/1991 o živnostenskom podnikaní (živnostenský zákon) v znení neskorších predpisov). Zmena na tvar „sa uviedol“ by si zároveň vyžiadala dôsledné premietnutie aj do ďalších ustanovení návrhu zákona, kde sa rovnaká terminológia používa („nebol uvedený“, „je uvedený“ a pod.), čo by viedlo k rozsiahlym zásahom do textu bez vecnej potreby. Predkladateľ preto ponecháva pôvodné znenie.</w:t>
              <w:br/>
            </w:r>
            <w:r>
              <w:rPr>
                <w:b w:val="off"/>
                <w:color w:val="000000"/>
                <w:rFonts w:ascii="Times New Roman" w:hAnsi="Times New Roman" w:cs="Times New Roman" w:eastAsia="Times New Roman"/>
                <w:sz w:val="24"/>
              </w:rPr>
              <w:t>Bod 9.: Slovo „vadného“ sa ponecháva v predvetí ako spoločná časť vetnej konštrukcie vzťahujúca sa na obe písmená. Navrhovaný presun slova „vadného“ do oboch písmen by len opakoval rovnaké slová bez vecnej potreby a nezvyšoval by jednoznačnosť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14.: V § 9 sa slová „ak tento zákon neustanovuje inak“ vypúšťajú ako nadbytočné. V návrhu zákona nie je ustanovenie, ktoré by vo vzťahu k § 9 upravovalo zodpovednosť viacerých osôb podľa § 6 odlišne, a preto táto klauzula nemá konkrétny referenčný obsah. Ustanovenia o zbavení sa zodpovednosti a o určení rozsahu znášania škody (§ 7 a § 10) pôsobia na úrovni vzniku alebo rozsahu zodpovednosti jednotlivých osôb, pričom nemenia pravidlo spoločnej a nerozdielnej zodpovednosti v prípade, ak za škodu zodpovedá viac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17.: Odsek 5 nie je nadbytočný, pretože výslovne upravuje možnosť žalovaného vyvrátiť domnienky podľa odsekov 2 až 4. Zároveň ide o transpozíciu článku 10 ods. 5 smernice (EÚ) 2024/2853. Ponechanie ustanovenia prispieva k jednoznačnosti úpravy domnienok.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19.: § 17 ods. 1 vymedzuje, na ktoré výrobky sa návrh zákona vzťahuje podľa času ich uvedenia na trh alebo do prevádzky. Spolu s § 17 ods. 2 tvorí časové rozhranie medzi novou a doterajšou právnou úpravou podľa dátumu uvedenia výrobku na trh alebo do prevádzky. Ustanovenie zároveň transponuje článok 2 ods. 1 smernice (EÚ) 2024/2853.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návrhu je potrebné zjednotiť používanie pojmov „podstatná zmena“ (v § 2 písm. g) a h), § 6 ods. 6, § 7 ods. 3, § 13 ods. 1 písm. b)) a „podstatná zmena výrobku“ (v § 7 ods. 3 a 4), v § 5 ods. 2 písm. e) za slovo „alebo“ vložiť slovo „čas“, v § 5 ods. 3 slová „aktualizácia alebo modernizácia výrobku“ nahradiť slovami „bola vykonaná jeho aktualizácia alebo modernizácia“, v § 6 ods. 2 písm. c) slovo „písmena“ nahradiť slovom „písmen“, § 7 ods. 1 písm. c) za slová „alebo je pravdepodobné“ vložiť čiarku, v  § 8, 9 a 16 nahradiť slová „ak tento zákon neustanovuje inak“ uvedením konkrétnych paragrafov, ktoré ustanovujú inak, v § 13 ods. 2 za slovo „alebo“ vložiť slovo „písm.“].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 časti k § 5 ods. 3 nebola neakeptovaná z dôvodu, že navrhované znenie mení význam ustanovenia. § 5 ods. 3 vychádza z pravidla, že vadnosť výrobku nemožno vyvodzovať len z toho, že bol uvedený na trh alebo uvedený do prevádzky lepší výrobok, vrátane aktualizácií alebo modernizácií výrobku. Podstatná je samotná existencia alebo poskytnutie aktualizácie alebo modernizácie ako lepšieho riešenia, nie to, či už bola vykonaná na konkrétnom výrobku. Navrhovaná úprava znenia ustanovenia viaže relevantnosť aktualizácie alebo modernizácie na jej vykonanie na konkrétnom výrobku, čím zužuje pôsobnosť ustanovenia oproti pôvodnému zneniu, ktoré zahŕňa aj samotnú existenciu dostupnej aktualizácie alebo modernizácie. Ide o vecné zúženie oproti pôvodnému účelu ustanovenia, ktoré predstavuje transpozíciu článku 7 ods. 3 smernice (EÚ) 2024/2853.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pripomienky týkajúcej sa nahradenia slov „ak tento zákon neustanovuje inak“ v § 8, § 9 a § 16 uvádzame, že pripomienka bola čiastočne akceptovaná. V § 8 bol všeobecný odkaz „ak tento zákon neustanovuje inak“ nahradený uvedením konkrétnych ustanovení návrhu zákona. V § 16 bol tento odkaz doplnený uvedením konkrétnych ustanovení návrhu zákona. V § 9 sa predmetné slová vypustili ako nadbytočné, pretože návrh zákona neobsahuje ustanovenie, ktoré by vo vzťahu k pravidlu spoločnej a nerozdielnej zodpovednosti viacerých osôb podľa § 6 ustanovovalo odlišnú úpravu. Ustanovenia o zbavení sa zodpovednosti a o určení rozsahu znášania škody (§ 7 a § 10) pôsobia na úrovni vzniku alebo rozsahu zodpovednosti jednotlivých osôb a nemenia pravidlo spoločnej a nerozdielnej zodpovednosti v prípade, ak za škodu zodpovedá viac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V § 13 ods. 2 odporúčame za slovo „alebo“ vložiť slovo „písm.“ v súlade s bodom 55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17: Vzhľadom na znenie § 20 odporúčame pre nadbytočnosť vypustiť odsek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17 ods. 1 nie je nadbytočný, pretože neupravuje účinnosť návrhu zákona, ale určuje, na ktoré výrobky sa zákon vzťahuje podľa času ich uvedenia na trh alebo do prevádzky. Ustanovenie transponuje článok 2 ods. 1 smernice (EÚ) 2024/2853 a z hľadiska právnej istoty výslovne vymedzuje časový rozsah pôsobnosti zákona vo vzťahu k výrobkom. Takéto ustanovenia sú v právnych predpisoch upravujúcich výrobky bežne používané.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v návrhu zákona</w:t>
              <w:br/>
            </w:r>
            <w:r>
              <w:rPr>
                <w:b w:val="off"/>
                <w:color w:val="000000"/>
                <w:rFonts w:ascii="Times New Roman" w:hAnsi="Times New Roman" w:cs="Times New Roman" w:eastAsia="Times New Roman"/>
                <w:sz w:val="24"/>
              </w:rPr>
              <w:t xml:space="preserve">V poznámke pod čiarou k odkazu 4 odporúčame slová „v znení neskorších predpisov“ nahradiť slovami „v znení zákona č. 268/2022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51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Z dôvodu dosiahnutia súladu s Pravidlami Slovenského pravopisu odporúčame predkladateľovi v § 7 ods. 1 písm. c) za slovami „alebo je pravdepodobné“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5)</w:t>
              <w:br/>
            </w:r>
            <w:r>
              <w:rPr>
                <w:b w:val="off"/>
                <w:color w:val="000000"/>
                <w:rFonts w:ascii="Times New Roman" w:hAnsi="Times New Roman" w:cs="Times New Roman" w:eastAsia="Times New Roman"/>
                <w:sz w:val="24"/>
              </w:rPr>
              <w:t>Z dôvodu dosiahnutia súladu s Pravidlami Slovenského pravopisu odporúčame predkladateľovi v § 14 ods. 5 za slovami „alebo aj bez návrhu“ vložiť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súhlasí s potrebou interpunkčného spresnenia, avšak navrhované umiestnenie čiarky za slovami „alebo aj bez návrhu“ nepovažuje za správne. Vzhľadom na to, že výraz „alebo aj bez návrhu“ tvorí alternatívu k formulácii „na základe riadne odôvodneného návrhu strany…“, čiarka sa vkladá pred spojkou „alebo“, t. j. za slovami „sprístupnenia dôkazu“.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Návrhom zákona sa transponuje smernica Európskeho parlamentu a Rady (EÚ) 2024/2853 z 23. októbra 2024 o zodpovednosti za chybné výrobky a o zrušení smernice Rady 85/374/EHS. Upozorňujeme, že predmetná smernica je smernica s „Textom s významom pre EHP“ a vzťahuje sa tak nie len na členské štáty Európskej únie, ale aj na ostatné štáty, ktoré sú zmluvnými stranami Dohody o Európskom hospodárskom priestore. Žiadame preto v § 2 písm. i) predloženého návrhu zákona zavedenú legislatívnu skratku „členský štát“ rozšíriť aj o štáty, ktoré sú zmluvnou stranou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 2 písm. h) bod 1 k poznámke pod čiarou k odkazu 4): Citáciu nariadenia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(Ú. v. EÚ L 135, 23.5.2023) žiadame uvádzať s dodatkom „v platnom znení“ v súlade s bodom 62.11. Prílohy č. 1 k Legislatívnym pravidlám vlády Slovenskej republiky, vzhľadom na to, že aj keď sa nariadenie, ktoré ho novelizuje, uplatňuje až od 29. mája 2026, novela je už účinná. Táto pripomienka sa vzťahuje aj na § 5 ods. 1 poznámku pod čiarou k odkazu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V § 4 ods. 1 písm. c) predloženého návrhu zákona odporúčame na upresnenie doplniť slovo „výlučne“ pred slová „na účely podnikateľskej činnosti“, vzhľadom  na to, že toto ustanovenie predstavuje transpozičné ustanovenie k čl. 6 ods. 1 písm. c) smernice (EÚ) 2024/2853, ktorý ustanovuje výnimku z náhrady škody za zničenie údajov, ktoré sa používajú „výlučne na profesionálne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Hoci slovenské znenie čl. 6 ods. 1 písm. c) smernice (EÚ) 2024/2853 používa formuláciu „údajov, ktoré sa nepoužívajú výlučne na profesionálne účely“, doplnenie slova „výlučne“ do § 4 ods. 1 písm. c) by zúžilo rozsah vylúčenia náhrady pri škode na údajoch len na prípady, keď sa údaje používajú výlučne na účely výkonu podnikateľskej činnosti alebo povolania. V dôsledku toho by bolo možné uplatňovať náhradu aj pri údajoch používaných na profesionálne účely spolu so súkromným použitím, čo nie je v súlade so zmyslom predmetnej úpravy vyplývajúcim z anglického znenia čl. 6 ods. 1 písm. c) („destruction or corruption of data that are not used for professional purposes“).</w:t>
              <w:br/>
            </w:r>
            <w:r>
              <w:rPr>
                <w:b w:val="off"/>
                <w:color w:val="000000"/>
                <w:rFonts w:ascii="Times New Roman" w:hAnsi="Times New Roman" w:cs="Times New Roman" w:eastAsia="Times New Roman"/>
                <w:sz w:val="24"/>
              </w:rPr>
              <w:t>Uvedené potvrdzuje aj posledná veta recitálu 22 smernice (EÚ) 2024/2853 v slovenskom znení: „S cieľom riešiť potenciálne riziko súdnych sporov v nadmernom počte prípadov by sa zničenie alebo poškodenie údajov, ktoré sa používajú na profesijné účely, hoci nie výlučne, nemala poskytovať náhrada podľa tejto smernice.“ Z tohto dôvodu sa ponecháva navrhované znenie § 4 ods. 1 písm. c), ktoré vylučuje náhradu pri údajoch používaných na účely výkonu podnikateľskej činnosti alebo povolania.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V § 5 ods. 2 písm. e) predloženého návrhu zákona odporúčame slovo „čas“ nahradiť slovom „okamih“ tak, aby bola zabezpečená náležitá transpozícia čl. 7 ods. 2 písm. e) smernice (EÚ) 2024/2853.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V § 5 ods. 2 predloženého návrhu zákona odporúčame v súlade s čl. 7 ods. 2 písm. i) smernice (EÚ) 2024/2853 preformulovať znenie písmena i), a to tak, aby z uvedeného bolo zrejmé, že ide o výrobok, ktorého samotným účelom je zabrániť škodám.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Publikačný zdroj smernice (EÚ) 2024/2853, uvedenej v Zozname preberaných právne záväzných aktov Európskej únie, žiadame citovať nasledovne: „(Ú. v. EÚ L, 2024/2853, 18.11.2024)“.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2024/2853</w:t>
              <w:br/>
            </w:r>
            <w:r>
              <w:rPr>
                <w:b w:val="off"/>
                <w:color w:val="000000"/>
                <w:rFonts w:ascii="Times New Roman" w:hAnsi="Times New Roman" w:cs="Times New Roman" w:eastAsia="Times New Roman"/>
                <w:sz w:val="24"/>
              </w:rPr>
              <w:t>1.	V súvislosti  s preukazovaním transpozície čl. 3 smernice (EÚ) 2024/2853 žiadame v stĺpci 3 uviesť označenie „N“, vzhľadom na to, že ide o bežnú transpozíciu a zároveň žiadame zvážiť, či zákon č. 294/1999 Z. z. o zodpovednosti za škodu spôsobenú vadným výrobkom v znení zákona č. 451/2004 Z. z., ktorý sa zrušuje zrušovacím ustanovením v § 19 predloženého návrhu zákona, neobsahuje odchylné ustanovenia od ustanovení smernice (EÚ) 2024/2853, vrátane prísnejších či menej prísnych ustanovení. V prípade, že zákon č. 294/1999 Z. z. takéto ustanovenia obsahuje, § 19  predloženého návrhu zákona predstavuje transpozičné opatrenie k čl. 3 smernice (EÚ) 2024/2853 a je potrebné adekvátne vyplniť stĺpce 4 až 7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2024/2853</w:t>
              <w:br/>
            </w:r>
            <w:r>
              <w:rPr>
                <w:b w:val="off"/>
                <w:color w:val="000000"/>
                <w:rFonts w:ascii="Times New Roman" w:hAnsi="Times New Roman" w:cs="Times New Roman" w:eastAsia="Times New Roman"/>
                <w:sz w:val="24"/>
              </w:rPr>
              <w:t>2.	Preukazovanie transpozície čl. 12 ods. 2 písm. a) smernice (EÚ) 2024/2853 prostredníctvom § 383 a § 263 ods. 1 Obchodného zákonníka považujeme za nedostatočné, vzhľadom na to, že žiadne z uvedených ustanovení nezohľadňuje zákaz regresu výrobcu, ktorý začlení softvér ako komponent do výrobku, voči výrobcovi chybného softvérového komponentu, ktorý spôsobuje škodu, ak výrobca chybného softvérového komponentu bol v čase uvedenia daného softvérového komponentu na trh mikropodnikom alebo malým podnikom. Žiadame predmetné ustanovenie čl. 12 ods. 2 písm. a) smernice (EÚ) 2024/2853 transponovať, prípadne preukázať jeho transpozíciu inými už existujúcimi ustanoveniami.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Článok 12 ods. 2 smernice (EÚ) 2024/2853 neupravuje samostatný všeobecný zákaz regresu voči výrobcovi softvérového komponentu len z dôvodu, že ide o mikropodnik alebo malý podnik. Upravuje osobitnú situáciu vnútorného vyporiadania medzi hospodárskymi subjektmi, v ktorej výrobca, ktorý začlení softvér ako komponent do výrobku, nemá právo na regresnú náhradu iba vtedy, ak sú splnené podmienky podľa písm. a) aj písm. b). Tieto podmienky sú kumulatívne a samotné písm. a) nezakladá právny následok, že  regres nevzniká. Postavenie výrobcu softvérového komponentu ako mikropodniku alebo malého podniku je len podmienkou, ktorá vymedzuje okruh prípadov, v ktorých môže dôjsť k vylúčeniu regresu, pričom rozhodujúcim prvkom je zmluvná dohoda podľa písm. b), teda dohoda o vzdaní sa práva na regresnú náhradu. Z textu smernice (EÚ) 2024/2853 preto nevyplýva povinnosť transponovať písm. a) ako autonómne pravidlo zavádzajúce ex lege vylúčenie regresu, keďže bez zmluvnej dohody podľa písm. b) sa článok 12 ods. 2 vôbec neuplatní. Právny poriadok Slovenskej republiky umožňuje hospodárskym subjektom v obchodnoprávnych vzťahoch zmluvne upraviť vnútorné regresné vzťahy vrátane dohody o vylúčení alebo modifikácii regresu na základe zásady zmluvnej voľnosti podľa § 263 ods. 1 Obchodného zákonníka. Vnútorné vyporiadanie medzi viacerými zaviazanými osobami upravuje § 383 Obchodného zákonníka. Uvedená úprava umožňuje dosiahnuť výsledok predpokladaný článkom 12 ods. 2 smernice (EÚ) 2024/2853 ako celku, teda že regres nebude uplatnený, ak sa na tom dotknuté hospodárske subjekty výslovne zmluvne dohodnú, a to aj v prípade, ak je zmluvnou stranou mikropodnik alebo malý podnik, keďže právny poriadok Slovenskej republiky takúto dohodu nevylučuje. Tento výklad potvrdzuje aj stanovisko Európskej komisie k článku 12, podľa ktorého, ak vnútroštátne právo už umožňuje takéto zmluvné usporiadanie, nie je potrebné zavádzať osobitné hmotnoprávne ustanovenie. Z uvedených dôvodov nepovažujeme za potrebné explicitne transponovať čl. 12 ods. 2 písm. a) smernice (EÚ) 2024/2853 do vnútroštátneho práva, keďže výsledok sledovaný smernicou (EÚ) 2024/2853 je v právnom poriadku Slovenskej republiky zabezpečený existujúcou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žiadame uvádzať korektný dátum v rámci publikačného zdroja smernice (EÚ) 2024/2853 a to nasledovne: „(Ú. v. EÚ L, 2024/2853, 18.11.2024)“.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Navrhujeme upraviť znenie ustanovenia § 4 ods. 1 nasledovne:</w:t>
              <w:br/>
            </w:r>
            <w:r>
              <w:rPr>
                <w:b w:val="off"/>
                <w:color w:val="000000"/>
                <w:rFonts w:ascii="Times New Roman" w:hAnsi="Times New Roman" w:cs="Times New Roman" w:eastAsia="Times New Roman"/>
                <w:sz w:val="24"/>
              </w:rPr>
              <w:t>(1) Právo na náhradu škody podľa § 3 ods. 1 možno uplatniť, ak škoda spočíva len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6 smernice (EÚ) 2024/2853 výslovne viaže právo na náhradu škody len na taxatívne vymedzené druhy škody. Doplnenie slova „len“ je významové, nie formálne – zabezpečuje jednoznačný výklad rozsahu zodpovednosti a predchádza rozsiahlejšiemu výkladu nad rámec smernice. Ide teda len o zosúladenie so znením a účelom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písm. b) bod 1.</w:t>
              <w:br/>
            </w:r>
            <w:r>
              <w:rPr>
                <w:b w:val="off"/>
                <w:color w:val="000000"/>
                <w:rFonts w:ascii="Times New Roman" w:hAnsi="Times New Roman" w:cs="Times New Roman" w:eastAsia="Times New Roman"/>
                <w:sz w:val="24"/>
              </w:rPr>
              <w:t xml:space="preserve">Navrhujeme upraviť znenie ustanovenia § 4 ods. 1 písm. b) bod 1. nasledovne: </w:t>
              <w:br/>
            </w:r>
            <w:r>
              <w:rPr>
                <w:b w:val="off"/>
                <w:color w:val="000000"/>
                <w:rFonts w:ascii="Times New Roman" w:hAnsi="Times New Roman" w:cs="Times New Roman" w:eastAsia="Times New Roman"/>
                <w:sz w:val="24"/>
              </w:rPr>
              <w:t>(1) Právo na náhradu škody podľa § 3 ods. 1 možno uplatniť, ak škoda spočíva len v</w:t>
              <w:br/>
            </w:r>
            <w:r>
              <w:rPr>
                <w:b w:val="off"/>
                <w:color w:val="000000"/>
                <w:rFonts w:ascii="Times New Roman" w:hAnsi="Times New Roman" w:cs="Times New Roman" w:eastAsia="Times New Roman"/>
                <w:sz w:val="24"/>
              </w:rPr>
              <w:t>a) usmrtení alebo poškodení zdravia, vrátane lekársky uznaného poškodenia psychického zdravia,</w:t>
              <w:br/>
            </w:r>
            <w:r>
              <w:rPr>
                <w:b w:val="off"/>
                <w:color w:val="000000"/>
                <w:rFonts w:ascii="Times New Roman" w:hAnsi="Times New Roman" w:cs="Times New Roman" w:eastAsia="Times New Roman"/>
                <w:sz w:val="24"/>
              </w:rPr>
              <w:t>b) poškodení alebo zničení majetku, okrem</w:t>
              <w:br/>
            </w:r>
            <w:r>
              <w:rPr>
                <w:b w:val="off"/>
                <w:color w:val="000000"/>
                <w:rFonts w:ascii="Times New Roman" w:hAnsi="Times New Roman" w:cs="Times New Roman" w:eastAsia="Times New Roman"/>
                <w:sz w:val="24"/>
              </w:rPr>
              <w:t>1. samotného vadného výrobku,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v článku 6 výslovne pracuje s pojmom „damage to the defective product itself“. Doplnenie slova „samotného“ precizuje výklad a zamedzuje nejasnostiam, či je vylúčená náhrada škody len na vadnom výrobku, alebo aj na iných veciach. Ide o významové zosúladenie so smernicou a o zvýšenie právnej istoty adresátov právnej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 ods. 5</w:t>
              <w:br/>
            </w:r>
            <w:r>
              <w:rPr>
                <w:b w:val="off"/>
                <w:color w:val="000000"/>
                <w:rFonts w:ascii="Times New Roman" w:hAnsi="Times New Roman" w:cs="Times New Roman" w:eastAsia="Times New Roman"/>
                <w:sz w:val="24"/>
              </w:rPr>
              <w:t>Navrhujeme v ust. § 6 vypustiť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Obsah § 6 ods. 5 je už výslovne pokrytý § 6 ods. 1 písm. b), ktorý jednoznačne ustanovuje, že zodpovednosť výrobcu vadného výrobku nie je dotknutá zodpovednosťou výrobcu vadného komponentu. Odsek 5 neprináša nový normatívny obsah a pôsobí duplicitne, čo je v rozpore so zásadami legislatívnej techniky. Vypustenie ustanovenia nemá vecný dopad na rozsah zodpovednosti a zvyšuje prehľadnosť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 ods. 5 je nevyhnutné zachovať, keďže predstavuje transpozíciu druhého pododseku článku 8 ods. 1 smernice (EÚ) 2024/2853, ktorá sa transponuje v režime maximálnej harmonizácie. Ustanovenie má samostatný normatívny význam, pretože výslovne spresňuje, že zodpovednosť výrobcu vadného výrobku podľa § 6 ods. 1 písm. a) sa vzťahuje aj na škodu spôsobenú vadným komponentom, ak je vadný komponent do výrobku začlenený pod kontrolou výrobcu výrobku alebo je s ním prepojený pod kontrolou výrobcu výrobku. Hoci § 6 ods. 1 písm. b) výslovne uvádza, že tým nie je dotknutá zodpovednosť výrobcu vadného výrobku podľa písm. a), toto pravidlo rieši najmä súbeh zodpovednosti výrobcu komponentu a výrobcu výrobku, kým § 6 ods. 5 výslovne upravuje rozsah zodpovednosti výrobcu výrobku pri škode spôsobenej vadným komponentom, ak je vadný komponent do výrobku začlenený pod kontrolou výrobcu výrobku alebo je s ním prepojený pod kontrolou výrobcu výrobku. Zachovanie § 6 ods. 5 znižuje priestor pre pochybnosti pri uplatňovaní nároku, najmä pri námietkach, že bezprostrednou príčinou škody bol komponent a nie výrobok, a posilňuje právnu istotu poškodeného. Ustanovenie zároveň pokrýva aj špecifické situácie uvedené v dôvodovej správe, keď je komponent dodaný mimo obchodnej činnosti, napríklad slobodný softvér s otvoreným zdrojovým kódom, a výrobca ho následne začlení ako komponent do výrobku v rámci svojej obchodnej činnosti, čím ho uvedie na trh. V takom prípade možno zodpovednosť za škodu spôsobenú vadnosťou takéhoto komponentu vyvodiť voči výrobcovi výrobku, nie voči pôvodnému výrobcovi softvéru, ktorý nespĺňa podmienky uvedenia výrobku alebo komponentu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po dohode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dôvodovej správe k § 4 sa k ustanoveniu § 4 ods. 1 písm. c) uvádza: „Predmetom tohto ustanovenia je kompenzácia skutočnej majetkovej škody vyplývajúcej zo zničenia alebo poškodenia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Citovaná časť dôvodovej správy sa javí byť v rozpore so znením § 4 ods. 2, podľa ktorého sa právo na náhradu škody vzťahuje na majetkovú škodu aj na nemajetkovú škodu. Citovaná časť dôvodovej správy úplne opomína nemajetkovú škodu a tiež opomína, že náhrada majetkovej škody by mala pokrývať nielen skutočnú škodu, ale aj ušlý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vhodné citovanú časť dôvodovej správy upraviť a preformulovať.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Do poznámky pod čiarou k odkazu 8 (§ 3 ods. 2) je vhodné doplniť aj § 420 Občianskeho zákonníka, ktorý predstavuje všeobecnú úpravu zodpovednosti za škodu, pričom ani toto ustanovenie nie je dotknuté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Zvážiť v § 6 ods. 1 presunutie slov „výrobca vadného“ do oboch písmen z dôvodu prehľadnosti. Ustanovenie by tak znelo: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škodu spôsobenú vadným výrobkom zodpovedá </w:t>
              <w:br/>
            </w:r>
            <w:r>
              <w:rPr>
                <w:b w:val="off"/>
                <w:color w:val="000000"/>
                <w:rFonts w:ascii="Times New Roman" w:hAnsi="Times New Roman" w:cs="Times New Roman" w:eastAsia="Times New Roman"/>
                <w:sz w:val="24"/>
              </w:rPr>
              <w:t>a) výrobca vadného výrobku,</w:t>
              <w:br/>
            </w:r>
            <w:r>
              <w:rPr>
                <w:b w:val="off"/>
                <w:color w:val="000000"/>
                <w:rFonts w:ascii="Times New Roman" w:hAnsi="Times New Roman" w:cs="Times New Roman" w:eastAsia="Times New Roman"/>
                <w:sz w:val="24"/>
              </w:rPr>
              <w:t>b) výrobca vadného komponentu, ak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Slová „výrobca vadného“ sa ponechávajú v predvetí ako spoločná časť vetnej konštrukcie vzťahujúca sa na obe písmená. Navrhovaný presun slov „výrobca vadného“ do oboch písmen by len opakoval rovnaké slová bez vecnej potreby a nezvyšoval by jednoznačnosť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celý vlastný materiál</w:t>
              <w:br/>
            </w:r>
            <w:r>
              <w:rPr>
                <w:b w:val="off"/>
                <w:color w:val="000000"/>
                <w:rFonts w:ascii="Times New Roman" w:hAnsi="Times New Roman" w:cs="Times New Roman" w:eastAsia="Times New Roman"/>
                <w:sz w:val="24"/>
              </w:rPr>
              <w:t>Odporúčame nepoužívať slovné spojenie „vadný výrobok“.</w:t>
              <w:br/>
            </w:r>
            <w:r>
              <w:rPr>
                <w:b w:val="off"/>
                <w:color w:val="000000"/>
                <w:rFonts w:ascii="Times New Roman" w:hAnsi="Times New Roman" w:cs="Times New Roman" w:eastAsia="Times New Roman"/>
                <w:sz w:val="24"/>
              </w:rPr>
              <w:t>Odôvodnenie: Vieme, že ide v slovenskej legislatíve o zaužívaný pojem, avšak podľa slovníka Jazykovedného ústavu Ľudovíta Štúra je slovo „vadný“ v zmysle chybovosti nesprávny pojem. Má sa používať slovo „chybný“. Vada je podľa slovníka hádka.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Občiansky zákonník dlhodobo používa pojem „vada“ a nadväzujúcu terminológiu, najmä v súvislosti so zodpovednosťou za vady. Terminológia založená na pojme „vada“ je ustálene používaná aj v ďalších právnych predpisoch, preto označenie „vadný výrobok“ na ňu nadväzuje a je zrozumiteľné v aplikačnej praxi. Súčasne sa s touto terminológiou počíta aj v pripravovanom novom Občianskom zákonníku, preto nie je dôvod nahrádzať ju výrazom „chybný“, čo by viedlo k terminologickej nejednotnosti.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28 (22o,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