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poslanca Národnej rady Slovenskej republiky Samuela Migaľa na vydanie zákona, ktorým sa dopĺňa zákon č. 315/2001 Z. z. o Hasičskom a záchrannom zbore v znení neskorších predpisov (tlač 320)</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LP/2024/348</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9/5</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w:t>
      </w:r>
      <w:r w:rsidR="004A48F0">
        <w:rPr>
          <w:rFonts w:ascii="Times New Roman" w:eastAsia="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 ods.5 a 6</w:t>
              <w:br/>
            </w:r>
            <w:r>
              <w:rPr>
                <w:b w:val="off"/>
                <w:color w:val="000000"/>
                <w:rFonts w:ascii="Times New Roman" w:hAnsi="Times New Roman" w:cs="Times New Roman" w:eastAsia="Times New Roman"/>
                <w:sz w:val="24"/>
              </w:rPr>
              <w:t xml:space="preserve">1. V bode 1 žiadame v odseku 5 doplniť vetu: „Náhrada v podobe peňažného plnenia sa poskytne príslušníkovi za naturálne náležitosti, ktoré neboli poskytnuté do 12 mesiacov od uplatnenia nároku na obnovu naturálnych náležitostí.”. </w:t>
              <w:br/>
            </w:r>
            <w:r>
              <w:rPr>
                <w:b w:val="off"/>
                <w:color w:val="000000"/>
                <w:rFonts w:ascii="Times New Roman" w:hAnsi="Times New Roman" w:cs="Times New Roman" w:eastAsia="Times New Roman"/>
                <w:sz w:val="24"/>
              </w:rPr>
              <w:t>2. V bode 1 žiadame v odseku 6 číslo „40” zmeniť na číslo „100”.</w:t>
              <w:br/>
            </w:r>
            <w:r>
              <w:rPr>
                <w:b w:val="off"/>
                <w:color w:val="000000"/>
                <w:rFonts w:ascii="Times New Roman" w:hAnsi="Times New Roman" w:cs="Times New Roman" w:eastAsia="Times New Roman"/>
                <w:sz w:val="24"/>
              </w:rPr>
              <w:t>Odôvodnenie: Máme za to, že navrhovaná zmena nijakým spôsobom nerieši aktuálny zúfalý stav v poskytovaní výstrojných súčastí/naturálnych náležitostí príslušníkom Hasičského a záchranného zboru. V bode jedna preto navrhujeme zaviesť „preplatenie” naturálnych náležitostí, ktoré neboli príslušníkovi poskytnuté do 12 mesiacov od požiadania. V bode 2 navrhujeme preplatenie neposkytnutých výstrojných súčastí pri skončení služobného pomeru v celkovej výške, nakoľko uhradenie 40% „dlhu” považujeme za neprimerané a nedostatočné. Navrhnuté zmeny predstavujú len efektívny spôsob uspokojenia nárokov príslušníkov Hasičského a záchranného zboru, ktoré štát v značnej miere dlhodobo neplní.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KOZ SR navrhované riešenie, ako to aj KOZ SR uvádza,  nesmeruje k reálnemu zabezpečeniu výstrojných súčastí, ale len nepriamo kompenzuje ich neposkytovanie zo strany služobného úradu. Návrh KOZ SR nezohľadňuje reálne možnosti štátneho rozpočtu a ani súčasný systém vystrojovania (zabezpečovania výstojných súčastí).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 xml:space="preserve">S návrhom na zmenu ust. § 97 zásadne nesúhlasíme a v plnom rozsahu predložený návrh odmietame. </w:t>
              <w:br/>
            </w:r>
            <w:r>
              <w:rPr>
                <w:b w:val="off"/>
                <w:color w:val="000000"/>
                <w:rFonts w:ascii="Times New Roman" w:hAnsi="Times New Roman" w:cs="Times New Roman" w:eastAsia="Times New Roman"/>
                <w:sz w:val="24"/>
              </w:rPr>
              <w:t xml:space="preserve">KOZ SR dlhodobo upozorňuje na porušovanie platnej legislatívy v oblasti pracovného času príslušníkov HaZZ, konkrétne Smernice Európskeho parlamentu a Rady 2003/88/ES. Predmetné porušovanie platnej legislatívy skonštatovali právoplatnými rozsudkami aj konajúce súdy a priznali príslušníkom HaZZ nemajetkovú ujmu voči SR za porušovanie existujúceho právneho stavu. Navrhovaná zmena mení podmienky výpočtu priemerného týždenného služobného času v neprospech príslušníkov HaZZ, kedy vylučuje zo započítania do priemerného týždenného pracovného času obdobia, ktoré sa v zmysle zákona č. 315/2001 Z.z. považujú za výkon štátnej služby. Predkladaná novela zároveň zavádza na účely výpočtu priemerného týždenného služobného času časové obdobie 6 mesiacov. Podľa nášho názoru predloženou novelou sa smeruje k eliminácii nárokov príslušníkov HaZZ v súvislosti s porušovaním smernice 2003/88/ES administratívnou zmenou, t.j. zmenou výpočtu priemerného týždenného pracovného času. Zavedenie 6 mesačného časového obdobia pre výpočet priemerného pracovného času je de facto zavedením konta pracovného času pre príslušníkov HaZZ, ktoré je pre ostatných zamestnancov v SR možné na základe ust. § 88 Zákonníka práce zaviesť len kolektívnou zmluvou alebo po súhlase zástupcov zamestnancov, pričom dohodu nie je možné nahradiť rozhodnutím zamestnávateľa, v tomto prípade štátu. Túto skutočnosť považujeme za diskriminačnú a v plnom rozsahu ju namietame. Považujeme tiež za nedostatočné odôvodnenie tejto úpravy. Z paragrafového znenia ani zo sprievodnej dokumentácie nie je vôbec zrejmé z akého dôvodu je táto zmena potrebná ani čo sa jej aplikáciou v praxi má docieliť. </w:t>
              <w:br/>
            </w:r>
            <w:r>
              <w:rPr>
                <w:b w:val="off"/>
                <w:color w:val="000000"/>
                <w:rFonts w:ascii="Times New Roman" w:hAnsi="Times New Roman" w:cs="Times New Roman" w:eastAsia="Times New Roman"/>
                <w:sz w:val="24"/>
              </w:rPr>
              <w:t>Zároveň upozorňujeme, že MV SR dlhodobo odmieta návrhmi na legislatívne zmeny zo strany KOZ SR, ktoré by zabezpečili súlad vnútroštátnej úpravy s únijnou legislatívou, a to s odôvodnením nedostatku príslušníkov HaZZ. V tejto súvislosti opakovane poukazujeme na skutočnosť, že predkladaná legislatívna zmena nezabezpečí vyriešenie chýbajúcich príslušníkov HaZZ, len obmedzí ich nároky v zmysle aktuálne platnej legislatívnej úpravy, čo pravdepodobne povedie k ďalšiemu znižovaniu počtu príslušníkov HaZZ.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 97 ods. 3 je upraviť výpočet priemerného týždenného služobného času príslušníkov. § 97 ods. 1 vymedzuje, ktoré časy sa považujú za časy výkonu štátnej služby, kedy je neprítomnosť príslušníka v štátnej službe ospravedlnená. Smernica obsahuje definíciu pracovného času a času odpočinku, pričom za pracovný čas považuje „akýkoľvek čas, počas ktorého pracovník pracuje podľa pokynov zamestnávateľa a vykonáva svoju činnosť alebo povinnosti v súlade s vnútroštátnymi právnymi predpismi a/alebo praxou“ a za čas odpočinku považuje „akýkoľvek čas, ktorý nie je pracovným časom“. Ide o vymedzenie pojmov, od ktorých smernica neumožňuje žiadnu odchýlku a členské štáty nemôžu jednostranne určovať rozsah týchto pojmov. Podľa čl. 2 ods. 1 smernice, judikatúry Súdneho dvora a historických dokumentov sa určuje na základe troch kumulatívnych kritérií, ktorými sú „pracovník pracuje“, „pracovník pracuje podľa pokynov zamestnávateľa“ a „pracovník vykonáva svoju činnosť alebo povinnosti“, či sa určité obdobia považujú za pracovný čas. Ak obdobie kumulatívne nenapĺňa všetky tieto kritériá, považuje sa za čas odpočinku. Pracovný čas a čas odpočinku sa vzájomne vylučujú a neexistuje žiadna prechodná kategória. Z tohto dôvodu napriek tomu, že vnútroštátna legislatíva týkajúca sa príslušníkov reprezentovaná zákonom č. 315/2001 Z. z. o Hasičskom a záchrannom zbore v znení neskorších predpisov považuje časy podľa § 97 ods. 1 za výkon štátnej služby, v zmysle smernice časy podľa § 97 ods. 1 písm. a) až c) a h) až l) nie je možné a ani sa nesmú považovať za výkon štátnej služby, keďže nenapĺňajú kritériá, na základe ktorých by sa podľa znenia čl. 2 ods. 1 smernice považovali za pracovný čas. Z tohto dôvodu sa musia považovať za čas odpočinku. Nie je teda možné hovoriť o „zmene podmienok výpočtu priemerného týždenného služobného času v neprospech príslušníkov HaZZ, kedy (poslanecká novela) vylučuje zo započítania do priemerného týždenného pracovného času obdobia, ktoré sa v zmysle zákona č. 315/2001 Z.z. považujú za výkon štátnej služby“, pretože tieto obdobia sa podľa čl. 2 ods. 1 smernice za výkon štátnej služby nikdy nepovažovali a ak by sa tak dialo, bolo by to v rozpore s citovaným ustanovením smernice. Ku zmene podmienok výpočtu priemerného týždenného služobného času navrhovanou právnou úpravou nedochádza a ani nemôže dôjsť, keďže v tomto smere vnútroštátna právna úprava súladná so smernicou absentuje a poslanecký návrh je v tomto smere v súlade so smernicou, na ktorú KOZ SR odkazuje.</w:t>
              <w:br/>
            </w:r>
            <w:r>
              <w:rPr>
                <w:b w:val="off"/>
                <w:color w:val="000000"/>
                <w:rFonts w:ascii="Times New Roman" w:hAnsi="Times New Roman" w:cs="Times New Roman" w:eastAsia="Times New Roman"/>
                <w:sz w:val="24"/>
              </w:rPr>
              <w:t>Zákonník práce pri nerovnomerne rozvrhnutom pracovnom čase obsahuje v 87 ods. 1 druhej vete obdobnú právnu úpravu akou je navrhovaná úprava požadujúca neprekročenie 48 hodinového priemerného týždenného služobného času v období šiestich mesiacov a v § 87a Zákonník práce osobitne rieši konto pracovného času. Ak by v § 87 ods. 1 išlo o de facto zavedenie konta pracovného času, jedna z týchto úprav by nebola potrebná, pretože by boli totožné. Úprava Zákonníka práce dokazuje, že ide o odlišné právne úpravy s potrebou ich osobitného zákonného zakotvenia. V prípade právnej úpravy konta pracovného času (§ 87a Zákonníka práce) ide o rozsiahlu úpravu s mnohými pravidlami, ktoré je potrebné naplniť pre existenciu tohto inštitútu. Stanovením šesťmesačného obdobia pre výpočet priemerného týždenného služobného času nie je možné adekvátne naplniť požiadavky pre stanovenie konta pracovného času.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je označený negatívny vplyv na rozpočet verejnej správy. Cieľom návrhu zákona je nanovo upraviť nároky na poskytnutie rovnošaty a jej súčastí podľa § 33 zákona    č. 315/2001 Z. z. o Hasičskom a záchrannom zbore v znení neskorších predpisov. Návrhom zákona sa ďalej spresňuje výpočet priemerného týždenného služobného času príslušníkov Hasičského a záchranného zboru a Horskej záchrannej služby. Predkladateľ v doložke vybraných vplyvov kvantifikoval ročné výdavky v sume 689 tis. eur. V tejto súvislosti musia byť v súlade s § 33 zákona č. 523/2004 Z. z. o rozpočtových pravidlách verejnej správy a o zmene a doplnení niektorých zákonov v znení neskorších predpisov uvedené aj návrhy na úhradu zvýšených výdavkov.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Upozorňujeme, že všetky vplyvy súvisiace s prijatím navrhovanej novely zákona bude potrebné zabezpečiť v rámci schválených limitov kapitoly Ministerstva vnútra SR,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Vplyvy na verejné financie budú zabezpečené v rámci schválených limitov kapitoly ministerstva vnútra bez dodatočných požiadaviek na rozpočet verejnej správy. Reálny dopad na rozpočet verejnej správy predstavuje max. 200 tis. Eur, k čomu je ale potrebné zabezpečiť zmeny súvisiacich predpisov a zmeny v informačnom systéme SAP. Z toho dôvodu je potrebné, aby navrhované ustanovenie § 33 nadobudlo účinnosť 1. januára 2025, čo sa zapracovalo do stanoviska ministerstva vnútra.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 K bodu 1</w:t>
              <w:br/>
            </w:r>
            <w:r>
              <w:rPr>
                <w:b w:val="off"/>
                <w:color w:val="000000"/>
                <w:rFonts w:ascii="Times New Roman" w:hAnsi="Times New Roman" w:cs="Times New Roman" w:eastAsia="Times New Roman"/>
                <w:sz w:val="24"/>
              </w:rPr>
              <w:t>V § 33 žiadame zachovať pôvodnú percentuálnu mieru náhrad pre nepeňažné plnenie na obnovu naturálnych náležitosti. Inflácia, ktorá je hlavným argumentom navrhovateľa, sa prejaví v hodnote rovnošaty a jej súčastí. Upozorňujeme, že v prípade navyšovania percentuálnej miery náhrady a neskôr aj v cene rovnošaty dôjde k duplicitnému navyšovaniu náhrad.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poslaneckého návrhu zákona je podľa dôvodovej správy čiastočne dorovnať nároky príslušníkov Hasičského a záchranného zboru v oblasti poskytovania rovnošaty a jej súčastí s príslušníkmi Policajného zboru a to s dôrazom na to, že ide o zbory spadajúce pod rovnaký ústredný orgán štátnej správy a plniace základné funkcie štátu, pričom zabezpečenie  a ohodnotenie príslušníkov Policajného zboru je dlhodobo na výrazne vyššej úrovni. Zachovaním pôvodnej percentuálnej miery náhrad pre nepeňažné plnenie na obnovu naturálnych náležitostí by sa nenaplnil uvedený účel.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33 K bodu 1</w:t>
              <w:br/>
            </w:r>
            <w:r>
              <w:rPr>
                <w:b w:val="off"/>
                <w:color w:val="000000"/>
                <w:rFonts w:ascii="Times New Roman" w:hAnsi="Times New Roman" w:cs="Times New Roman" w:eastAsia="Times New Roman"/>
                <w:sz w:val="24"/>
              </w:rPr>
              <w:t xml:space="preserve">2. V § 33 žiadame vypustiť odsek 8, ktorý upravuje oslobodenie peňažných plnení a nepeňažných plnení od zdanenia daňou z príjmu zo závislej činnosti. Upozorňujeme, že ide o nepriamu novelu zákona č. 595/2003 Z. z. o dani z príjmov v znení neskorších predpisov. V súlade so zákonom       č. 400/2015 Z. z. o tvorbe právnych predpisov a o Zbierke zákonov Slovenskej republiky a o zmene a doplnení niektorých zákonov v znení neskorších predpisov je nepriama novelizácia formou zmien alebo doplnení iného právneho predpisu bez uvedenia úplnej citácie jeho názvu v samostatnom článku neprípustná.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že platné znenie § 5 ods. 5 písm. b) zákona č. 595/2003 Z. z. o dani  z príjmov v znení neskorších predpisov ustanovuje, že predmetom dane  nie je nepeňažné plnenie vo výške hodnoty poskytovaných osobných ochranných pracovných prostriedkov podľa osobitných predpisov, osobných hygienických  prostriedkov a pracovného oblečenia (napríklad pracovné odevy, uniformy) vrátane ich udržiavania alebo suma, ktorou zamestnávateľ uhrádza zamestnancovi preukázané výdavky vynaložené na tieto účely.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obdobnú právnu úpravu akú už obsahuje zákon č. 73/1998 Z. z. o štátnej službe príslušníkov Policajného zboru, Slovenskej informačnej služby, Zboru väzenskej a justičnej stráže Slovenskej republiky a Železničnej polície v znení neskorších predpisov a zákon č. 35/2019 Z. z. o finančnej správe a o zmene a doplnení niektorých zákonov v znení neskorších predpisov. Navrhujeme, aby sa predmetnou problematikou zaoberalo pri najbližšej novelizácii zákona o dani z príjmov.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 a 2</w:t>
              <w:br/>
            </w:r>
            <w:r>
              <w:rPr>
                <w:b w:val="off"/>
                <w:color w:val="000000"/>
                <w:rFonts w:ascii="Times New Roman" w:hAnsi="Times New Roman" w:cs="Times New Roman" w:eastAsia="Times New Roman"/>
                <w:sz w:val="24"/>
              </w:rPr>
              <w:t xml:space="preserve">V bode 1 v navrhovanom znení § 33 ods. 6 odporúčame upraviť v súlade s odsekom 5 uplatnenie si nároku na náhradu formou nepeňažného plnenia na obnovu naturálnych náležitostí. Odsek 5  upravuje povinnosť uplatnenia si nároku na náhradu do 24 mesiacov odo dňa vzniku tohto nároku, inak zanikne. Podľa odseku 5 bude táto náhrada preplatená pri skončení služobného pomeru. Odporúčame upresniť, či nie je potrebné si túto náhradu uplatniť, alebo je zámerom predkladateľa vyplácať v prípade ukončenia služobného pomeru túto náhradu automaticky. </w:t>
              <w:br/>
            </w:r>
            <w:r>
              <w:rPr>
                <w:b w:val="off"/>
                <w:color w:val="000000"/>
                <w:rFonts w:ascii="Times New Roman" w:hAnsi="Times New Roman" w:cs="Times New Roman" w:eastAsia="Times New Roman"/>
                <w:sz w:val="24"/>
              </w:rPr>
              <w:t>V bode 2 odporúčame slová „a písm. h) až l) nahradiť slovami „a h) až l)“ a slová „prvý bod“ nahradiť slovami „prvého bodu“.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Poslanecký návrh zákona ustanovuje, že pri skončení služobného pomeru sa náhrada formou nepeňažného plnenia na obnovu naturálnych náležitostí príslušníkovi preplatí. Návrh neráta s potrebou uplatnenia si tohto nároku.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nadväznosti na v Čl. I bode 1 navrhované znenie § 33 ods. 1 písm. b), medzi povinnosti príslušníka upravené v § 69 ods. 3 zákona č. 315/2001 Z. z. o Hasičskom a záchrannom zbore v znení neskorších predpisov, doplniť povinnosť používať pri výkone štátnej služby osobné ochranné pracovné prostriedky obdobne ako je to u príslušníkov Policajného zboru  (§ 136 písm. f) zákona č. 73/1998 Z. z. o štátnej službe príslušníkov Policajného zboru, Slovenskej informačnej služby, Zboru väzenskej a justičnej stráže Slovenskej republiky a Železničnej polície).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osobitnej časti dôvodovej správy k Čl. I bodu 1  sa uvádza: „Podľa vzoru právnej úpravy týkajúcej sa príslušníkov Policajného zboru sa navrhuje, aby príslušníci Hasičského a záchranného zboru mali nárok aj na poskytnutie osobných ochranných pracovných prostriedkov a ďalšieho materiálu nevyhnutného na vykonávanie štátnej služby.“. Odporúčame podľa vzoru právnej úpravy týkajúcej sa príslušníkov Policajného zboru doplniť aj povinnosť príslušníka Hasičského a záchranného zboru používať pri výkone štátnej služby osobné ochranné pracovné prostriedky.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Príslušníci Hasičského a záchranného zboru boli aj doteraz povinní používať pri výkone štátnej služby osobné ochranné pracovné prostriedky podľa zákona č. 124/2006 Z. z. o bezpečnosti a ochrane zdravia pri práci v znení neskorších predpisov. Nejde o novú povinnosť príslušníkov, preto ju nie je potrebné duplicitne upravovať aj v zákone č. 315/2001 Z. z. o Hasičskom a záchrannom zbore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w:t>
              <w:br/>
            </w:r>
            <w:r>
              <w:rPr>
                <w:b w:val="off"/>
                <w:color w:val="000000"/>
                <w:rFonts w:ascii="Times New Roman" w:hAnsi="Times New Roman" w:cs="Times New Roman" w:eastAsia="Times New Roman"/>
                <w:sz w:val="24"/>
              </w:rPr>
              <w:t>Odporúčame v Čl. I bode 2 ustanovenie § 97 ods. 3  upraviť v súlade so smernicou Európskeho parlamentu a Rady 2003/88/ES zo 4. novembra 2003 o niektorých aspektoch organizácie pracovného času (ďalej len „smernica“).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Vymedzenie časov v návrhu zákona, ktoré sa na účely výpočtu priemerného týždenného služobného času neposudzujú ako výkon štátnej služby príslušníkov Hasičského a záchranného zboru sa javí ako rozpor s článkom 16  písm. b) smernice, ktorý ustanovuje, že členské štáty môžu ustanoviť pre uplatňovanie článku 6 (maximálny týždenný pracovný čas) referenčné obdobie nepresahujúce štyri mesiace (pozn. následne článok 19 smernice umožňuje aj referenčné obdobie šesť mesiacov, ak ide o odchýlku podľa článku 17 ods. 3 smernice alebo článku 18 smernice). Zároveň je však v článku 16 písm. b) smernice ustanovené, že „Doby platenej ročnej dovolenky priznané v súlade s článkom 7 a doby pracovnej neschopnosti sa nezahŕňajú alebo sú pri výpočte priemeru neutrálne;“.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Európska komisia vydala v roku 2023 Výkladové oznámenie Komisie o smernici Európskeho parlamentu a Rady 2003/88/ES o niektorých aspektoch organizácie pracovného času. Týmto oznámením sa aktualizuje výkladové oznámenie Komisie o smernici Európskeho parlamentu </w:t>
              <w:br/>
            </w:r>
            <w:r>
              <w:rPr>
                <w:b w:val="off"/>
                <w:color w:val="000000"/>
                <w:rFonts w:ascii="Times New Roman" w:hAnsi="Times New Roman" w:cs="Times New Roman" w:eastAsia="Times New Roman"/>
                <w:sz w:val="24"/>
              </w:rPr>
              <w:t xml:space="preserve">a Rady 2003/88/ES o niektorých aspektoch organizácie pracovného času z roku 2017 s cieľom zohľadniť viac ako 30 rozsudkov a uznesení týkajúcich sa výkladu smernice, ktoré medzičasom vyniesol Súdny dvor Európskej únie. S cieľom zabezpečiť aktuálnosť a ľahkú použiteľnosť výkladového oznámenia sa v ňom konsoliduje do jedného dokumentu všetka príslušná judikatúra vydaná pred vydaním výkladového oznámenia z roku 2017 a po jeho vydaní. Cieľom tohto oznámenia je pomôcť vnútroštátnym orgánom, občanom a podnikom </w:t>
              <w:br/>
            </w:r>
            <w:r>
              <w:rPr>
                <w:b w:val="off"/>
                <w:color w:val="000000"/>
                <w:rFonts w:ascii="Times New Roman" w:hAnsi="Times New Roman" w:cs="Times New Roman" w:eastAsia="Times New Roman"/>
                <w:sz w:val="24"/>
              </w:rPr>
              <w:t>pri uplatňovaní smernice. Iba Súdny dvor Európskej únie je oprávnený autoritatívne vykladať právo Európskej únie.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výkladovom oznámení Komisie k maximálnej hranici, ktorú možno spriemerovať na účely maximálneho týždenného pracovného času je okrem iného uvedené: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Maximálna hranica, ktorú možno spriemerovať </w:t>
              <w:br/>
            </w:r>
            <w:r>
              <w:rPr>
                <w:b w:val="off"/>
                <w:color w:val="000000"/>
                <w:rFonts w:ascii="Times New Roman" w:hAnsi="Times New Roman" w:cs="Times New Roman" w:eastAsia="Times New Roman"/>
                <w:sz w:val="24"/>
              </w:rPr>
              <w:t xml:space="preserve">1. Aká je dĺžka referenčného obdobia? </w:t>
              <w:br/>
            </w:r>
            <w:r>
              <w:rPr>
                <w:b w:val="off"/>
                <w:color w:val="000000"/>
                <w:rFonts w:ascii="Times New Roman" w:hAnsi="Times New Roman" w:cs="Times New Roman" w:eastAsia="Times New Roman"/>
                <w:sz w:val="24"/>
              </w:rPr>
              <w:t>Ako vyplýva zo znenia článku 6, týždenný pracovný čas použitý na kontrolu dodržiavania maximálneho limitu sa môže spriemerovať. Referenčné obdobie na výpočet priemerného týždenného pracovného času môžu členské štáty stanoviť vo všetkých odvetviach a činnostiach na obdobie nepresahujúce 4 mesiace.</w:t>
              <w:br/>
            </w:r>
            <w:r>
              <w:rPr>
                <w:b w:val="off"/>
                <w:color w:val="000000"/>
                <w:rFonts w:ascii="Times New Roman" w:hAnsi="Times New Roman" w:cs="Times New Roman" w:eastAsia="Times New Roman"/>
                <w:sz w:val="24"/>
              </w:rPr>
              <w:t xml:space="preserve">Odchylne možno referenčné obdobia v určitých prípadoch predĺžiť v zmysle článku 19. Ďalšie podrobnosti o podmienkach a rozsahu odchýlok sú uvedené v kapitole IX. V každom prípade vzhľadom na obmedzenia odchýlok od referenčného obdobia Súdny dvor uznal, že „referenčné obdobie nesmie v žiadnom prípade presiahnuť 12 mesiacov“ a že je „teda možné určiť minimálnu ochranu, ktorá sa musí v každom prípade poskytnúť“ pracovníkom.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Čo nie je zahrnuté v referenčnom období </w:t>
              <w:br/>
            </w:r>
            <w:r>
              <w:rPr>
                <w:b w:val="off"/>
                <w:color w:val="000000"/>
                <w:rFonts w:ascii="Times New Roman" w:hAnsi="Times New Roman" w:cs="Times New Roman" w:eastAsia="Times New Roman"/>
                <w:sz w:val="24"/>
              </w:rPr>
              <w:t xml:space="preserve">Pokiaľ ide o referenčné obdobie použité na výpočet priemerného týždenného pracovného času, v článku 16 smernice sa stanovuje, že „[…] Doby platenej ročnej dovolenky priznané v súlade s článkom 7 a doby pracovnej neschopnosti sa nezahŕňajú alebo sú pri výpočte priemeru neutrálne; […]“. </w:t>
              <w:br/>
            </w:r>
            <w:r>
              <w:rPr>
                <w:b w:val="off"/>
                <w:color w:val="000000"/>
                <w:rFonts w:ascii="Times New Roman" w:hAnsi="Times New Roman" w:cs="Times New Roman" w:eastAsia="Times New Roman"/>
                <w:sz w:val="24"/>
              </w:rPr>
              <w:t>To znamená, že neexistenciu práce počas tohto obdobia nemožno použiť na kompenzáciu iných období, počas ktorých sa presiahol maximálny týždenný pracovný čas. Pokiaľ ide o platenú ročnú dovolenku, týka sa to 4 týždňov, ktoré sú stanovené v smernici.</w:t>
              <w:br/>
            </w:r>
            <w:r>
              <w:rPr>
                <w:b w:val="off"/>
                <w:color w:val="000000"/>
                <w:rFonts w:ascii="Times New Roman" w:hAnsi="Times New Roman" w:cs="Times New Roman" w:eastAsia="Times New Roman"/>
                <w:sz w:val="24"/>
              </w:rPr>
              <w:t xml:space="preserve">Pokiaľ však ide o právo na pracovnú neschopnosť, jeho „spôsoby výkonu […] nie sú upravené právom Spoločenstva vzhľadom na jeho súčasný stav“. Preto je potrebné odkázať </w:t>
              <w:br/>
            </w:r>
            <w:r>
              <w:rPr>
                <w:b w:val="off"/>
                <w:color w:val="000000"/>
                <w:rFonts w:ascii="Times New Roman" w:hAnsi="Times New Roman" w:cs="Times New Roman" w:eastAsia="Times New Roman"/>
                <w:sz w:val="24"/>
              </w:rPr>
              <w:t xml:space="preserve">na vnútroštátne vymedzenie (-a) pracovnej neschopnosti s cieľom zistiť, ktoré obdobia by mali byť vyňaté alebo neutrálne pri výpočte priemerného týždenného pracovného času.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Čo môže byť zahrnuté v referenčnom období </w:t>
              <w:br/>
            </w:r>
            <w:r>
              <w:rPr>
                <w:b w:val="off"/>
                <w:color w:val="000000"/>
                <w:rFonts w:ascii="Times New Roman" w:hAnsi="Times New Roman" w:cs="Times New Roman" w:eastAsia="Times New Roman"/>
                <w:sz w:val="24"/>
              </w:rPr>
              <w:t>Vzhľadom na znenie článku 16 písm. b) a napriek tomu, že judikatúra Súdneho dvora týkajúca sa tejto otázky neexistuje, Komisia sa domnieva, že ak vnútroštátna právna úprava umožňuje pracovníkom dodatočné obdobia platenej ročnej dovolenky okrem minimálnych 4 týždňov, dotknutý členský štát môže slobodne rozhodnúť o zahrnutí alebo vyňatí týchto dodatočných období ročnej platenej dovolenky do výpočtu priemerného týždenného pracovného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teda vyplýva, že podľa Európskej komisie nemôže byť obdobie čerpania dovolenky (t. j. fond neodpracovaného času) použitý na presiahnutie maximálneho týždenného pracovného času v inom období, pretože to vlastne znamená, že zamestnanec si dovolenku musí odpracovať, a teda v skutočnosti odpracuje rovnaký čas akoby odpracoval, ak by dovolenku nečerpal.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MPSVR SR namietaných smeroch je poslanecký návrh zákona v súlade so smernicou Európskeho parlamentu a Rady 2003/88/ES zo 4. novembra 2003 o niektorých aspektoch organizácie pracovného času (ďalej len „smernica“). Ako MPSVR SR správne uvádza, čl. 16 písm. b) smernice ustanovuje, že členské štáty môžu ustanoviť pre uplatňovanie článku 6 (maximálny týždenný pracovný čas) referenčné obdobie nepresahujúce štyri mesiace a následne čl. 19 smernice umožňuje aj referenčné obdobie šesť mesiacov, ak ide o odchýlku podľa čl. 17 ods. 3 smernice alebo čl. 18 smernice. Čl. 17 ods. 3 písm. c) bod iii) smernice umožňuje aj prostredníctvom právnych aktov členských štátov (čl. 17 ods. 2 smernice) vykonať odchýlku čl. 16 v prípade činností spojených s potrebou nepretržitej služby alebo výroby, najmä protipožiarnych služieb. Poslanecký návrh zákona je v súlade s touto odchýlkou všeobecného štvormesačného referenčného obdobia dovoleného smernicou. Navrhovaným znením § 97 ods. 3 v časti vety za bodkočiarkou, kde sa ustanovuje, že „čerpanie dovolenky podľa § 93 ods. 1 prvej a druhej vety a čas podľa odseku 1 písm. j) prvý bod sa na účely výpočtu priemerného týždenného služobného času do obdobia šiestich mesiacov nezarátavajú“ sa napĺňa požiadavka čl. 16 písm. b) nezahŕňať doby platenej ročnej dovolenky priznané v súlade s čl. 7 smernice a doby pracovnej neschopnosti do referenčného obdobia, alebo ich považovať pri výpočte priemeru za neutrálne. Ustanovenie § 97 ods. 3 časť vety za bodkočiarkou stanovuje, že čerpanie dovolenky príslušníkom a čas dočasnej neschopnosti na vykonávanie štátnej služby z dôvodu choroby alebo úrazu sa do obdobia šiestich mesiacov nezarátajú, teda sa toto obdobie skráti o tieto časy, čím tieto časy nebudú môcť byť využité na kompenzáciu zvýšeného času služby, čoho sa pripomienka uplatnená MPSVR SR obáva.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9 (4o, 5z)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20</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