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52C72" w14:textId="77777777" w:rsidR="00BD2DA1" w:rsidRPr="00580B50" w:rsidRDefault="00BD2DA1" w:rsidP="00BD2DA1">
      <w:pPr>
        <w:spacing w:after="0" w:line="240" w:lineRule="auto"/>
        <w:jc w:val="center"/>
        <w:rPr>
          <w:rFonts w:ascii="Times New Roman" w:hAnsi="Times New Roman" w:cs="Times New Roman"/>
          <w:b/>
          <w:sz w:val="24"/>
          <w:szCs w:val="24"/>
        </w:rPr>
      </w:pPr>
      <w:r w:rsidRPr="00580B50">
        <w:rPr>
          <w:rFonts w:ascii="Times New Roman" w:hAnsi="Times New Roman" w:cs="Times New Roman"/>
          <w:b/>
          <w:sz w:val="24"/>
          <w:szCs w:val="24"/>
        </w:rPr>
        <w:t>DÔVODOVÁ SPRÁVA</w:t>
      </w:r>
    </w:p>
    <w:p w14:paraId="4CD6F42B" w14:textId="77777777" w:rsidR="00BD2DA1" w:rsidRPr="00580B50" w:rsidRDefault="00BD2DA1" w:rsidP="00BD2DA1">
      <w:pPr>
        <w:spacing w:after="0" w:line="240" w:lineRule="auto"/>
        <w:jc w:val="both"/>
        <w:rPr>
          <w:rFonts w:ascii="Times New Roman" w:hAnsi="Times New Roman" w:cs="Times New Roman"/>
          <w:sz w:val="24"/>
          <w:szCs w:val="24"/>
        </w:rPr>
      </w:pPr>
    </w:p>
    <w:p w14:paraId="637C78E5" w14:textId="21018CC6" w:rsidR="00BD2DA1" w:rsidRPr="00580B50" w:rsidRDefault="00BD2DA1" w:rsidP="00BD2DA1">
      <w:pPr>
        <w:spacing w:after="0" w:line="240" w:lineRule="auto"/>
        <w:jc w:val="both"/>
        <w:rPr>
          <w:rFonts w:ascii="Times New Roman" w:hAnsi="Times New Roman" w:cs="Times New Roman"/>
          <w:b/>
          <w:sz w:val="24"/>
          <w:szCs w:val="24"/>
        </w:rPr>
      </w:pPr>
      <w:r w:rsidRPr="00580B50">
        <w:rPr>
          <w:rFonts w:ascii="Times New Roman" w:hAnsi="Times New Roman" w:cs="Times New Roman"/>
          <w:b/>
          <w:sz w:val="24"/>
          <w:szCs w:val="24"/>
        </w:rPr>
        <w:t>A.</w:t>
      </w:r>
      <w:r w:rsidRPr="00580B50">
        <w:rPr>
          <w:rFonts w:ascii="Times New Roman" w:hAnsi="Times New Roman" w:cs="Times New Roman"/>
          <w:b/>
          <w:sz w:val="24"/>
          <w:szCs w:val="24"/>
        </w:rPr>
        <w:tab/>
        <w:t>Všeobecná časť</w:t>
      </w:r>
      <w:r w:rsidR="00F92426">
        <w:rPr>
          <w:rFonts w:ascii="Times New Roman" w:hAnsi="Times New Roman" w:cs="Times New Roman"/>
          <w:b/>
          <w:sz w:val="24"/>
          <w:szCs w:val="24"/>
        </w:rPr>
        <w:t xml:space="preserve"> </w:t>
      </w:r>
    </w:p>
    <w:p w14:paraId="3936E400" w14:textId="77777777" w:rsidR="00BD2DA1" w:rsidRPr="00580B50" w:rsidRDefault="00BD2DA1" w:rsidP="00BD2DA1">
      <w:pPr>
        <w:spacing w:after="0" w:line="240" w:lineRule="auto"/>
        <w:jc w:val="both"/>
        <w:rPr>
          <w:rFonts w:ascii="Times New Roman" w:hAnsi="Times New Roman" w:cs="Times New Roman"/>
          <w:b/>
          <w:sz w:val="24"/>
          <w:szCs w:val="24"/>
        </w:rPr>
      </w:pPr>
    </w:p>
    <w:p w14:paraId="13546128" w14:textId="5CB824D5" w:rsidR="002661FA" w:rsidRDefault="00DD2EA8" w:rsidP="0061097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Do </w:t>
      </w:r>
      <w:r w:rsidR="00C33D73">
        <w:rPr>
          <w:rFonts w:ascii="Times New Roman" w:hAnsi="Times New Roman" w:cs="Times New Roman"/>
          <w:sz w:val="24"/>
          <w:szCs w:val="24"/>
        </w:rPr>
        <w:t>medzire</w:t>
      </w:r>
      <w:r>
        <w:rPr>
          <w:rFonts w:ascii="Times New Roman" w:hAnsi="Times New Roman" w:cs="Times New Roman"/>
          <w:sz w:val="24"/>
          <w:szCs w:val="24"/>
        </w:rPr>
        <w:t xml:space="preserve">zortného pripomienkového konania sa </w:t>
      </w:r>
      <w:r w:rsidR="00D15751">
        <w:rPr>
          <w:rFonts w:ascii="Times New Roman" w:hAnsi="Times New Roman" w:cs="Times New Roman"/>
          <w:sz w:val="24"/>
          <w:szCs w:val="24"/>
        </w:rPr>
        <w:t>predkladá n</w:t>
      </w:r>
      <w:r w:rsidR="00610970" w:rsidRPr="00212E8F">
        <w:rPr>
          <w:rFonts w:ascii="Times New Roman" w:hAnsi="Times New Roman" w:cs="Times New Roman"/>
          <w:sz w:val="24"/>
          <w:szCs w:val="24"/>
        </w:rPr>
        <w:t>ávrh</w:t>
      </w:r>
      <w:r w:rsidR="00D15751">
        <w:rPr>
          <w:rFonts w:ascii="Times New Roman" w:hAnsi="Times New Roman" w:cs="Times New Roman"/>
          <w:sz w:val="24"/>
          <w:szCs w:val="24"/>
        </w:rPr>
        <w:t xml:space="preserve"> </w:t>
      </w:r>
      <w:r w:rsidR="00610970" w:rsidRPr="00212E8F">
        <w:rPr>
          <w:rFonts w:ascii="Times New Roman" w:hAnsi="Times New Roman" w:cs="Times New Roman"/>
          <w:sz w:val="24"/>
          <w:szCs w:val="24"/>
        </w:rPr>
        <w:t xml:space="preserve"> zákona, ktorým sa mení a dopĺňa zákon</w:t>
      </w:r>
      <w:r w:rsidR="00DD5BF6">
        <w:rPr>
          <w:rFonts w:ascii="Times New Roman" w:hAnsi="Times New Roman" w:cs="Times New Roman"/>
          <w:sz w:val="24"/>
          <w:szCs w:val="24"/>
        </w:rPr>
        <w:t xml:space="preserve"> Slovenskej národnej rady</w:t>
      </w:r>
      <w:r w:rsidR="00610970" w:rsidRPr="00212E8F">
        <w:rPr>
          <w:rFonts w:ascii="Times New Roman" w:hAnsi="Times New Roman" w:cs="Times New Roman"/>
          <w:sz w:val="24"/>
          <w:szCs w:val="24"/>
        </w:rPr>
        <w:t xml:space="preserve"> č. </w:t>
      </w:r>
      <w:r w:rsidR="002661FA">
        <w:rPr>
          <w:rFonts w:ascii="Times New Roman" w:hAnsi="Times New Roman" w:cs="Times New Roman"/>
          <w:sz w:val="24"/>
          <w:szCs w:val="24"/>
        </w:rPr>
        <w:t>96</w:t>
      </w:r>
      <w:r w:rsidR="00610970" w:rsidRPr="00212E8F">
        <w:rPr>
          <w:rFonts w:ascii="Times New Roman" w:hAnsi="Times New Roman" w:cs="Times New Roman"/>
          <w:sz w:val="24"/>
          <w:szCs w:val="24"/>
        </w:rPr>
        <w:t>/</w:t>
      </w:r>
      <w:r w:rsidR="002661FA">
        <w:rPr>
          <w:rFonts w:ascii="Times New Roman" w:hAnsi="Times New Roman" w:cs="Times New Roman"/>
          <w:sz w:val="24"/>
          <w:szCs w:val="24"/>
        </w:rPr>
        <w:t xml:space="preserve">1991 </w:t>
      </w:r>
      <w:r w:rsidR="00610970" w:rsidRPr="00212E8F">
        <w:rPr>
          <w:rFonts w:ascii="Times New Roman" w:hAnsi="Times New Roman" w:cs="Times New Roman"/>
          <w:sz w:val="24"/>
          <w:szCs w:val="24"/>
        </w:rPr>
        <w:t>Z</w:t>
      </w:r>
      <w:r w:rsidR="002661FA">
        <w:rPr>
          <w:rFonts w:ascii="Times New Roman" w:hAnsi="Times New Roman" w:cs="Times New Roman"/>
          <w:sz w:val="24"/>
          <w:szCs w:val="24"/>
        </w:rPr>
        <w:t>b</w:t>
      </w:r>
      <w:r w:rsidR="00610970" w:rsidRPr="00212E8F">
        <w:rPr>
          <w:rFonts w:ascii="Times New Roman" w:hAnsi="Times New Roman" w:cs="Times New Roman"/>
          <w:sz w:val="24"/>
          <w:szCs w:val="24"/>
        </w:rPr>
        <w:t>. o</w:t>
      </w:r>
      <w:r w:rsidR="002661FA">
        <w:rPr>
          <w:rFonts w:ascii="Times New Roman" w:hAnsi="Times New Roman" w:cs="Times New Roman"/>
          <w:sz w:val="24"/>
          <w:szCs w:val="24"/>
        </w:rPr>
        <w:t> verejných kultúrnych</w:t>
      </w:r>
      <w:r w:rsidR="00D15751">
        <w:rPr>
          <w:rFonts w:ascii="Times New Roman" w:hAnsi="Times New Roman" w:cs="Times New Roman"/>
          <w:sz w:val="24"/>
          <w:szCs w:val="24"/>
        </w:rPr>
        <w:t xml:space="preserve"> (ďalej len „návrh zákona“)</w:t>
      </w:r>
      <w:r w:rsidR="00803D50">
        <w:rPr>
          <w:rFonts w:ascii="Times New Roman" w:hAnsi="Times New Roman" w:cs="Times New Roman"/>
          <w:sz w:val="24"/>
          <w:szCs w:val="24"/>
        </w:rPr>
        <w:t>, ktorý</w:t>
      </w:r>
      <w:r w:rsidR="00803D50" w:rsidRPr="00803D50">
        <w:rPr>
          <w:rFonts w:ascii="Times New Roman" w:eastAsia="Calibri" w:hAnsi="Times New Roman" w:cs="Times New Roman"/>
          <w:sz w:val="24"/>
          <w:szCs w:val="24"/>
          <w:lang w:eastAsia="sk-SK"/>
        </w:rPr>
        <w:t xml:space="preserve"> reaguje na potrebu komplexnej modernizácie právnej úpravy organizovania verejných kultúrnych podujatí.</w:t>
      </w:r>
    </w:p>
    <w:p w14:paraId="0E9CB75A" w14:textId="77777777" w:rsidR="002661FA" w:rsidRDefault="002661FA" w:rsidP="00610970">
      <w:pPr>
        <w:spacing w:after="0" w:line="240" w:lineRule="auto"/>
        <w:ind w:firstLine="708"/>
        <w:jc w:val="both"/>
        <w:rPr>
          <w:rFonts w:ascii="Times New Roman" w:hAnsi="Times New Roman" w:cs="Times New Roman"/>
          <w:sz w:val="24"/>
          <w:szCs w:val="24"/>
        </w:rPr>
      </w:pPr>
    </w:p>
    <w:p w14:paraId="097A0C91" w14:textId="2798BCA9" w:rsidR="00803D50" w:rsidRPr="005B44AA" w:rsidRDefault="00803D50" w:rsidP="00803D50">
      <w:pPr>
        <w:spacing w:after="180" w:line="240" w:lineRule="auto"/>
        <w:ind w:firstLine="708"/>
        <w:jc w:val="both"/>
        <w:rPr>
          <w:rFonts w:ascii="Times New Roman" w:eastAsia="Calibri" w:hAnsi="Times New Roman" w:cs="Times New Roman"/>
          <w:sz w:val="24"/>
          <w:szCs w:val="24"/>
          <w:lang w:eastAsia="sk-SK"/>
        </w:rPr>
      </w:pPr>
      <w:r w:rsidRPr="005B44AA">
        <w:rPr>
          <w:rFonts w:ascii="Times New Roman" w:eastAsia="Calibri" w:hAnsi="Times New Roman" w:cs="Times New Roman"/>
          <w:sz w:val="24"/>
          <w:szCs w:val="24"/>
          <w:lang w:eastAsia="sk-SK"/>
        </w:rPr>
        <w:t xml:space="preserve">Za viac ako tri desaťročia došlo k významnej zmene charakteru verejných kultúrnych podujatí. </w:t>
      </w:r>
      <w:r w:rsidR="00DC0E43" w:rsidRPr="005B44AA">
        <w:rPr>
          <w:rFonts w:ascii="Times New Roman" w:eastAsia="Calibri" w:hAnsi="Times New Roman" w:cs="Times New Roman"/>
          <w:sz w:val="24"/>
          <w:szCs w:val="24"/>
          <w:lang w:eastAsia="sk-SK"/>
        </w:rPr>
        <w:t>P</w:t>
      </w:r>
      <w:r w:rsidRPr="005B44AA">
        <w:rPr>
          <w:rFonts w:ascii="Times New Roman" w:eastAsia="Calibri" w:hAnsi="Times New Roman" w:cs="Times New Roman"/>
          <w:sz w:val="24"/>
          <w:szCs w:val="24"/>
          <w:lang w:eastAsia="sk-SK"/>
        </w:rPr>
        <w:t>ravidelne</w:t>
      </w:r>
      <w:r w:rsidR="00DC0E43">
        <w:rPr>
          <w:rFonts w:ascii="Times New Roman" w:eastAsia="Calibri" w:hAnsi="Times New Roman" w:cs="Times New Roman"/>
          <w:sz w:val="24"/>
          <w:szCs w:val="24"/>
          <w:lang w:eastAsia="sk-SK"/>
        </w:rPr>
        <w:t xml:space="preserve"> sa</w:t>
      </w:r>
      <w:r w:rsidRPr="005B44AA">
        <w:rPr>
          <w:rFonts w:ascii="Times New Roman" w:eastAsia="Calibri" w:hAnsi="Times New Roman" w:cs="Times New Roman"/>
          <w:sz w:val="24"/>
          <w:szCs w:val="24"/>
          <w:lang w:eastAsia="sk-SK"/>
        </w:rPr>
        <w:t xml:space="preserve"> organizujú podujatia s účasťou niekoľkých tisíc až desiatok t</w:t>
      </w:r>
      <w:r>
        <w:rPr>
          <w:rFonts w:ascii="Times New Roman" w:eastAsia="Calibri" w:hAnsi="Times New Roman" w:cs="Times New Roman"/>
          <w:sz w:val="24"/>
          <w:szCs w:val="24"/>
          <w:lang w:eastAsia="sk-SK"/>
        </w:rPr>
        <w:t>isíc návštevníkov</w:t>
      </w:r>
      <w:r w:rsidRPr="005B44AA">
        <w:rPr>
          <w:rFonts w:ascii="Times New Roman" w:eastAsia="Calibri" w:hAnsi="Times New Roman" w:cs="Times New Roman"/>
          <w:sz w:val="24"/>
          <w:szCs w:val="24"/>
          <w:lang w:eastAsia="sk-SK"/>
        </w:rPr>
        <w:t>. Organizovanie takýchto podujatí si vyžaduje koordináciu viacerých subjektov verejnej správy, zložiek integrovaného záchranného systému, Policajného zboru, organizátorov, vlastníkov objektov, dopravcov, poskytovateľov zdravotnej starostlivosti a ďalších subjektov zabezpečujúcich bezpečný priebeh podujatia.</w:t>
      </w:r>
    </w:p>
    <w:p w14:paraId="61E31E27" w14:textId="77777777" w:rsidR="00DD2EB2" w:rsidRPr="005B44AA" w:rsidRDefault="00803D50" w:rsidP="00DD2EB2">
      <w:pPr>
        <w:spacing w:after="180" w:line="240" w:lineRule="auto"/>
        <w:ind w:firstLine="708"/>
        <w:jc w:val="both"/>
        <w:rPr>
          <w:rFonts w:ascii="Times New Roman" w:eastAsia="Calibri" w:hAnsi="Times New Roman" w:cs="Times New Roman"/>
          <w:sz w:val="24"/>
          <w:szCs w:val="24"/>
          <w:lang w:eastAsia="sk-SK"/>
        </w:rPr>
      </w:pPr>
      <w:r w:rsidRPr="005B44AA">
        <w:rPr>
          <w:rFonts w:ascii="Times New Roman" w:eastAsia="Calibri" w:hAnsi="Times New Roman" w:cs="Times New Roman"/>
          <w:sz w:val="24"/>
          <w:szCs w:val="24"/>
          <w:lang w:eastAsia="sk-SK"/>
        </w:rPr>
        <w:t xml:space="preserve">V posledných rokoch zároveň dochádza v Európe aj vo svete k významnému nárastu bezpečnostných hrozieb smerujúcich proti tzv. mäkkým cieľom. Verejné kultúrne podujatia predstavujú z dôvodu vysokej koncentrácie osôb, otvoreného charakteru a jednoduchej dostupnosti potenciálne zraniteľné miesta, ktoré môžu byť predmetom násilných útokov, panických reakcií davu alebo iných mimoriadnych udalostí. Okrem úmyselných protiprávnych konaní predstavujú významné riziko aj technické poruchy, požiare, extrémne prejavy počasia, kolapsy davu, dopravné nehody či zdravotné udalosti s hromadným postihnutím osôb. </w:t>
      </w:r>
      <w:r w:rsidR="00DD2EB2" w:rsidRPr="005B44AA">
        <w:rPr>
          <w:rFonts w:ascii="Times New Roman" w:eastAsia="Calibri" w:hAnsi="Times New Roman" w:cs="Times New Roman"/>
          <w:sz w:val="24"/>
          <w:szCs w:val="24"/>
          <w:lang w:eastAsia="sk-SK"/>
        </w:rPr>
        <w:t xml:space="preserve">Navrhovaná právna úprava vychádza z princípov riadenia rizík, ochrany mäkkých cieľov, </w:t>
      </w:r>
      <w:proofErr w:type="spellStart"/>
      <w:r w:rsidR="00DD2EB2" w:rsidRPr="005B44AA">
        <w:rPr>
          <w:rFonts w:ascii="Times New Roman" w:eastAsia="Calibri" w:hAnsi="Times New Roman" w:cs="Times New Roman"/>
          <w:sz w:val="24"/>
          <w:szCs w:val="24"/>
          <w:lang w:eastAsia="sk-SK"/>
        </w:rPr>
        <w:t>crowd</w:t>
      </w:r>
      <w:proofErr w:type="spellEnd"/>
      <w:r w:rsidR="00DD2EB2" w:rsidRPr="005B44AA">
        <w:rPr>
          <w:rFonts w:ascii="Times New Roman" w:eastAsia="Calibri" w:hAnsi="Times New Roman" w:cs="Times New Roman"/>
          <w:sz w:val="24"/>
          <w:szCs w:val="24"/>
          <w:lang w:eastAsia="sk-SK"/>
        </w:rPr>
        <w:t xml:space="preserve"> managementu a krízového riadenia, ktoré predstavujú medzinárodne uznávané štandardy pri organizovaní podujatí s vysokou koncentráciou osôb. Ich spoločným cieľom je zabezpečiť, aby boli bezpečnostné opatrenia plánované systematicky, primerane identifikovaným rizikám a koordinovane realizované všetkými dotknutými subjektmi.</w:t>
      </w:r>
    </w:p>
    <w:p w14:paraId="6B8DE149" w14:textId="1D3E20BD" w:rsidR="00803D50" w:rsidRPr="005B44AA" w:rsidRDefault="00803D50" w:rsidP="00803D50">
      <w:pPr>
        <w:spacing w:after="180" w:line="240" w:lineRule="auto"/>
        <w:ind w:firstLine="708"/>
        <w:jc w:val="both"/>
        <w:rPr>
          <w:rFonts w:ascii="Times New Roman" w:eastAsia="Calibri" w:hAnsi="Times New Roman" w:cs="Times New Roman"/>
          <w:sz w:val="24"/>
          <w:szCs w:val="24"/>
          <w:lang w:eastAsia="sk-SK"/>
        </w:rPr>
      </w:pPr>
      <w:r w:rsidRPr="005B44AA">
        <w:rPr>
          <w:rFonts w:ascii="Times New Roman" w:eastAsia="Calibri" w:hAnsi="Times New Roman" w:cs="Times New Roman"/>
          <w:sz w:val="24"/>
          <w:szCs w:val="24"/>
          <w:lang w:eastAsia="sk-SK"/>
        </w:rPr>
        <w:t xml:space="preserve">Jedným zo základných princípov návrhu zákona je zavedenie diferencovaného právneho režimu podľa miery bezpečnostného rizika podujatia. Navrhovaná kategorizácia na bežné podujatia a podujatia s osobitným režimom vychádza zo zásady proporcionality, podľa ktorej rozsah zákonných povinností organizátora musí zodpovedať skutočnej miere rizika konkrétneho podujatia. </w:t>
      </w:r>
    </w:p>
    <w:p w14:paraId="3D08A0AF" w14:textId="77777777" w:rsidR="00803D50" w:rsidRPr="005B44AA" w:rsidRDefault="00803D50" w:rsidP="00803D50">
      <w:pPr>
        <w:spacing w:after="180" w:line="240" w:lineRule="auto"/>
        <w:ind w:firstLine="708"/>
        <w:jc w:val="both"/>
        <w:rPr>
          <w:rFonts w:ascii="Times New Roman" w:eastAsia="Calibri" w:hAnsi="Times New Roman" w:cs="Times New Roman"/>
          <w:sz w:val="24"/>
          <w:szCs w:val="24"/>
          <w:lang w:eastAsia="sk-SK"/>
        </w:rPr>
      </w:pPr>
      <w:r w:rsidRPr="005B44AA">
        <w:rPr>
          <w:rFonts w:ascii="Times New Roman" w:eastAsia="Calibri" w:hAnsi="Times New Roman" w:cs="Times New Roman"/>
          <w:sz w:val="24"/>
          <w:szCs w:val="24"/>
          <w:lang w:eastAsia="sk-SK"/>
        </w:rPr>
        <w:t>Návrh zákona súčasne zavádza povinnosť vypracovať analýzu hodnotenia rizík pri podujatiach, pri ktorých možno dôvodne predpokladať zvýšené bezpečnostné riziko. Analýza rizík predstavuje základný dokument bezpečnostného plánovania a umožňuje identifikovať potenciálne hrozby, vyhodnotiť ich pravdepodobnosť a možné následky, určiť primerané preventívne opatrenia a pripraviť účinné postupy na riešenie mimoriadnych udalostí. Zavedením tejto povinnosti sa vytvára jednotný odborný štandard pre organizovanie rizikových verejných kultúrnych podujatí.</w:t>
      </w:r>
    </w:p>
    <w:p w14:paraId="0F093A76" w14:textId="7F6E8A35" w:rsidR="00803D50" w:rsidRPr="005B44AA" w:rsidRDefault="00DD2EB2" w:rsidP="00803D50">
      <w:pPr>
        <w:spacing w:after="180" w:line="240" w:lineRule="auto"/>
        <w:ind w:firstLine="708"/>
        <w:jc w:val="both"/>
        <w:rPr>
          <w:rFonts w:ascii="Times New Roman" w:eastAsia="Calibri" w:hAnsi="Times New Roman" w:cs="Times New Roman"/>
          <w:sz w:val="24"/>
          <w:szCs w:val="24"/>
          <w:lang w:eastAsia="sk-SK"/>
        </w:rPr>
      </w:pPr>
      <w:r>
        <w:rPr>
          <w:rFonts w:ascii="Times New Roman" w:eastAsia="Calibri" w:hAnsi="Times New Roman" w:cs="Times New Roman"/>
          <w:sz w:val="24"/>
          <w:szCs w:val="24"/>
          <w:lang w:eastAsia="sk-SK"/>
        </w:rPr>
        <w:t xml:space="preserve">Zásadnou zmenou </w:t>
      </w:r>
      <w:r w:rsidR="00FB751B">
        <w:rPr>
          <w:rFonts w:ascii="Times New Roman" w:eastAsia="Calibri" w:hAnsi="Times New Roman" w:cs="Times New Roman"/>
          <w:sz w:val="24"/>
          <w:szCs w:val="24"/>
          <w:lang w:eastAsia="sk-SK"/>
        </w:rPr>
        <w:t>právnej úpravy pre organizovanie verejných kultúrnych podujatí</w:t>
      </w:r>
      <w:r w:rsidR="00803D50" w:rsidRPr="005B44AA">
        <w:rPr>
          <w:rFonts w:ascii="Times New Roman" w:eastAsia="Calibri" w:hAnsi="Times New Roman" w:cs="Times New Roman"/>
          <w:sz w:val="24"/>
          <w:szCs w:val="24"/>
          <w:lang w:eastAsia="sk-SK"/>
        </w:rPr>
        <w:t xml:space="preserve"> je vytvorenie inštitútu bezpečnostného manažéra verejných kultúrnych podujatí ako odborne spôsobilej osoby zodpovednej za plánovanie, koordináciu a riadenie bezpečnostných opatrení pri podujatiach s osobitným režimom. Zavedenie odbornej spôsobilosti re</w:t>
      </w:r>
      <w:r w:rsidR="00E00A8A">
        <w:rPr>
          <w:rFonts w:ascii="Times New Roman" w:eastAsia="Calibri" w:hAnsi="Times New Roman" w:cs="Times New Roman"/>
          <w:sz w:val="24"/>
          <w:szCs w:val="24"/>
          <w:lang w:eastAsia="sk-SK"/>
        </w:rPr>
        <w:t>aguje na</w:t>
      </w:r>
      <w:r w:rsidR="00803D50" w:rsidRPr="005B44AA">
        <w:rPr>
          <w:rFonts w:ascii="Times New Roman" w:eastAsia="Calibri" w:hAnsi="Times New Roman" w:cs="Times New Roman"/>
          <w:sz w:val="24"/>
          <w:szCs w:val="24"/>
          <w:lang w:eastAsia="sk-SK"/>
        </w:rPr>
        <w:t xml:space="preserve"> rastúcu odbornú náročnosť organizovania veľkých verejných podujatí a sleduje zabezpečenie jednotnej odbornej úrovne osôb vykonávajúcich túto činnosť. Súčasne sa ustanovuje systém overovania odbornej spôsobilosti, vydávania osvedčení a vedenia evidencie odborne spôsobilých osôb.</w:t>
      </w:r>
    </w:p>
    <w:p w14:paraId="70146F05" w14:textId="77777777" w:rsidR="00803D50" w:rsidRPr="005B44AA" w:rsidRDefault="00803D50" w:rsidP="00803D50">
      <w:pPr>
        <w:spacing w:after="180" w:line="240" w:lineRule="auto"/>
        <w:ind w:firstLine="708"/>
        <w:jc w:val="both"/>
        <w:rPr>
          <w:rFonts w:ascii="Times New Roman" w:eastAsia="Calibri" w:hAnsi="Times New Roman" w:cs="Times New Roman"/>
          <w:sz w:val="24"/>
          <w:szCs w:val="24"/>
          <w:lang w:eastAsia="sk-SK"/>
        </w:rPr>
      </w:pPr>
      <w:r w:rsidRPr="005B44AA">
        <w:rPr>
          <w:rFonts w:ascii="Times New Roman" w:eastAsia="Calibri" w:hAnsi="Times New Roman" w:cs="Times New Roman"/>
          <w:sz w:val="24"/>
          <w:szCs w:val="24"/>
          <w:lang w:eastAsia="sk-SK"/>
        </w:rPr>
        <w:lastRenderedPageBreak/>
        <w:t>Navrhovaná právna úprava posilňuje aj postavenie obce a Policajného zboru pri príprave podujatí s osobitným režimom. Zavedením koordinačného orgánu sa vytvára formálny mechanizmus spolupráce medzi organizátorom, obcou, Policajným zborom, Hasičským a záchranným zborom, poskytovateľmi zdravotnej záchrannej služby a ďalšími dotknutými subjektmi. Cieľom je zabezpečiť jednotné posúdenie bezpečnostných rizík, koordináciu prípravy podujatia a prijatie primeraných bezpečnostných opatrení ešte pred jeho začatím.</w:t>
      </w:r>
    </w:p>
    <w:p w14:paraId="5AF40ED2" w14:textId="425936FA" w:rsidR="00803D50" w:rsidRPr="005B44AA" w:rsidRDefault="00803D50" w:rsidP="00803D50">
      <w:pPr>
        <w:spacing w:after="180" w:line="240" w:lineRule="auto"/>
        <w:ind w:firstLine="708"/>
        <w:jc w:val="both"/>
        <w:rPr>
          <w:rFonts w:ascii="Times New Roman" w:eastAsia="Calibri" w:hAnsi="Times New Roman" w:cs="Times New Roman"/>
          <w:sz w:val="24"/>
          <w:szCs w:val="24"/>
          <w:lang w:eastAsia="sk-SK"/>
        </w:rPr>
      </w:pPr>
      <w:r w:rsidRPr="005B44AA">
        <w:rPr>
          <w:rFonts w:ascii="Times New Roman" w:eastAsia="Calibri" w:hAnsi="Times New Roman" w:cs="Times New Roman"/>
          <w:sz w:val="24"/>
          <w:szCs w:val="24"/>
          <w:lang w:eastAsia="sk-SK"/>
        </w:rPr>
        <w:t>Návrh zákona zároveň posilňuje preventívny charakter výkonu verejnej správy. Navrhované oprávnenia obce zakázať podujatie alebo rozhodnúť o jeho prerušení sú viazané výlučne na prípady závažného porušenia zákonných povinností alebo bezprostredného ohrozenia života, zdravia, majetku alebo verejného poriadku. Ide o krajné opatreni</w:t>
      </w:r>
      <w:r w:rsidR="00DD2EB2">
        <w:rPr>
          <w:rFonts w:ascii="Times New Roman" w:eastAsia="Calibri" w:hAnsi="Times New Roman" w:cs="Times New Roman"/>
          <w:sz w:val="24"/>
          <w:szCs w:val="24"/>
          <w:lang w:eastAsia="sk-SK"/>
        </w:rPr>
        <w:t>e</w:t>
      </w:r>
      <w:r w:rsidRPr="005B44AA">
        <w:rPr>
          <w:rFonts w:ascii="Times New Roman" w:eastAsia="Calibri" w:hAnsi="Times New Roman" w:cs="Times New Roman"/>
          <w:sz w:val="24"/>
          <w:szCs w:val="24"/>
          <w:lang w:eastAsia="sk-SK"/>
        </w:rPr>
        <w:t>, ktor</w:t>
      </w:r>
      <w:r w:rsidR="00DD2EB2">
        <w:rPr>
          <w:rFonts w:ascii="Times New Roman" w:eastAsia="Calibri" w:hAnsi="Times New Roman" w:cs="Times New Roman"/>
          <w:sz w:val="24"/>
          <w:szCs w:val="24"/>
          <w:lang w:eastAsia="sk-SK"/>
        </w:rPr>
        <w:t>ého</w:t>
      </w:r>
      <w:r w:rsidRPr="005B44AA">
        <w:rPr>
          <w:rFonts w:ascii="Times New Roman" w:eastAsia="Calibri" w:hAnsi="Times New Roman" w:cs="Times New Roman"/>
          <w:sz w:val="24"/>
          <w:szCs w:val="24"/>
          <w:lang w:eastAsia="sk-SK"/>
        </w:rPr>
        <w:t xml:space="preserve"> účelom nie je obmedzovať organizovanie kultúrnych podujatí, ale zabezpečiť ochranu základných práv účastníkov a predísť vzniku závažných následkov.</w:t>
      </w:r>
    </w:p>
    <w:p w14:paraId="5FE97FCE" w14:textId="77777777" w:rsidR="00803D50" w:rsidRPr="005B44AA" w:rsidRDefault="00803D50" w:rsidP="00803D50">
      <w:pPr>
        <w:spacing w:after="180" w:line="240" w:lineRule="auto"/>
        <w:ind w:firstLine="708"/>
        <w:jc w:val="both"/>
        <w:rPr>
          <w:rFonts w:ascii="Times New Roman" w:eastAsia="Calibri" w:hAnsi="Times New Roman" w:cs="Times New Roman"/>
          <w:sz w:val="24"/>
          <w:szCs w:val="24"/>
          <w:lang w:eastAsia="sk-SK"/>
        </w:rPr>
      </w:pPr>
      <w:r w:rsidRPr="005B44AA">
        <w:rPr>
          <w:rFonts w:ascii="Times New Roman" w:eastAsia="Calibri" w:hAnsi="Times New Roman" w:cs="Times New Roman"/>
          <w:sz w:val="24"/>
          <w:szCs w:val="24"/>
          <w:lang w:eastAsia="sk-SK"/>
        </w:rPr>
        <w:t>Súčasťou návrhu je aj modernizácia sankčného systému. Výška pokút je diferencovaná podľa závažnosti porušenia povinností a podľa toho, či ide o bežné podujatie alebo podujatie s osobitným režimom. Takto nastavený systém zodpovedá zásade proporcionality správneho trestania a súčasne vytvára dostatočný preventívny účinok vo vzťahu k porušovaniu povinností organizátorov.</w:t>
      </w:r>
    </w:p>
    <w:p w14:paraId="6A81613B" w14:textId="369B5BB0" w:rsidR="00803D50" w:rsidRDefault="00E00A8A" w:rsidP="00803D50">
      <w:pPr>
        <w:spacing w:after="180" w:line="240" w:lineRule="auto"/>
        <w:ind w:firstLine="708"/>
        <w:jc w:val="both"/>
        <w:rPr>
          <w:rFonts w:ascii="Times New Roman" w:eastAsia="Calibri" w:hAnsi="Times New Roman" w:cs="Times New Roman"/>
          <w:sz w:val="24"/>
          <w:szCs w:val="24"/>
          <w:lang w:eastAsia="sk-SK"/>
        </w:rPr>
      </w:pPr>
      <w:r>
        <w:rPr>
          <w:rFonts w:ascii="Times New Roman" w:eastAsia="Calibri" w:hAnsi="Times New Roman" w:cs="Times New Roman"/>
          <w:sz w:val="24"/>
          <w:szCs w:val="24"/>
          <w:lang w:eastAsia="sk-SK"/>
        </w:rPr>
        <w:t>Zámerom predkladanej právnej úpravy ni</w:t>
      </w:r>
      <w:r w:rsidR="00803D50" w:rsidRPr="005B44AA">
        <w:rPr>
          <w:rFonts w:ascii="Times New Roman" w:eastAsia="Calibri" w:hAnsi="Times New Roman" w:cs="Times New Roman"/>
          <w:sz w:val="24"/>
          <w:szCs w:val="24"/>
          <w:lang w:eastAsia="sk-SK"/>
        </w:rPr>
        <w:t>e je obmedzovanie organizovania verejných kultúrnych podujatí</w:t>
      </w:r>
      <w:r w:rsidR="00D3750A">
        <w:rPr>
          <w:rFonts w:ascii="Times New Roman" w:eastAsia="Calibri" w:hAnsi="Times New Roman" w:cs="Times New Roman"/>
          <w:sz w:val="24"/>
          <w:szCs w:val="24"/>
          <w:lang w:eastAsia="sk-SK"/>
        </w:rPr>
        <w:t>, ale</w:t>
      </w:r>
      <w:r w:rsidR="00803D50" w:rsidRPr="005B44AA">
        <w:rPr>
          <w:rFonts w:ascii="Times New Roman" w:eastAsia="Calibri" w:hAnsi="Times New Roman" w:cs="Times New Roman"/>
          <w:sz w:val="24"/>
          <w:szCs w:val="24"/>
          <w:lang w:eastAsia="sk-SK"/>
        </w:rPr>
        <w:t xml:space="preserve"> vytvor</w:t>
      </w:r>
      <w:r w:rsidR="00D3750A">
        <w:rPr>
          <w:rFonts w:ascii="Times New Roman" w:eastAsia="Calibri" w:hAnsi="Times New Roman" w:cs="Times New Roman"/>
          <w:sz w:val="24"/>
          <w:szCs w:val="24"/>
          <w:lang w:eastAsia="sk-SK"/>
        </w:rPr>
        <w:t>enie</w:t>
      </w:r>
      <w:r w:rsidR="00803D50" w:rsidRPr="005B44AA">
        <w:rPr>
          <w:rFonts w:ascii="Times New Roman" w:eastAsia="Calibri" w:hAnsi="Times New Roman" w:cs="Times New Roman"/>
          <w:sz w:val="24"/>
          <w:szCs w:val="24"/>
          <w:lang w:eastAsia="sk-SK"/>
        </w:rPr>
        <w:t xml:space="preserve"> modern</w:t>
      </w:r>
      <w:r w:rsidR="00D3750A">
        <w:rPr>
          <w:rFonts w:ascii="Times New Roman" w:eastAsia="Calibri" w:hAnsi="Times New Roman" w:cs="Times New Roman"/>
          <w:sz w:val="24"/>
          <w:szCs w:val="24"/>
          <w:lang w:eastAsia="sk-SK"/>
        </w:rPr>
        <w:t>ého</w:t>
      </w:r>
      <w:r w:rsidR="00803D50" w:rsidRPr="005B44AA">
        <w:rPr>
          <w:rFonts w:ascii="Times New Roman" w:eastAsia="Calibri" w:hAnsi="Times New Roman" w:cs="Times New Roman"/>
          <w:sz w:val="24"/>
          <w:szCs w:val="24"/>
          <w:lang w:eastAsia="sk-SK"/>
        </w:rPr>
        <w:t>, systematick</w:t>
      </w:r>
      <w:r w:rsidR="00D3750A">
        <w:rPr>
          <w:rFonts w:ascii="Times New Roman" w:eastAsia="Calibri" w:hAnsi="Times New Roman" w:cs="Times New Roman"/>
          <w:sz w:val="24"/>
          <w:szCs w:val="24"/>
          <w:lang w:eastAsia="sk-SK"/>
        </w:rPr>
        <w:t>ého</w:t>
      </w:r>
      <w:r w:rsidR="00803D50" w:rsidRPr="005B44AA">
        <w:rPr>
          <w:rFonts w:ascii="Times New Roman" w:eastAsia="Calibri" w:hAnsi="Times New Roman" w:cs="Times New Roman"/>
          <w:sz w:val="24"/>
          <w:szCs w:val="24"/>
          <w:lang w:eastAsia="sk-SK"/>
        </w:rPr>
        <w:t xml:space="preserve"> a odborne podložen</w:t>
      </w:r>
      <w:r w:rsidR="00D3750A">
        <w:rPr>
          <w:rFonts w:ascii="Times New Roman" w:eastAsia="Calibri" w:hAnsi="Times New Roman" w:cs="Times New Roman"/>
          <w:sz w:val="24"/>
          <w:szCs w:val="24"/>
          <w:lang w:eastAsia="sk-SK"/>
        </w:rPr>
        <w:t>ého</w:t>
      </w:r>
      <w:r w:rsidR="00803D50" w:rsidRPr="005B44AA">
        <w:rPr>
          <w:rFonts w:ascii="Times New Roman" w:eastAsia="Calibri" w:hAnsi="Times New Roman" w:cs="Times New Roman"/>
          <w:sz w:val="24"/>
          <w:szCs w:val="24"/>
          <w:lang w:eastAsia="sk-SK"/>
        </w:rPr>
        <w:t xml:space="preserve"> právn</w:t>
      </w:r>
      <w:r w:rsidR="00D3750A">
        <w:rPr>
          <w:rFonts w:ascii="Times New Roman" w:eastAsia="Calibri" w:hAnsi="Times New Roman" w:cs="Times New Roman"/>
          <w:sz w:val="24"/>
          <w:szCs w:val="24"/>
          <w:lang w:eastAsia="sk-SK"/>
        </w:rPr>
        <w:t>eho</w:t>
      </w:r>
      <w:r w:rsidR="00803D50" w:rsidRPr="005B44AA">
        <w:rPr>
          <w:rFonts w:ascii="Times New Roman" w:eastAsia="Calibri" w:hAnsi="Times New Roman" w:cs="Times New Roman"/>
          <w:sz w:val="24"/>
          <w:szCs w:val="24"/>
          <w:lang w:eastAsia="sk-SK"/>
        </w:rPr>
        <w:t xml:space="preserve"> rámc</w:t>
      </w:r>
      <w:r w:rsidR="00D3750A">
        <w:rPr>
          <w:rFonts w:ascii="Times New Roman" w:eastAsia="Calibri" w:hAnsi="Times New Roman" w:cs="Times New Roman"/>
          <w:sz w:val="24"/>
          <w:szCs w:val="24"/>
          <w:lang w:eastAsia="sk-SK"/>
        </w:rPr>
        <w:t>a</w:t>
      </w:r>
      <w:r w:rsidR="00803D50" w:rsidRPr="005B44AA">
        <w:rPr>
          <w:rFonts w:ascii="Times New Roman" w:eastAsia="Calibri" w:hAnsi="Times New Roman" w:cs="Times New Roman"/>
          <w:sz w:val="24"/>
          <w:szCs w:val="24"/>
          <w:lang w:eastAsia="sk-SK"/>
        </w:rPr>
        <w:t>, ktorý umožní organizovať verejné kultúrne podujatia bezpečne, efektívne a pri zachovaní primeranej miery administratívnej záťaže. Návrh vychádza z poznatkov aplikačnej praxe, rešpektuje medzinárodné trendy v oblasti ochrany verejných zhromaždení a vytvára predpoklady na dlhodobé zvýšenie bezpečnosti verejných kultúrnych podujatí na území Slovenskej republiky.</w:t>
      </w:r>
      <w:r w:rsidR="00FB751B" w:rsidRPr="00FB751B">
        <w:rPr>
          <w:rFonts w:ascii="Times New Roman" w:eastAsia="Calibri" w:hAnsi="Times New Roman" w:cs="Times New Roman"/>
          <w:sz w:val="24"/>
          <w:szCs w:val="24"/>
          <w:lang w:eastAsia="sk-SK"/>
        </w:rPr>
        <w:t xml:space="preserve"> </w:t>
      </w:r>
      <w:r w:rsidR="00FB751B" w:rsidRPr="005B44AA">
        <w:rPr>
          <w:rFonts w:ascii="Times New Roman" w:eastAsia="Calibri" w:hAnsi="Times New Roman" w:cs="Times New Roman"/>
          <w:sz w:val="24"/>
          <w:szCs w:val="24"/>
          <w:lang w:eastAsia="sk-SK"/>
        </w:rPr>
        <w:t>Navrhované povinnosti organizátorov sledujú legitímny cieľ ochrany života, zdravia, majetku, verejného poriadku a bezpečnosti osôb a neprekračujú rozsah nevyhnutný na dosiahnutie uvedeného cieľa. Návrh zároveň vytvára transparentné pravidlá výkonu pôsobnosti orgánov verejnej správy a zabezpečuje predvídateľnosť ich rozhodovania.</w:t>
      </w:r>
    </w:p>
    <w:p w14:paraId="14C3D84D" w14:textId="3F8A2F7A" w:rsidR="00010B04" w:rsidRPr="00A56284" w:rsidRDefault="00010B04" w:rsidP="00010B04">
      <w:pPr>
        <w:spacing w:line="240" w:lineRule="auto"/>
        <w:ind w:firstLine="708"/>
        <w:jc w:val="both"/>
        <w:rPr>
          <w:rFonts w:ascii="Times New Roman" w:eastAsia="Calibri" w:hAnsi="Times New Roman" w:cs="Times New Roman"/>
          <w:color w:val="FF0000"/>
          <w:sz w:val="24"/>
          <w:szCs w:val="24"/>
        </w:rPr>
      </w:pPr>
      <w:r w:rsidRPr="00010B04">
        <w:rPr>
          <w:rFonts w:ascii="Times New Roman" w:eastAsia="Calibri" w:hAnsi="Times New Roman" w:cs="Times New Roman"/>
          <w:sz w:val="24"/>
          <w:szCs w:val="24"/>
        </w:rPr>
        <w:t xml:space="preserve">Návrh zákona </w:t>
      </w:r>
      <w:r w:rsidR="00A56284" w:rsidRPr="00A56284">
        <w:rPr>
          <w:rFonts w:ascii="Times New Roman" w:eastAsia="Calibri" w:hAnsi="Times New Roman" w:cs="Times New Roman"/>
          <w:sz w:val="24"/>
          <w:szCs w:val="24"/>
        </w:rPr>
        <w:t xml:space="preserve">nepredpokladá </w:t>
      </w:r>
      <w:r w:rsidRPr="00A56284">
        <w:rPr>
          <w:rFonts w:ascii="Times New Roman" w:eastAsia="Calibri" w:hAnsi="Times New Roman" w:cs="Times New Roman"/>
          <w:sz w:val="24"/>
          <w:szCs w:val="24"/>
        </w:rPr>
        <w:t>vplyv na rozpočet verejnej správy, na podnikateľské prostredie, na služby verejnej správy pre občana</w:t>
      </w:r>
      <w:r w:rsidR="00A56284">
        <w:rPr>
          <w:rFonts w:ascii="Times New Roman" w:eastAsia="Calibri" w:hAnsi="Times New Roman" w:cs="Times New Roman"/>
          <w:sz w:val="24"/>
          <w:szCs w:val="24"/>
        </w:rPr>
        <w:t>,</w:t>
      </w:r>
      <w:r w:rsidRPr="00A56284">
        <w:rPr>
          <w:rFonts w:ascii="Times New Roman" w:eastAsia="Calibri" w:hAnsi="Times New Roman" w:cs="Times New Roman"/>
          <w:sz w:val="24"/>
          <w:szCs w:val="24"/>
        </w:rPr>
        <w:t xml:space="preserve"> na  informatizáciu spoločnosti</w:t>
      </w:r>
      <w:r w:rsidR="00A56284">
        <w:rPr>
          <w:rFonts w:ascii="Times New Roman" w:eastAsia="Calibri" w:hAnsi="Times New Roman" w:cs="Times New Roman"/>
          <w:sz w:val="24"/>
          <w:szCs w:val="24"/>
        </w:rPr>
        <w:t>,</w:t>
      </w:r>
      <w:r w:rsidRPr="00A56284">
        <w:rPr>
          <w:rFonts w:ascii="Times New Roman" w:eastAsia="Calibri" w:hAnsi="Times New Roman" w:cs="Times New Roman"/>
          <w:sz w:val="24"/>
          <w:szCs w:val="24"/>
        </w:rPr>
        <w:t xml:space="preserve"> na manželstvo, rodičovstvo a rodinu ani na životné prostredie. </w:t>
      </w:r>
    </w:p>
    <w:p w14:paraId="1082F32B" w14:textId="77777777" w:rsidR="005E066C" w:rsidRDefault="005E066C" w:rsidP="005E066C">
      <w:pPr>
        <w:spacing w:after="0" w:line="240" w:lineRule="auto"/>
        <w:ind w:firstLine="709"/>
        <w:jc w:val="both"/>
        <w:rPr>
          <w:rFonts w:ascii="Times New Roman" w:eastAsia="Calibri" w:hAnsi="Times New Roman" w:cs="Times New Roman"/>
          <w:spacing w:val="28"/>
          <w:sz w:val="24"/>
          <w:szCs w:val="24"/>
        </w:rPr>
      </w:pPr>
      <w:r w:rsidRPr="005E066C">
        <w:rPr>
          <w:rFonts w:ascii="Times New Roman" w:eastAsia="Calibri" w:hAnsi="Times New Roman" w:cs="Times New Roman"/>
          <w:sz w:val="24"/>
          <w:szCs w:val="24"/>
        </w:rPr>
        <w:t>Návrh</w:t>
      </w:r>
      <w:r w:rsidRPr="005E066C">
        <w:rPr>
          <w:rFonts w:ascii="Times New Roman" w:eastAsia="Calibri" w:hAnsi="Times New Roman" w:cs="Times New Roman"/>
          <w:spacing w:val="28"/>
          <w:sz w:val="24"/>
          <w:szCs w:val="24"/>
        </w:rPr>
        <w:t xml:space="preserve"> </w:t>
      </w:r>
      <w:r w:rsidRPr="005E066C">
        <w:rPr>
          <w:rFonts w:ascii="Times New Roman" w:eastAsia="Calibri" w:hAnsi="Times New Roman" w:cs="Times New Roman"/>
          <w:sz w:val="24"/>
          <w:szCs w:val="24"/>
        </w:rPr>
        <w:t>zákona</w:t>
      </w:r>
      <w:r w:rsidRPr="005E066C">
        <w:rPr>
          <w:rFonts w:ascii="Times New Roman" w:eastAsia="Calibri" w:hAnsi="Times New Roman" w:cs="Times New Roman"/>
          <w:spacing w:val="28"/>
          <w:sz w:val="24"/>
          <w:szCs w:val="24"/>
        </w:rPr>
        <w:t xml:space="preserve"> </w:t>
      </w:r>
      <w:r w:rsidRPr="005E066C">
        <w:rPr>
          <w:rFonts w:ascii="Times New Roman" w:eastAsia="Calibri" w:hAnsi="Times New Roman" w:cs="Times New Roman"/>
          <w:sz w:val="24"/>
          <w:szCs w:val="24"/>
        </w:rPr>
        <w:t>nie</w:t>
      </w:r>
      <w:r w:rsidRPr="005E066C">
        <w:rPr>
          <w:rFonts w:ascii="Times New Roman" w:eastAsia="Calibri" w:hAnsi="Times New Roman" w:cs="Times New Roman"/>
          <w:spacing w:val="28"/>
          <w:sz w:val="24"/>
          <w:szCs w:val="24"/>
        </w:rPr>
        <w:t xml:space="preserve"> </w:t>
      </w:r>
      <w:r w:rsidRPr="005E066C">
        <w:rPr>
          <w:rFonts w:ascii="Times New Roman" w:eastAsia="Calibri" w:hAnsi="Times New Roman" w:cs="Times New Roman"/>
          <w:sz w:val="24"/>
          <w:szCs w:val="24"/>
        </w:rPr>
        <w:t>je</w:t>
      </w:r>
      <w:r w:rsidRPr="005E066C">
        <w:rPr>
          <w:rFonts w:ascii="Times New Roman" w:eastAsia="Calibri" w:hAnsi="Times New Roman" w:cs="Times New Roman"/>
          <w:spacing w:val="28"/>
          <w:sz w:val="24"/>
          <w:szCs w:val="24"/>
        </w:rPr>
        <w:t xml:space="preserve"> </w:t>
      </w:r>
      <w:r w:rsidRPr="005E066C">
        <w:rPr>
          <w:rFonts w:ascii="Times New Roman" w:eastAsia="Calibri" w:hAnsi="Times New Roman" w:cs="Times New Roman"/>
          <w:sz w:val="24"/>
          <w:szCs w:val="24"/>
        </w:rPr>
        <w:t>predmetom</w:t>
      </w:r>
      <w:r w:rsidRPr="005E066C">
        <w:rPr>
          <w:rFonts w:ascii="Times New Roman" w:eastAsia="Calibri" w:hAnsi="Times New Roman" w:cs="Times New Roman"/>
          <w:spacing w:val="28"/>
          <w:sz w:val="24"/>
          <w:szCs w:val="24"/>
        </w:rPr>
        <w:t xml:space="preserve"> </w:t>
      </w:r>
      <w:r w:rsidRPr="005E066C">
        <w:rPr>
          <w:rFonts w:ascii="Times New Roman" w:eastAsia="Calibri" w:hAnsi="Times New Roman" w:cs="Times New Roman"/>
          <w:sz w:val="24"/>
          <w:szCs w:val="24"/>
        </w:rPr>
        <w:t>vnútrokomunitárneho</w:t>
      </w:r>
      <w:r w:rsidRPr="005E066C">
        <w:rPr>
          <w:rFonts w:ascii="Times New Roman" w:eastAsia="Calibri" w:hAnsi="Times New Roman" w:cs="Times New Roman"/>
          <w:spacing w:val="28"/>
          <w:sz w:val="24"/>
          <w:szCs w:val="24"/>
        </w:rPr>
        <w:t xml:space="preserve"> </w:t>
      </w:r>
      <w:r w:rsidRPr="005E066C">
        <w:rPr>
          <w:rFonts w:ascii="Times New Roman" w:eastAsia="Calibri" w:hAnsi="Times New Roman" w:cs="Times New Roman"/>
          <w:sz w:val="24"/>
          <w:szCs w:val="24"/>
        </w:rPr>
        <w:t>pripomienkového</w:t>
      </w:r>
      <w:r w:rsidRPr="005E066C">
        <w:rPr>
          <w:rFonts w:ascii="Times New Roman" w:eastAsia="Calibri" w:hAnsi="Times New Roman" w:cs="Times New Roman"/>
          <w:spacing w:val="28"/>
          <w:sz w:val="24"/>
          <w:szCs w:val="24"/>
        </w:rPr>
        <w:t xml:space="preserve"> </w:t>
      </w:r>
      <w:r w:rsidRPr="005E066C">
        <w:rPr>
          <w:rFonts w:ascii="Times New Roman" w:eastAsia="Calibri" w:hAnsi="Times New Roman" w:cs="Times New Roman"/>
          <w:sz w:val="24"/>
          <w:szCs w:val="24"/>
        </w:rPr>
        <w:t>konania.</w:t>
      </w:r>
      <w:r w:rsidRPr="005E066C">
        <w:rPr>
          <w:rFonts w:ascii="Times New Roman" w:eastAsia="Calibri" w:hAnsi="Times New Roman" w:cs="Times New Roman"/>
          <w:spacing w:val="28"/>
          <w:sz w:val="24"/>
          <w:szCs w:val="24"/>
        </w:rPr>
        <w:t xml:space="preserve"> </w:t>
      </w:r>
    </w:p>
    <w:p w14:paraId="2B4E356A" w14:textId="77777777" w:rsidR="005E066C" w:rsidRPr="005E066C" w:rsidRDefault="005E066C" w:rsidP="005E066C">
      <w:pPr>
        <w:spacing w:after="0" w:line="240" w:lineRule="auto"/>
        <w:ind w:firstLine="709"/>
        <w:jc w:val="both"/>
        <w:rPr>
          <w:rFonts w:ascii="Times New Roman" w:eastAsia="Calibri" w:hAnsi="Times New Roman" w:cs="Times New Roman"/>
          <w:spacing w:val="28"/>
          <w:sz w:val="24"/>
          <w:szCs w:val="24"/>
        </w:rPr>
      </w:pPr>
    </w:p>
    <w:p w14:paraId="666F03DD" w14:textId="0C35BB1E" w:rsidR="00F96254" w:rsidRDefault="00BD2DA1" w:rsidP="00B37B83">
      <w:pPr>
        <w:spacing w:after="0" w:line="240" w:lineRule="auto"/>
        <w:ind w:firstLine="709"/>
        <w:jc w:val="both"/>
      </w:pPr>
      <w:r w:rsidRPr="00580B50">
        <w:rPr>
          <w:rFonts w:ascii="Times New Roman" w:hAnsi="Times New Roman" w:cs="Times New Roman"/>
          <w:sz w:val="24"/>
          <w:szCs w:val="24"/>
        </w:rPr>
        <w:t xml:space="preserve">Návrh zákona je v súlade s Ústavou Slovenskej republiky, ústavnými zákonmi a nálezmi ústavného súdu, s inými zákonmi a medzinárodnými zmluvami a inými medzinárodnými dokumentmi, ktorými je Slovenská republika viazaná, a s právom Európskej únie. </w:t>
      </w:r>
      <w:r w:rsidR="00A77B36">
        <w:tab/>
      </w:r>
    </w:p>
    <w:p w14:paraId="165B7B5F" w14:textId="77777777" w:rsidR="005B44AA" w:rsidRDefault="005B44AA" w:rsidP="00B37B83">
      <w:pPr>
        <w:spacing w:after="0" w:line="240" w:lineRule="auto"/>
        <w:ind w:firstLine="709"/>
        <w:jc w:val="both"/>
      </w:pPr>
    </w:p>
    <w:p w14:paraId="4E98B77D" w14:textId="77777777" w:rsidR="005B44AA" w:rsidRDefault="005B44AA" w:rsidP="00B37B83">
      <w:pPr>
        <w:spacing w:after="0" w:line="240" w:lineRule="auto"/>
        <w:ind w:firstLine="709"/>
        <w:jc w:val="both"/>
      </w:pPr>
    </w:p>
    <w:p w14:paraId="53C4174B" w14:textId="77777777" w:rsidR="005B44AA" w:rsidRDefault="005B44AA" w:rsidP="00B37B83">
      <w:pPr>
        <w:spacing w:after="0" w:line="240" w:lineRule="auto"/>
        <w:ind w:firstLine="709"/>
        <w:jc w:val="both"/>
      </w:pPr>
    </w:p>
    <w:p w14:paraId="24BE6CC4" w14:textId="77777777" w:rsidR="005B44AA" w:rsidRPr="00580B50" w:rsidRDefault="005B44AA" w:rsidP="00B37B83">
      <w:pPr>
        <w:spacing w:after="0" w:line="240" w:lineRule="auto"/>
        <w:ind w:firstLine="709"/>
        <w:jc w:val="both"/>
      </w:pPr>
    </w:p>
    <w:sectPr w:rsidR="005B44AA" w:rsidRPr="00580B5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592CC" w14:textId="77777777" w:rsidR="00F55689" w:rsidRDefault="00F55689" w:rsidP="008F527C">
      <w:pPr>
        <w:spacing w:after="0" w:line="240" w:lineRule="auto"/>
      </w:pPr>
      <w:r>
        <w:separator/>
      </w:r>
    </w:p>
  </w:endnote>
  <w:endnote w:type="continuationSeparator" w:id="0">
    <w:p w14:paraId="55BB1555" w14:textId="77777777" w:rsidR="00F55689" w:rsidRDefault="00F55689" w:rsidP="008F5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772368"/>
      <w:docPartObj>
        <w:docPartGallery w:val="Page Numbers (Bottom of Page)"/>
        <w:docPartUnique/>
      </w:docPartObj>
    </w:sdtPr>
    <w:sdtContent>
      <w:p w14:paraId="539096E4" w14:textId="1758A889" w:rsidR="008F527C" w:rsidRDefault="008F527C">
        <w:pPr>
          <w:pStyle w:val="Pta"/>
          <w:jc w:val="center"/>
        </w:pPr>
        <w:r>
          <w:fldChar w:fldCharType="begin"/>
        </w:r>
        <w:r>
          <w:instrText>PAGE   \* MERGEFORMAT</w:instrText>
        </w:r>
        <w:r>
          <w:fldChar w:fldCharType="separate"/>
        </w:r>
        <w:r w:rsidR="00A56284">
          <w:rPr>
            <w:noProof/>
          </w:rPr>
          <w:t>1</w:t>
        </w:r>
        <w:r>
          <w:fldChar w:fldCharType="end"/>
        </w:r>
      </w:p>
    </w:sdtContent>
  </w:sdt>
  <w:p w14:paraId="6CF98D3B" w14:textId="77777777" w:rsidR="008F527C" w:rsidRDefault="008F527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21C61" w14:textId="77777777" w:rsidR="00F55689" w:rsidRDefault="00F55689" w:rsidP="008F527C">
      <w:pPr>
        <w:spacing w:after="0" w:line="240" w:lineRule="auto"/>
      </w:pPr>
      <w:r>
        <w:separator/>
      </w:r>
    </w:p>
  </w:footnote>
  <w:footnote w:type="continuationSeparator" w:id="0">
    <w:p w14:paraId="6C18713E" w14:textId="77777777" w:rsidR="00F55689" w:rsidRDefault="00F55689" w:rsidP="008F5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7DED"/>
    <w:multiLevelType w:val="hybridMultilevel"/>
    <w:tmpl w:val="4B8CB81E"/>
    <w:lvl w:ilvl="0" w:tplc="D2A6C08C">
      <w:start w:val="1"/>
      <w:numFmt w:val="bullet"/>
      <w:lvlText w:val=""/>
      <w:lvlJc w:val="left"/>
      <w:pPr>
        <w:ind w:left="1428" w:hanging="360"/>
      </w:pPr>
      <w:rPr>
        <w:rFonts w:ascii="Symbol" w:hAnsi="Symbol" w:hint="default"/>
        <w:color w:val="000000" w:themeColor="text1"/>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 w15:restartNumberingAfterBreak="0">
    <w:nsid w:val="0C5F5B30"/>
    <w:multiLevelType w:val="hybridMultilevel"/>
    <w:tmpl w:val="100E3AFE"/>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 w15:restartNumberingAfterBreak="0">
    <w:nsid w:val="3B921D7C"/>
    <w:multiLevelType w:val="hybridMultilevel"/>
    <w:tmpl w:val="3D48454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948508783">
    <w:abstractNumId w:val="2"/>
  </w:num>
  <w:num w:numId="2" w16cid:durableId="464858028">
    <w:abstractNumId w:val="1"/>
  </w:num>
  <w:num w:numId="3" w16cid:durableId="1430159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DA1"/>
    <w:rsid w:val="000077C5"/>
    <w:rsid w:val="00010B04"/>
    <w:rsid w:val="00012159"/>
    <w:rsid w:val="00015E00"/>
    <w:rsid w:val="00030E01"/>
    <w:rsid w:val="00034EA7"/>
    <w:rsid w:val="00043106"/>
    <w:rsid w:val="00063DE1"/>
    <w:rsid w:val="00093460"/>
    <w:rsid w:val="00094E35"/>
    <w:rsid w:val="00097697"/>
    <w:rsid w:val="000A0F37"/>
    <w:rsid w:val="000A5B8C"/>
    <w:rsid w:val="000B096E"/>
    <w:rsid w:val="000B4CF9"/>
    <w:rsid w:val="000B6668"/>
    <w:rsid w:val="000E3DD7"/>
    <w:rsid w:val="000E4081"/>
    <w:rsid w:val="000F0525"/>
    <w:rsid w:val="00110E59"/>
    <w:rsid w:val="001110EA"/>
    <w:rsid w:val="001179FB"/>
    <w:rsid w:val="00120299"/>
    <w:rsid w:val="00145134"/>
    <w:rsid w:val="0015007B"/>
    <w:rsid w:val="00164E33"/>
    <w:rsid w:val="00186725"/>
    <w:rsid w:val="001A2C36"/>
    <w:rsid w:val="001A7622"/>
    <w:rsid w:val="001C06CA"/>
    <w:rsid w:val="001C75DB"/>
    <w:rsid w:val="002064BD"/>
    <w:rsid w:val="00212E8F"/>
    <w:rsid w:val="00227FE8"/>
    <w:rsid w:val="002421D3"/>
    <w:rsid w:val="002451F7"/>
    <w:rsid w:val="00245FAD"/>
    <w:rsid w:val="00250BF1"/>
    <w:rsid w:val="002661FA"/>
    <w:rsid w:val="00285BEF"/>
    <w:rsid w:val="00290A7B"/>
    <w:rsid w:val="00292A21"/>
    <w:rsid w:val="00293E1C"/>
    <w:rsid w:val="002A4E41"/>
    <w:rsid w:val="002A5D20"/>
    <w:rsid w:val="002A77F9"/>
    <w:rsid w:val="002B6749"/>
    <w:rsid w:val="002C15EF"/>
    <w:rsid w:val="00303C0C"/>
    <w:rsid w:val="00306EDB"/>
    <w:rsid w:val="003122F1"/>
    <w:rsid w:val="00314592"/>
    <w:rsid w:val="00323338"/>
    <w:rsid w:val="003267CF"/>
    <w:rsid w:val="00334495"/>
    <w:rsid w:val="003352FE"/>
    <w:rsid w:val="00335774"/>
    <w:rsid w:val="00335B9E"/>
    <w:rsid w:val="00341646"/>
    <w:rsid w:val="00350707"/>
    <w:rsid w:val="00351A28"/>
    <w:rsid w:val="003756BE"/>
    <w:rsid w:val="00376CF4"/>
    <w:rsid w:val="003772B8"/>
    <w:rsid w:val="00383FB7"/>
    <w:rsid w:val="003910D7"/>
    <w:rsid w:val="0039307D"/>
    <w:rsid w:val="00393F3E"/>
    <w:rsid w:val="003A2521"/>
    <w:rsid w:val="003C329F"/>
    <w:rsid w:val="003C46AB"/>
    <w:rsid w:val="003C46B4"/>
    <w:rsid w:val="003E210A"/>
    <w:rsid w:val="003E369B"/>
    <w:rsid w:val="003E3D7B"/>
    <w:rsid w:val="00411EC1"/>
    <w:rsid w:val="00414D6C"/>
    <w:rsid w:val="00430011"/>
    <w:rsid w:val="00434070"/>
    <w:rsid w:val="00441DD6"/>
    <w:rsid w:val="004469F9"/>
    <w:rsid w:val="00461816"/>
    <w:rsid w:val="00467DE7"/>
    <w:rsid w:val="00474A54"/>
    <w:rsid w:val="0048278F"/>
    <w:rsid w:val="004A5953"/>
    <w:rsid w:val="004C06DB"/>
    <w:rsid w:val="004C0995"/>
    <w:rsid w:val="004C32A3"/>
    <w:rsid w:val="004D0A82"/>
    <w:rsid w:val="004E362B"/>
    <w:rsid w:val="004E43DF"/>
    <w:rsid w:val="004E4754"/>
    <w:rsid w:val="004E77C4"/>
    <w:rsid w:val="004E7D3B"/>
    <w:rsid w:val="004F01B1"/>
    <w:rsid w:val="004F412B"/>
    <w:rsid w:val="004F4E9F"/>
    <w:rsid w:val="00510F4C"/>
    <w:rsid w:val="00515223"/>
    <w:rsid w:val="005214ED"/>
    <w:rsid w:val="00521F39"/>
    <w:rsid w:val="00527246"/>
    <w:rsid w:val="005438F2"/>
    <w:rsid w:val="005444BD"/>
    <w:rsid w:val="00545210"/>
    <w:rsid w:val="005504E9"/>
    <w:rsid w:val="005519AA"/>
    <w:rsid w:val="00566D61"/>
    <w:rsid w:val="005708EA"/>
    <w:rsid w:val="00580B50"/>
    <w:rsid w:val="005902BD"/>
    <w:rsid w:val="005939AE"/>
    <w:rsid w:val="005B2667"/>
    <w:rsid w:val="005B44AA"/>
    <w:rsid w:val="005B7178"/>
    <w:rsid w:val="005D2BA3"/>
    <w:rsid w:val="005D7CF6"/>
    <w:rsid w:val="005E066C"/>
    <w:rsid w:val="005F5A46"/>
    <w:rsid w:val="006068CC"/>
    <w:rsid w:val="00610970"/>
    <w:rsid w:val="006235DA"/>
    <w:rsid w:val="00631224"/>
    <w:rsid w:val="00642CB3"/>
    <w:rsid w:val="00644161"/>
    <w:rsid w:val="00650889"/>
    <w:rsid w:val="006564BC"/>
    <w:rsid w:val="00664530"/>
    <w:rsid w:val="00667FBA"/>
    <w:rsid w:val="00676961"/>
    <w:rsid w:val="0069343A"/>
    <w:rsid w:val="006A3BCE"/>
    <w:rsid w:val="006A654E"/>
    <w:rsid w:val="006B0152"/>
    <w:rsid w:val="006B2F51"/>
    <w:rsid w:val="006B6109"/>
    <w:rsid w:val="006C1B71"/>
    <w:rsid w:val="006C2405"/>
    <w:rsid w:val="006D001E"/>
    <w:rsid w:val="006D108C"/>
    <w:rsid w:val="006D1216"/>
    <w:rsid w:val="006E09BB"/>
    <w:rsid w:val="006F11A9"/>
    <w:rsid w:val="006F2B06"/>
    <w:rsid w:val="006F6FE6"/>
    <w:rsid w:val="00703EFF"/>
    <w:rsid w:val="00715F1E"/>
    <w:rsid w:val="00724DD7"/>
    <w:rsid w:val="007267E1"/>
    <w:rsid w:val="00744D07"/>
    <w:rsid w:val="007460B0"/>
    <w:rsid w:val="0074618A"/>
    <w:rsid w:val="00781AF3"/>
    <w:rsid w:val="00785744"/>
    <w:rsid w:val="00797094"/>
    <w:rsid w:val="007A63D4"/>
    <w:rsid w:val="007B5608"/>
    <w:rsid w:val="007B5688"/>
    <w:rsid w:val="007B6E29"/>
    <w:rsid w:val="007D51AC"/>
    <w:rsid w:val="007F2ACE"/>
    <w:rsid w:val="007F6B7C"/>
    <w:rsid w:val="00803D50"/>
    <w:rsid w:val="00815550"/>
    <w:rsid w:val="00824DB3"/>
    <w:rsid w:val="008514E0"/>
    <w:rsid w:val="008525AF"/>
    <w:rsid w:val="00860C6C"/>
    <w:rsid w:val="00864F42"/>
    <w:rsid w:val="00867341"/>
    <w:rsid w:val="00893F6E"/>
    <w:rsid w:val="0089556A"/>
    <w:rsid w:val="008A04FC"/>
    <w:rsid w:val="008D10EA"/>
    <w:rsid w:val="008E60C7"/>
    <w:rsid w:val="008F2C77"/>
    <w:rsid w:val="008F527C"/>
    <w:rsid w:val="00931E2F"/>
    <w:rsid w:val="0095337B"/>
    <w:rsid w:val="00963F0D"/>
    <w:rsid w:val="0096495F"/>
    <w:rsid w:val="00970B40"/>
    <w:rsid w:val="00972500"/>
    <w:rsid w:val="0098046F"/>
    <w:rsid w:val="009866B4"/>
    <w:rsid w:val="00994A6A"/>
    <w:rsid w:val="009973F0"/>
    <w:rsid w:val="009A226D"/>
    <w:rsid w:val="009A3FF2"/>
    <w:rsid w:val="009A4DF6"/>
    <w:rsid w:val="009B1D03"/>
    <w:rsid w:val="009B68A2"/>
    <w:rsid w:val="009E2438"/>
    <w:rsid w:val="009E77B3"/>
    <w:rsid w:val="00A00493"/>
    <w:rsid w:val="00A0084B"/>
    <w:rsid w:val="00A053F5"/>
    <w:rsid w:val="00A13C06"/>
    <w:rsid w:val="00A43222"/>
    <w:rsid w:val="00A4435C"/>
    <w:rsid w:val="00A5310D"/>
    <w:rsid w:val="00A56284"/>
    <w:rsid w:val="00A601BA"/>
    <w:rsid w:val="00A6511D"/>
    <w:rsid w:val="00A774BE"/>
    <w:rsid w:val="00A77B36"/>
    <w:rsid w:val="00AA2A08"/>
    <w:rsid w:val="00AC2592"/>
    <w:rsid w:val="00AC2CDC"/>
    <w:rsid w:val="00AE0DF0"/>
    <w:rsid w:val="00AE2EEB"/>
    <w:rsid w:val="00AE3D64"/>
    <w:rsid w:val="00AF37A9"/>
    <w:rsid w:val="00B10FA5"/>
    <w:rsid w:val="00B15D8B"/>
    <w:rsid w:val="00B1667E"/>
    <w:rsid w:val="00B37B83"/>
    <w:rsid w:val="00B520E5"/>
    <w:rsid w:val="00B55DFA"/>
    <w:rsid w:val="00B62A4F"/>
    <w:rsid w:val="00B64B88"/>
    <w:rsid w:val="00B66239"/>
    <w:rsid w:val="00B717F4"/>
    <w:rsid w:val="00B72E46"/>
    <w:rsid w:val="00B738D4"/>
    <w:rsid w:val="00B751D1"/>
    <w:rsid w:val="00BA20BD"/>
    <w:rsid w:val="00BA4988"/>
    <w:rsid w:val="00BA5476"/>
    <w:rsid w:val="00BB2A53"/>
    <w:rsid w:val="00BB3A53"/>
    <w:rsid w:val="00BC0E16"/>
    <w:rsid w:val="00BC12A0"/>
    <w:rsid w:val="00BD1E33"/>
    <w:rsid w:val="00BD24F5"/>
    <w:rsid w:val="00BD2DA1"/>
    <w:rsid w:val="00BF00BA"/>
    <w:rsid w:val="00BF1EAA"/>
    <w:rsid w:val="00C02CAA"/>
    <w:rsid w:val="00C03157"/>
    <w:rsid w:val="00C250D0"/>
    <w:rsid w:val="00C31F6E"/>
    <w:rsid w:val="00C33D73"/>
    <w:rsid w:val="00C34C22"/>
    <w:rsid w:val="00C44F6C"/>
    <w:rsid w:val="00C45FC6"/>
    <w:rsid w:val="00C859A9"/>
    <w:rsid w:val="00C942EE"/>
    <w:rsid w:val="00CA5EF3"/>
    <w:rsid w:val="00CB02C5"/>
    <w:rsid w:val="00CC18BA"/>
    <w:rsid w:val="00CC2587"/>
    <w:rsid w:val="00CC2FAD"/>
    <w:rsid w:val="00CD0E45"/>
    <w:rsid w:val="00CD1802"/>
    <w:rsid w:val="00CE17E0"/>
    <w:rsid w:val="00CE3956"/>
    <w:rsid w:val="00CE7AEF"/>
    <w:rsid w:val="00CF3E28"/>
    <w:rsid w:val="00D15751"/>
    <w:rsid w:val="00D21F75"/>
    <w:rsid w:val="00D251C7"/>
    <w:rsid w:val="00D34BEB"/>
    <w:rsid w:val="00D3750A"/>
    <w:rsid w:val="00D42A8D"/>
    <w:rsid w:val="00D430A5"/>
    <w:rsid w:val="00D467BE"/>
    <w:rsid w:val="00D46C7C"/>
    <w:rsid w:val="00D56BA7"/>
    <w:rsid w:val="00D62FC3"/>
    <w:rsid w:val="00D6706C"/>
    <w:rsid w:val="00DA732E"/>
    <w:rsid w:val="00DB4184"/>
    <w:rsid w:val="00DC0E43"/>
    <w:rsid w:val="00DD2EA8"/>
    <w:rsid w:val="00DD2EB2"/>
    <w:rsid w:val="00DD5BF6"/>
    <w:rsid w:val="00DD6D2F"/>
    <w:rsid w:val="00DE0E4B"/>
    <w:rsid w:val="00DE1D2A"/>
    <w:rsid w:val="00DF2EFD"/>
    <w:rsid w:val="00E00A8A"/>
    <w:rsid w:val="00E01497"/>
    <w:rsid w:val="00E15514"/>
    <w:rsid w:val="00E16D19"/>
    <w:rsid w:val="00E20213"/>
    <w:rsid w:val="00E3557A"/>
    <w:rsid w:val="00E43023"/>
    <w:rsid w:val="00E53033"/>
    <w:rsid w:val="00E6277C"/>
    <w:rsid w:val="00EA0BA9"/>
    <w:rsid w:val="00EA20D9"/>
    <w:rsid w:val="00EA2989"/>
    <w:rsid w:val="00EB6D8D"/>
    <w:rsid w:val="00EC1446"/>
    <w:rsid w:val="00EC22D4"/>
    <w:rsid w:val="00EE081E"/>
    <w:rsid w:val="00EE49A0"/>
    <w:rsid w:val="00EF60E1"/>
    <w:rsid w:val="00EF720B"/>
    <w:rsid w:val="00F03049"/>
    <w:rsid w:val="00F13A14"/>
    <w:rsid w:val="00F22F9B"/>
    <w:rsid w:val="00F35F79"/>
    <w:rsid w:val="00F42EF1"/>
    <w:rsid w:val="00F55689"/>
    <w:rsid w:val="00F63C2D"/>
    <w:rsid w:val="00F67487"/>
    <w:rsid w:val="00F92426"/>
    <w:rsid w:val="00F96254"/>
    <w:rsid w:val="00FA6918"/>
    <w:rsid w:val="00FB4F32"/>
    <w:rsid w:val="00FB751B"/>
    <w:rsid w:val="00FC01B7"/>
    <w:rsid w:val="00FC53DE"/>
    <w:rsid w:val="00FD156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7D239"/>
  <w15:docId w15:val="{AC4ECE63-EF08-4159-B2D4-14E6BA832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D2DA1"/>
    <w:pPr>
      <w:spacing w:after="160" w:line="259"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F527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F527C"/>
  </w:style>
  <w:style w:type="paragraph" w:styleId="Pta">
    <w:name w:val="footer"/>
    <w:basedOn w:val="Normlny"/>
    <w:link w:val="PtaChar"/>
    <w:uiPriority w:val="99"/>
    <w:unhideWhenUsed/>
    <w:rsid w:val="008F527C"/>
    <w:pPr>
      <w:tabs>
        <w:tab w:val="center" w:pos="4536"/>
        <w:tab w:val="right" w:pos="9072"/>
      </w:tabs>
      <w:spacing w:after="0" w:line="240" w:lineRule="auto"/>
    </w:pPr>
  </w:style>
  <w:style w:type="character" w:customStyle="1" w:styleId="PtaChar">
    <w:name w:val="Päta Char"/>
    <w:basedOn w:val="Predvolenpsmoodseku"/>
    <w:link w:val="Pta"/>
    <w:uiPriority w:val="99"/>
    <w:rsid w:val="008F527C"/>
  </w:style>
  <w:style w:type="paragraph" w:styleId="Odsekzoznamu">
    <w:name w:val="List Paragraph"/>
    <w:aliases w:val="body,Odsek zoznamu2,Odsek,Odsek zoznamu1"/>
    <w:basedOn w:val="Normlny"/>
    <w:link w:val="OdsekzoznamuChar"/>
    <w:uiPriority w:val="34"/>
    <w:qFormat/>
    <w:rsid w:val="00F96254"/>
    <w:pPr>
      <w:ind w:left="720"/>
      <w:contextualSpacing/>
    </w:pPr>
  </w:style>
  <w:style w:type="character" w:customStyle="1" w:styleId="OdsekzoznamuChar">
    <w:name w:val="Odsek zoznamu Char"/>
    <w:aliases w:val="body Char,Odsek zoznamu2 Char,Odsek Char,Odsek zoznamu1 Char"/>
    <w:link w:val="Odsekzoznamu"/>
    <w:uiPriority w:val="34"/>
    <w:qFormat/>
    <w:locked/>
    <w:rsid w:val="00F96254"/>
  </w:style>
  <w:style w:type="paragraph" w:styleId="Revzia">
    <w:name w:val="Revision"/>
    <w:hidden/>
    <w:uiPriority w:val="99"/>
    <w:semiHidden/>
    <w:rsid w:val="007F2ACE"/>
    <w:pPr>
      <w:spacing w:after="0" w:line="240" w:lineRule="auto"/>
    </w:pPr>
  </w:style>
  <w:style w:type="character" w:styleId="Zstupntext">
    <w:name w:val="Placeholder Text"/>
    <w:basedOn w:val="Predvolenpsmoodseku"/>
    <w:uiPriority w:val="99"/>
    <w:semiHidden/>
    <w:rsid w:val="001110EA"/>
    <w:rPr>
      <w:rFonts w:ascii="Times New Roman" w:hAnsi="Times New Roman" w:cs="Times New Roman"/>
      <w:color w:val="808080"/>
    </w:rPr>
  </w:style>
  <w:style w:type="paragraph" w:styleId="Textkomentra">
    <w:name w:val="annotation text"/>
    <w:basedOn w:val="Normlny"/>
    <w:link w:val="TextkomentraChar"/>
    <w:uiPriority w:val="99"/>
    <w:unhideWhenUsed/>
    <w:rsid w:val="008F2C77"/>
    <w:pPr>
      <w:spacing w:after="0" w:line="240" w:lineRule="auto"/>
    </w:pPr>
    <w:rPr>
      <w:rFonts w:ascii="Times New Roman" w:hAnsi="Times New Roman"/>
      <w:sz w:val="20"/>
      <w:szCs w:val="20"/>
    </w:rPr>
  </w:style>
  <w:style w:type="character" w:customStyle="1" w:styleId="TextkomentraChar">
    <w:name w:val="Text komentára Char"/>
    <w:basedOn w:val="Predvolenpsmoodseku"/>
    <w:link w:val="Textkomentra"/>
    <w:uiPriority w:val="99"/>
    <w:rsid w:val="008F2C77"/>
    <w:rPr>
      <w:rFonts w:ascii="Times New Roman" w:hAnsi="Times New Roman"/>
      <w:sz w:val="20"/>
      <w:szCs w:val="20"/>
    </w:rPr>
  </w:style>
  <w:style w:type="character" w:styleId="Odkaznakomentr">
    <w:name w:val="annotation reference"/>
    <w:basedOn w:val="Predvolenpsmoodseku"/>
    <w:uiPriority w:val="99"/>
    <w:semiHidden/>
    <w:unhideWhenUsed/>
    <w:rsid w:val="008F2C7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921</Words>
  <Characters>5254</Characters>
  <Application>Microsoft Office Word</Application>
  <DocSecurity>0</DocSecurity>
  <Lines>43</Lines>
  <Paragraphs>12</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 Oslanec</dc:creator>
  <cp:lastModifiedBy>Klaudia Gregušová</cp:lastModifiedBy>
  <cp:revision>3</cp:revision>
  <cp:lastPrinted>2025-05-19T12:19:00Z</cp:lastPrinted>
  <dcterms:created xsi:type="dcterms:W3CDTF">2026-09-16T09:24:00Z</dcterms:created>
  <dcterms:modified xsi:type="dcterms:W3CDTF">2026-09-28T11:38:00Z</dcterms:modified>
</cp:coreProperties>
</file>