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77084E7E" w14:textId="77777777" w:rsidR="00BA6099" w:rsidRPr="00AE679C" w:rsidRDefault="00BA6099" w:rsidP="00BA6099">
      <w:pPr>
        <w:jc w:val="both"/>
        <w:rPr>
          <w:rFonts w:ascii="Times New Roman" w:eastAsia="Calibri" w:hAnsi="Times New Roman" w:cs="Times New Roman"/>
          <w:b/>
          <w:sz w:val="24"/>
          <w:szCs w:val="24"/>
        </w:rPr>
      </w:pPr>
      <w:r w:rsidRPr="00AE679C">
        <w:rPr>
          <w:rFonts w:ascii="Times New Roman" w:eastAsia="Calibri" w:hAnsi="Times New Roman" w:cs="Times New Roman"/>
          <w:b/>
          <w:sz w:val="24"/>
          <w:szCs w:val="24"/>
        </w:rPr>
        <w:t>Názov materiálu:</w:t>
      </w:r>
      <w:r w:rsidRPr="00AE679C">
        <w:t xml:space="preserve"> </w:t>
      </w:r>
      <w:r w:rsidRPr="00AE679C">
        <w:rPr>
          <w:rFonts w:ascii="Times New Roman" w:eastAsia="Calibri" w:hAnsi="Times New Roman" w:cs="Times New Roman"/>
          <w:sz w:val="24"/>
          <w:szCs w:val="24"/>
        </w:rPr>
        <w:t>Návrh zákona, ktorým sa mení a dopĺňa zákon č. 64/2019 Z. z. o sprístupňovaní strelných zbraní a streliva na civilné použitie na trhu v znení neskorších predpisov (ďalej len „návrh zákona“).</w:t>
      </w:r>
    </w:p>
    <w:p w14:paraId="14B8228D" w14:textId="77777777" w:rsidR="00BA6099" w:rsidRPr="00AE679C" w:rsidRDefault="00BA6099" w:rsidP="00BA6099">
      <w:pPr>
        <w:jc w:val="both"/>
        <w:rPr>
          <w:rFonts w:ascii="Times New Roman" w:eastAsia="Calibri" w:hAnsi="Times New Roman" w:cs="Times New Roman"/>
          <w:b/>
          <w:sz w:val="24"/>
          <w:szCs w:val="24"/>
        </w:rPr>
      </w:pPr>
      <w:r w:rsidRPr="00AE679C">
        <w:rPr>
          <w:rFonts w:ascii="Times New Roman" w:eastAsia="Calibri" w:hAnsi="Times New Roman" w:cs="Times New Roman"/>
          <w:b/>
          <w:sz w:val="24"/>
          <w:szCs w:val="24"/>
        </w:rPr>
        <w:t>Predkladateľ:</w:t>
      </w:r>
    </w:p>
    <w:p w14:paraId="7712288D" w14:textId="77777777" w:rsidR="00BA6099" w:rsidRPr="00AE679C" w:rsidRDefault="00BA6099" w:rsidP="00BA6099">
      <w:pPr>
        <w:jc w:val="both"/>
        <w:rPr>
          <w:rFonts w:ascii="Times New Roman" w:eastAsia="Calibri" w:hAnsi="Times New Roman" w:cs="Times New Roman"/>
          <w:sz w:val="24"/>
          <w:szCs w:val="24"/>
        </w:rPr>
      </w:pPr>
      <w:r w:rsidRPr="00AE679C">
        <w:rPr>
          <w:rFonts w:ascii="Times New Roman" w:eastAsia="Calibri" w:hAnsi="Times New Roman" w:cs="Times New Roman"/>
          <w:sz w:val="24"/>
          <w:szCs w:val="24"/>
        </w:rPr>
        <w:t>Úrad pre normalizáciu, metrológiu a skúšobníctvo Slovenskej republiky (ďalej len „úrad“).</w:t>
      </w: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C929AE" w14:paraId="7BEF3D83" w14:textId="77777777" w:rsidTr="00804BC8">
        <w:trPr>
          <w:gridAfter w:val="2"/>
          <w:wAfter w:w="583" w:type="dxa"/>
          <w:trHeight w:val="451"/>
        </w:trPr>
        <w:tc>
          <w:tcPr>
            <w:tcW w:w="146" w:type="dxa"/>
            <w:tcBorders>
              <w:top w:val="nil"/>
              <w:left w:val="nil"/>
              <w:bottom w:val="nil"/>
              <w:right w:val="nil"/>
            </w:tcBorders>
            <w:noWrap/>
            <w:vAlign w:val="bottom"/>
            <w:hideMark/>
          </w:tcPr>
          <w:p w14:paraId="5BA7F0AC"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54C8CD7A" w14:textId="77777777" w:rsidR="00C929AE" w:rsidRPr="00C929AE"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0F790483" w14:textId="77777777" w:rsidTr="00804BC8">
        <w:trPr>
          <w:gridAfter w:val="2"/>
          <w:wAfter w:w="583" w:type="dxa"/>
          <w:trHeight w:val="600"/>
        </w:trPr>
        <w:tc>
          <w:tcPr>
            <w:tcW w:w="146" w:type="dxa"/>
            <w:tcBorders>
              <w:top w:val="nil"/>
              <w:left w:val="nil"/>
              <w:bottom w:val="nil"/>
              <w:right w:val="nil"/>
            </w:tcBorders>
            <w:noWrap/>
            <w:vAlign w:val="bottom"/>
            <w:hideMark/>
          </w:tcPr>
          <w:p w14:paraId="2417CF7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407DD77A"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 xml:space="preserve">Dane, odvody, clá a poplatky, ktorých cieľom je znižovať negatívne </w:t>
            </w:r>
            <w:proofErr w:type="spellStart"/>
            <w:r w:rsidRPr="00C929AE">
              <w:rPr>
                <w:rFonts w:ascii="Times New Roman" w:eastAsia="Times New Roman" w:hAnsi="Times New Roman" w:cs="Times New Roman"/>
                <w:b/>
                <w:bCs/>
                <w:i/>
                <w:iCs/>
                <w:color w:val="000000"/>
                <w:sz w:val="20"/>
                <w:szCs w:val="20"/>
                <w:lang w:eastAsia="sk-SK"/>
              </w:rPr>
              <w:t>externality</w:t>
            </w:r>
            <w:proofErr w:type="spellEnd"/>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6C02A5A" w14:textId="396B6DE2"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BA6099">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34D49EC3" w:rsidR="00C929AE" w:rsidRPr="00C929AE" w:rsidRDefault="00BA6099"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r w:rsidR="00C929AE" w:rsidRPr="00C929AE" w14:paraId="37B64D12" w14:textId="77777777" w:rsidTr="00804BC8">
        <w:trPr>
          <w:gridAfter w:val="2"/>
          <w:wAfter w:w="583" w:type="dxa"/>
          <w:trHeight w:val="420"/>
        </w:trPr>
        <w:tc>
          <w:tcPr>
            <w:tcW w:w="146" w:type="dxa"/>
            <w:tcBorders>
              <w:top w:val="nil"/>
              <w:left w:val="nil"/>
              <w:bottom w:val="nil"/>
              <w:right w:val="nil"/>
            </w:tcBorders>
            <w:noWrap/>
            <w:vAlign w:val="bottom"/>
            <w:hideMark/>
          </w:tcPr>
          <w:p w14:paraId="30AED282"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3DCE928E" w14:textId="77777777" w:rsidR="00C929AE" w:rsidRPr="00C929AE" w:rsidRDefault="00C929AE" w:rsidP="00F378F4">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8D91672" w14:textId="6963422D"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BA6099">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5BDB63B3" w:rsidR="00C929AE" w:rsidRPr="00C929AE" w:rsidRDefault="00BA6099"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r w:rsidR="00C929AE" w:rsidRPr="00C929AE" w14:paraId="21231540" w14:textId="77777777" w:rsidTr="00804BC8">
        <w:trPr>
          <w:gridAfter w:val="2"/>
          <w:wAfter w:w="583" w:type="dxa"/>
          <w:trHeight w:val="435"/>
        </w:trPr>
        <w:tc>
          <w:tcPr>
            <w:tcW w:w="146" w:type="dxa"/>
            <w:tcBorders>
              <w:top w:val="nil"/>
              <w:left w:val="nil"/>
              <w:bottom w:val="nil"/>
              <w:right w:val="nil"/>
            </w:tcBorders>
            <w:noWrap/>
            <w:vAlign w:val="bottom"/>
            <w:hideMark/>
          </w:tcPr>
          <w:p w14:paraId="67B7840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0650EE3E" w14:textId="52C52C9B"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sidR="00CA4344">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9D07100" w14:textId="1FEEB8B4"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BA6099">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0A8CA119" w:rsidR="00C929AE" w:rsidRPr="00C929AE" w:rsidRDefault="00BA6099"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r w:rsidR="00C929AE" w:rsidRPr="00C929AE" w14:paraId="280383DA" w14:textId="77777777" w:rsidTr="00804BC8">
        <w:trPr>
          <w:gridAfter w:val="2"/>
          <w:wAfter w:w="583" w:type="dxa"/>
          <w:trHeight w:val="480"/>
        </w:trPr>
        <w:tc>
          <w:tcPr>
            <w:tcW w:w="146" w:type="dxa"/>
            <w:tcBorders>
              <w:top w:val="nil"/>
              <w:left w:val="nil"/>
              <w:bottom w:val="nil"/>
              <w:right w:val="nil"/>
            </w:tcBorders>
            <w:noWrap/>
            <w:vAlign w:val="bottom"/>
            <w:hideMark/>
          </w:tcPr>
          <w:p w14:paraId="59F2F7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59103BCF" w14:textId="0543F070" w:rsidR="00C929AE" w:rsidRPr="00C929AE" w:rsidRDefault="00C929AE" w:rsidP="006A4E85">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sidR="00024EE4">
              <w:rPr>
                <w:rFonts w:ascii="Times New Roman" w:eastAsia="Times New Roman" w:hAnsi="Times New Roman" w:cs="Times New Roman"/>
                <w:b/>
                <w:bCs/>
                <w:i/>
                <w:iCs/>
                <w:color w:val="000000"/>
                <w:sz w:val="20"/>
                <w:szCs w:val="20"/>
                <w:lang w:eastAsia="sk-SK"/>
              </w:rPr>
              <w:t>Nepriame finančné náklady</w:t>
            </w:r>
            <w:r w:rsidR="006A4E85">
              <w:rPr>
                <w:rFonts w:ascii="Times New Roman" w:eastAsia="Times New Roman" w:hAnsi="Times New Roman" w:cs="Times New Roman"/>
                <w:b/>
                <w:bCs/>
                <w:i/>
                <w:iCs/>
                <w:color w:val="000000"/>
                <w:sz w:val="20"/>
                <w:szCs w:val="20"/>
                <w:lang w:eastAsia="sk-SK"/>
              </w:rPr>
              <w:t xml:space="preserve">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ED34EA3" w14:textId="24308AA3"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BA6099">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500CF21B" w:rsidR="00C929AE" w:rsidRPr="00C929AE" w:rsidRDefault="00BA6099"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r w:rsidR="006A4E85" w:rsidRPr="00C929AE" w14:paraId="547BC8DA" w14:textId="77777777" w:rsidTr="00804BC8">
        <w:trPr>
          <w:gridAfter w:val="2"/>
          <w:wAfter w:w="583" w:type="dxa"/>
          <w:trHeight w:val="480"/>
        </w:trPr>
        <w:tc>
          <w:tcPr>
            <w:tcW w:w="146" w:type="dxa"/>
            <w:tcBorders>
              <w:top w:val="nil"/>
              <w:left w:val="nil"/>
              <w:bottom w:val="nil"/>
              <w:right w:val="nil"/>
            </w:tcBorders>
            <w:noWrap/>
            <w:vAlign w:val="bottom"/>
          </w:tcPr>
          <w:p w14:paraId="29E6137F" w14:textId="77777777" w:rsidR="006A4E85" w:rsidRPr="00C929AE" w:rsidRDefault="006A4E85"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tcPr>
          <w:p w14:paraId="7A86A5AE" w14:textId="77777777" w:rsidR="006A4E85"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7543605C" w:rsidR="006A4E85" w:rsidRPr="00C929AE" w:rsidRDefault="00BA6099"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1BB0CE3A" w:rsidR="006A4E85" w:rsidRPr="00C929AE" w:rsidRDefault="00BA6099"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r>
      <w:tr w:rsidR="00C929AE" w:rsidRPr="00C929AE" w14:paraId="10B7BDC5" w14:textId="77777777" w:rsidTr="00804BC8">
        <w:trPr>
          <w:gridAfter w:val="2"/>
          <w:wAfter w:w="583" w:type="dxa"/>
          <w:trHeight w:val="600"/>
        </w:trPr>
        <w:tc>
          <w:tcPr>
            <w:tcW w:w="146" w:type="dxa"/>
            <w:tcBorders>
              <w:top w:val="nil"/>
              <w:left w:val="nil"/>
              <w:bottom w:val="nil"/>
              <w:right w:val="nil"/>
            </w:tcBorders>
            <w:noWrap/>
            <w:vAlign w:val="bottom"/>
            <w:hideMark/>
          </w:tcPr>
          <w:p w14:paraId="2BD5240B"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2AD49376"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006A4E85"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289602A3" w:rsidR="00C929AE" w:rsidRPr="00C929AE" w:rsidRDefault="00D56686"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7B9D2A7E" w:rsidR="00C929AE" w:rsidRPr="00C929AE" w:rsidRDefault="00D56686"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r w:rsidR="00C929AE" w:rsidRPr="00C929AE" w14:paraId="3B916623" w14:textId="77777777" w:rsidTr="003A3124">
        <w:trPr>
          <w:trHeight w:val="270"/>
        </w:trPr>
        <w:tc>
          <w:tcPr>
            <w:tcW w:w="146" w:type="dxa"/>
            <w:tcBorders>
              <w:top w:val="nil"/>
              <w:left w:val="nil"/>
              <w:bottom w:val="nil"/>
              <w:right w:val="nil"/>
            </w:tcBorders>
            <w:noWrap/>
            <w:vAlign w:val="bottom"/>
            <w:hideMark/>
          </w:tcPr>
          <w:p w14:paraId="73F7E5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082EAB9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vAlign w:val="center"/>
            <w:hideMark/>
          </w:tcPr>
          <w:p w14:paraId="01799773"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30B3D73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vAlign w:val="center"/>
            <w:hideMark/>
          </w:tcPr>
          <w:p w14:paraId="7E543AE9"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0064F180"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2849A6C" w14:textId="77777777" w:rsidTr="00804BC8">
        <w:trPr>
          <w:gridAfter w:val="2"/>
          <w:wAfter w:w="583" w:type="dxa"/>
          <w:trHeight w:val="412"/>
        </w:trPr>
        <w:tc>
          <w:tcPr>
            <w:tcW w:w="146" w:type="dxa"/>
            <w:tcBorders>
              <w:top w:val="nil"/>
              <w:left w:val="nil"/>
              <w:bottom w:val="nil"/>
              <w:right w:val="nil"/>
            </w:tcBorders>
            <w:noWrap/>
            <w:vAlign w:val="bottom"/>
            <w:hideMark/>
          </w:tcPr>
          <w:p w14:paraId="54080DC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54048073" w14:textId="77777777" w:rsidR="00C929AE" w:rsidRPr="00C929AE" w:rsidRDefault="00C929AE" w:rsidP="00C929AE">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26126FD6" w14:textId="77777777" w:rsidTr="00804BC8">
        <w:trPr>
          <w:gridAfter w:val="2"/>
          <w:wAfter w:w="583" w:type="dxa"/>
          <w:trHeight w:val="840"/>
        </w:trPr>
        <w:tc>
          <w:tcPr>
            <w:tcW w:w="146" w:type="dxa"/>
            <w:tcBorders>
              <w:top w:val="nil"/>
              <w:left w:val="nil"/>
              <w:bottom w:val="nil"/>
              <w:right w:val="nil"/>
            </w:tcBorders>
            <w:noWrap/>
            <w:vAlign w:val="bottom"/>
            <w:hideMark/>
          </w:tcPr>
          <w:p w14:paraId="4424F3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5895E706"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00C929AE" w:rsidRPr="00C929AE">
              <w:rPr>
                <w:rFonts w:ascii="Times New Roman" w:eastAsia="Times New Roman" w:hAnsi="Times New Roman" w:cs="Times New Roman"/>
                <w:b/>
                <w:bCs/>
                <w:i/>
                <w:iCs/>
                <w:color w:val="000000"/>
                <w:sz w:val="20"/>
                <w:szCs w:val="20"/>
                <w:lang w:eastAsia="sk-SK"/>
              </w:rPr>
              <w:t>. Úplná harmonizácia práva EÚ</w:t>
            </w:r>
            <w:r w:rsidR="00C929AE" w:rsidRPr="00C929AE">
              <w:rPr>
                <w:rFonts w:ascii="Times New Roman" w:eastAsia="Times New Roman" w:hAnsi="Times New Roman" w:cs="Times New Roman"/>
                <w:b/>
                <w:bCs/>
                <w:i/>
                <w:iCs/>
                <w:color w:val="000000"/>
                <w:sz w:val="20"/>
                <w:szCs w:val="20"/>
                <w:lang w:eastAsia="sk-SK"/>
              </w:rPr>
              <w:br/>
            </w:r>
            <w:r w:rsidR="00C929AE" w:rsidRPr="00C929AE">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00C929AE" w:rsidRPr="00C929AE">
              <w:rPr>
                <w:rFonts w:ascii="Times New Roman" w:eastAsia="Times New Roman" w:hAnsi="Times New Roman" w:cs="Times New Roman"/>
                <w:i/>
                <w:iCs/>
                <w:color w:val="000000"/>
                <w:sz w:val="16"/>
                <w:szCs w:val="16"/>
                <w:lang w:eastAsia="sk-SK"/>
              </w:rPr>
              <w:t>externality</w:t>
            </w:r>
            <w:proofErr w:type="spellEnd"/>
            <w:r w:rsidR="00C929AE" w:rsidRPr="00C929AE">
              <w:rPr>
                <w:rFonts w:ascii="Times New Roman" w:eastAsia="Times New Roman" w:hAnsi="Times New Roman" w:cs="Times New Roman"/>
                <w:i/>
                <w:iCs/>
                <w:color w:val="000000"/>
                <w:sz w:val="16"/>
                <w:szCs w:val="16"/>
                <w:lang w:eastAsia="sk-SK"/>
              </w:rPr>
              <w:t>)</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68E4476E"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BA6099">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320305FE"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BA6099">
              <w:rPr>
                <w:rFonts w:ascii="Times New Roman" w:eastAsia="Times New Roman" w:hAnsi="Times New Roman" w:cs="Times New Roman"/>
                <w:b/>
                <w:bCs/>
                <w:color w:val="000000"/>
                <w:sz w:val="20"/>
                <w:szCs w:val="20"/>
                <w:lang w:eastAsia="sk-SK"/>
              </w:rPr>
              <w:t>0</w:t>
            </w:r>
          </w:p>
        </w:tc>
      </w:tr>
      <w:tr w:rsidR="00C929AE" w:rsidRPr="00C929AE" w14:paraId="2B062396" w14:textId="77777777" w:rsidTr="00804BC8">
        <w:trPr>
          <w:gridAfter w:val="2"/>
          <w:wAfter w:w="583" w:type="dxa"/>
          <w:trHeight w:val="486"/>
        </w:trPr>
        <w:tc>
          <w:tcPr>
            <w:tcW w:w="146" w:type="dxa"/>
            <w:tcBorders>
              <w:top w:val="nil"/>
              <w:left w:val="nil"/>
              <w:bottom w:val="nil"/>
              <w:right w:val="nil"/>
            </w:tcBorders>
            <w:noWrap/>
            <w:vAlign w:val="bottom"/>
            <w:hideMark/>
          </w:tcPr>
          <w:p w14:paraId="2C592B53"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73DFED09"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00C929AE" w:rsidRPr="00C929AE">
              <w:rPr>
                <w:rFonts w:ascii="Times New Roman" w:eastAsia="Times New Roman" w:hAnsi="Times New Roman" w:cs="Times New Roman"/>
                <w:b/>
                <w:bCs/>
                <w:i/>
                <w:iCs/>
                <w:color w:val="000000"/>
                <w:sz w:val="20"/>
                <w:szCs w:val="20"/>
                <w:lang w:eastAsia="sk-SK"/>
              </w:rPr>
              <w:t xml:space="preserve">. </w:t>
            </w:r>
            <w:proofErr w:type="spellStart"/>
            <w:r w:rsidR="00C929AE" w:rsidRPr="00C929AE">
              <w:rPr>
                <w:rFonts w:ascii="Times New Roman" w:eastAsia="Times New Roman" w:hAnsi="Times New Roman" w:cs="Times New Roman"/>
                <w:b/>
                <w:bCs/>
                <w:i/>
                <w:iCs/>
                <w:color w:val="000000"/>
                <w:sz w:val="20"/>
                <w:szCs w:val="20"/>
                <w:lang w:eastAsia="sk-SK"/>
              </w:rPr>
              <w:t>Goldplating</w:t>
            </w:r>
            <w:proofErr w:type="spellEnd"/>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1895484A"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BA6099">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3909A336" w:rsidR="00C929AE" w:rsidRPr="00C929AE" w:rsidRDefault="00BA6099"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r w:rsidR="00C929AE" w:rsidRPr="00C929AE" w14:paraId="665D2803" w14:textId="77777777" w:rsidTr="003A3124">
        <w:trPr>
          <w:trHeight w:val="360"/>
        </w:trPr>
        <w:tc>
          <w:tcPr>
            <w:tcW w:w="146" w:type="dxa"/>
            <w:tcBorders>
              <w:top w:val="nil"/>
              <w:left w:val="nil"/>
              <w:bottom w:val="nil"/>
              <w:right w:val="nil"/>
            </w:tcBorders>
            <w:noWrap/>
            <w:vAlign w:val="bottom"/>
            <w:hideMark/>
          </w:tcPr>
          <w:p w14:paraId="259005DD"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213DB6F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vAlign w:val="center"/>
            <w:hideMark/>
          </w:tcPr>
          <w:p w14:paraId="57A2019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7D23FD74"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vAlign w:val="center"/>
            <w:hideMark/>
          </w:tcPr>
          <w:p w14:paraId="68BF5827"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0FA5CAAE"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78385C8" w14:textId="77777777" w:rsidTr="00804BC8">
        <w:trPr>
          <w:gridAfter w:val="2"/>
          <w:wAfter w:w="583" w:type="dxa"/>
          <w:trHeight w:val="390"/>
        </w:trPr>
        <w:tc>
          <w:tcPr>
            <w:tcW w:w="146" w:type="dxa"/>
            <w:tcBorders>
              <w:top w:val="nil"/>
              <w:left w:val="nil"/>
              <w:bottom w:val="nil"/>
              <w:right w:val="nil"/>
            </w:tcBorders>
            <w:noWrap/>
            <w:vAlign w:val="bottom"/>
            <w:hideMark/>
          </w:tcPr>
          <w:p w14:paraId="1ED4DAC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66D9B60B"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sidR="00FC121B">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OUT</w:t>
            </w:r>
          </w:p>
        </w:tc>
      </w:tr>
      <w:tr w:rsidR="00C929AE" w:rsidRPr="00C929AE" w14:paraId="4C7053DD" w14:textId="77777777" w:rsidTr="00804BC8">
        <w:trPr>
          <w:gridAfter w:val="2"/>
          <w:wAfter w:w="583" w:type="dxa"/>
          <w:trHeight w:val="390"/>
        </w:trPr>
        <w:tc>
          <w:tcPr>
            <w:tcW w:w="146" w:type="dxa"/>
            <w:tcBorders>
              <w:top w:val="nil"/>
              <w:left w:val="nil"/>
              <w:bottom w:val="nil"/>
              <w:right w:val="nil"/>
            </w:tcBorders>
            <w:noWrap/>
            <w:vAlign w:val="bottom"/>
            <w:hideMark/>
          </w:tcPr>
          <w:p w14:paraId="6BB0400A"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6395BF89" w14:textId="3C21B0B5" w:rsidR="00C929AE" w:rsidRPr="00751DA9" w:rsidRDefault="006A4E85" w:rsidP="00C929AE">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sidR="00C929AE" w:rsidRPr="00751DA9">
              <w:rPr>
                <w:rFonts w:ascii="Times New Roman" w:eastAsia="Times New Roman" w:hAnsi="Times New Roman" w:cs="Times New Roman"/>
                <w:b/>
                <w:i/>
                <w:iCs/>
                <w:color w:val="000000"/>
                <w:sz w:val="20"/>
                <w:szCs w:val="20"/>
                <w:lang w:eastAsia="sk-SK"/>
              </w:rPr>
              <w:t>.</w:t>
            </w:r>
            <w:r w:rsidR="009F4175">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2E1C703" w14:textId="41C72276"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BA6099">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A9C6235" w14:textId="0F81EC86" w:rsidR="00C929AE" w:rsidRPr="00C929AE" w:rsidRDefault="00BA6099"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footerReference w:type="default" r:id="rId10"/>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DE6ACB" w:rsidRPr="000A6B7F" w14:paraId="58E6573D" w14:textId="77777777" w:rsidTr="00751DA9">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0A6B7F">
              <w:rPr>
                <w:rFonts w:ascii="Times New Roman" w:eastAsia="Times New Roman" w:hAnsi="Times New Roman" w:cs="Times New Roman"/>
                <w:b/>
                <w:bCs/>
                <w:color w:val="000000"/>
                <w:sz w:val="20"/>
                <w:szCs w:val="20"/>
                <w:lang w:eastAsia="sk-SK"/>
              </w:rPr>
              <w:t>P.č</w:t>
            </w:r>
            <w:proofErr w:type="spellEnd"/>
            <w:r w:rsidRPr="000A6B7F">
              <w:rPr>
                <w:rFonts w:ascii="Times New Roman" w:eastAsia="Times New Roman" w:hAnsi="Times New Roman" w:cs="Times New Roman"/>
                <w:b/>
                <w:bCs/>
                <w:color w:val="000000"/>
                <w:sz w:val="20"/>
                <w:szCs w:val="20"/>
                <w:lang w:eastAsia="sk-SK"/>
              </w:rPr>
              <w:t>.</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w:t>
            </w:r>
            <w:proofErr w:type="spellStart"/>
            <w:r>
              <w:rPr>
                <w:rFonts w:ascii="Times New Roman" w:eastAsia="Times New Roman" w:hAnsi="Times New Roman" w:cs="Times New Roman"/>
                <w:b/>
                <w:bCs/>
                <w:color w:val="000000"/>
                <w:sz w:val="20"/>
                <w:szCs w:val="20"/>
                <w:lang w:eastAsia="sk-SK"/>
              </w:rPr>
              <w:t>goldplatngom</w:t>
            </w:r>
            <w:proofErr w:type="spellEnd"/>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 xml:space="preserve">/EÚ úplná </w:t>
            </w:r>
            <w:proofErr w:type="spellStart"/>
            <w:r w:rsidRPr="000A6B7F">
              <w:rPr>
                <w:rFonts w:ascii="Times New Roman" w:eastAsia="Times New Roman" w:hAnsi="Times New Roman" w:cs="Times New Roman"/>
                <w:color w:val="000000"/>
                <w:sz w:val="20"/>
                <w:szCs w:val="20"/>
                <w:lang w:eastAsia="sk-SK"/>
              </w:rPr>
              <w:t>harm</w:t>
            </w:r>
            <w:proofErr w:type="spellEnd"/>
            <w:r w:rsidRPr="000A6B7F">
              <w:rPr>
                <w:rFonts w:ascii="Times New Roman" w:eastAsia="Times New Roman" w:hAnsi="Times New Roman" w:cs="Times New Roman"/>
                <w:color w:val="000000"/>
                <w:sz w:val="20"/>
                <w:szCs w:val="20"/>
                <w:lang w:eastAsia="sk-SK"/>
              </w:rPr>
              <w:t>./</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Kategória </w:t>
            </w:r>
            <w:proofErr w:type="spellStart"/>
            <w:r w:rsidRPr="000A6B7F">
              <w:rPr>
                <w:rFonts w:ascii="Times New Roman" w:eastAsia="Times New Roman" w:hAnsi="Times New Roman" w:cs="Times New Roman"/>
                <w:b/>
                <w:bCs/>
                <w:color w:val="000000"/>
                <w:sz w:val="20"/>
                <w:szCs w:val="20"/>
                <w:lang w:eastAsia="sk-SK"/>
              </w:rPr>
              <w:t>dotk</w:t>
            </w:r>
            <w:proofErr w:type="spellEnd"/>
            <w:r w:rsidRPr="000A6B7F">
              <w:rPr>
                <w:rFonts w:ascii="Times New Roman" w:eastAsia="Times New Roman" w:hAnsi="Times New Roman" w:cs="Times New Roman"/>
                <w:b/>
                <w:bCs/>
                <w:color w:val="000000"/>
                <w:sz w:val="20"/>
                <w:szCs w:val="20"/>
                <w:lang w:eastAsia="sk-SK"/>
              </w:rPr>
              <w:t>.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 xml:space="preserve">Vplyv na </w:t>
            </w:r>
            <w:proofErr w:type="spellStart"/>
            <w:r>
              <w:rPr>
                <w:rFonts w:ascii="Times New Roman" w:eastAsia="Times New Roman" w:hAnsi="Times New Roman" w:cs="Times New Roman"/>
                <w:b/>
                <w:bCs/>
                <w:color w:val="000000"/>
                <w:sz w:val="20"/>
                <w:szCs w:val="20"/>
                <w:lang w:eastAsia="sk-SK"/>
              </w:rPr>
              <w:t>kateg</w:t>
            </w:r>
            <w:proofErr w:type="spellEnd"/>
            <w:r>
              <w:rPr>
                <w:rFonts w:ascii="Times New Roman" w:eastAsia="Times New Roman" w:hAnsi="Times New Roman" w:cs="Times New Roman"/>
                <w:b/>
                <w:bCs/>
                <w:color w:val="000000"/>
                <w:sz w:val="20"/>
                <w:szCs w:val="20"/>
                <w:lang w:eastAsia="sk-SK"/>
              </w:rPr>
              <w:t xml:space="preserve">. </w:t>
            </w: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95898">
              <w:rPr>
                <w:rFonts w:ascii="Times New Roman" w:eastAsia="Times New Roman" w:hAnsi="Times New Roman" w:cs="Times New Roman"/>
                <w:bCs/>
                <w:color w:val="000000"/>
                <w:sz w:val="20"/>
                <w:szCs w:val="20"/>
                <w:lang w:eastAsia="sk-SK"/>
              </w:rPr>
              <w:t>Out</w:t>
            </w:r>
            <w:proofErr w:type="spellEnd"/>
            <w:r w:rsidRPr="00895898">
              <w:rPr>
                <w:rFonts w:ascii="Times New Roman" w:eastAsia="Times New Roman" w:hAnsi="Times New Roman" w:cs="Times New Roman"/>
                <w:bCs/>
                <w:color w:val="000000"/>
                <w:sz w:val="20"/>
                <w:szCs w:val="20"/>
                <w:lang w:eastAsia="sk-SK"/>
              </w:rPr>
              <w:t xml:space="preserve">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6B5D74">
              <w:rPr>
                <w:rFonts w:ascii="Times New Roman" w:eastAsia="Times New Roman" w:hAnsi="Times New Roman" w:cs="Times New Roman"/>
                <w:b/>
                <w:bCs/>
                <w:color w:val="000000"/>
                <w:sz w:val="18"/>
                <w:szCs w:val="18"/>
                <w:lang w:eastAsia="sk-SK"/>
              </w:rPr>
              <w:t>Goldplating</w:t>
            </w:r>
            <w:proofErr w:type="spellEnd"/>
            <w:r w:rsidRPr="006B5D74">
              <w:rPr>
                <w:rFonts w:ascii="Times New Roman" w:eastAsia="Times New Roman" w:hAnsi="Times New Roman" w:cs="Times New Roman"/>
                <w:b/>
                <w:bCs/>
                <w:color w:val="000000"/>
                <w:sz w:val="18"/>
                <w:szCs w:val="18"/>
                <w:lang w:eastAsia="sk-SK"/>
              </w:rPr>
              <w:t xml:space="preserve"> celkom</w:t>
            </w:r>
          </w:p>
        </w:tc>
      </w:tr>
      <w:tr w:rsidR="00DE6ACB" w:rsidRPr="00895898" w14:paraId="609FED73"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7D629DAC"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992" w:type="dxa"/>
          </w:tcPr>
          <w:p w14:paraId="4B47CD37"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134" w:type="dxa"/>
          </w:tcPr>
          <w:p w14:paraId="1C988908"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22CDA76A" w14:textId="77777777" w:rsidR="00DE6ACB" w:rsidRPr="00895898" w:rsidRDefault="00DE6ACB" w:rsidP="00562A1E">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69C4721"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74618A9C"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5D0F89C4"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38251139"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01129C91"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420D0685"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08BFFDBA"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758C9B"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r>
      <w:tr w:rsidR="00801596" w:rsidRPr="00895898" w14:paraId="022095BC"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302744A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D8155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5AB3E5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65823171"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EAFA699"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439720A9"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CCCE83"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271B264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5798052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7E09713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4B494DF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564076F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4D05B96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71D030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6F09B9B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326D60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63EECDF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5B619397"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967ED8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331066E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48865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545734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30771B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645FEA0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4EA14B0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CC858D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48195AE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FA76BB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04DBC1D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7DA738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326F55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589E62F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F479A8F"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090151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2996373"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2188F0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1D718C3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281CEC7A"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78A8DDA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014B7D7A"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7D495C8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FC148D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0514BE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07EE05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5143E9C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356D853D"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59D433C"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3D2938F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17BA3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2F2A96C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0FE6B8D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214DEF9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45EC50E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5E7EBA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67FD2956"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26FC3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14BCDC2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2C578C3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5AAA0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6DD3812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660ED2A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61B4BCC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6DBA927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299151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46F12C0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2D3260F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00BF5AA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044CA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26381EE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627B3E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6C2DF2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39BDC25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FD55E58"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77912E8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17B30C1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4AE2E156"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CEB6F1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6F10BC4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70151A8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74A6D8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3FBF0B7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F26953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bl>
    <w:p w14:paraId="520734CD" w14:textId="77777777" w:rsidR="00054C41" w:rsidRPr="00895898" w:rsidRDefault="00054C41"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3FB1450B" w14:textId="77777777" w:rsidR="001E24E8" w:rsidRDefault="001E24E8" w:rsidP="00054C41">
      <w:pPr>
        <w:jc w:val="both"/>
        <w:rPr>
          <w:rFonts w:ascii="Times New Roman" w:eastAsia="Calibri" w:hAnsi="Times New Roman" w:cs="Times New Roman"/>
          <w:bCs/>
          <w:i/>
          <w:iCs/>
          <w:color w:val="000000"/>
          <w:sz w:val="24"/>
          <w:szCs w:val="24"/>
        </w:rPr>
      </w:pP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4B6C06E6" w14:textId="67A64E84" w:rsidR="00024EE4" w:rsidRPr="00BA6099" w:rsidRDefault="00BA6099" w:rsidP="00054C41">
      <w:pPr>
        <w:jc w:val="both"/>
        <w:rPr>
          <w:rFonts w:ascii="Times New Roman" w:eastAsia="Times New Roman" w:hAnsi="Times New Roman" w:cs="Times New Roman"/>
          <w:sz w:val="24"/>
          <w:szCs w:val="24"/>
          <w:lang w:eastAsia="sk-SK"/>
        </w:rPr>
      </w:pPr>
      <w:r w:rsidRPr="00A202A2">
        <w:rPr>
          <w:rFonts w:ascii="Times New Roman" w:eastAsia="Calibri" w:hAnsi="Times New Roman" w:cs="Times New Roman"/>
          <w:sz w:val="24"/>
          <w:szCs w:val="24"/>
        </w:rPr>
        <w:t xml:space="preserve">Predkladaným návrhom nedochádza ku </w:t>
      </w:r>
      <w:proofErr w:type="spellStart"/>
      <w:r w:rsidRPr="00A202A2">
        <w:rPr>
          <w:rFonts w:ascii="Times New Roman" w:eastAsia="Calibri" w:hAnsi="Times New Roman" w:cs="Times New Roman"/>
          <w:sz w:val="24"/>
          <w:szCs w:val="24"/>
        </w:rPr>
        <w:t>goldplatingu</w:t>
      </w:r>
      <w:proofErr w:type="spellEnd"/>
      <w:r w:rsidRPr="00A202A2">
        <w:rPr>
          <w:rFonts w:ascii="Times New Roman" w:eastAsia="Calibri" w:hAnsi="Times New Roman" w:cs="Times New Roman"/>
          <w:sz w:val="24"/>
          <w:szCs w:val="24"/>
        </w:rPr>
        <w:t xml:space="preserve">.  </w:t>
      </w:r>
    </w:p>
    <w:p w14:paraId="4BD96D6C" w14:textId="77777777" w:rsidR="00024EE4" w:rsidRDefault="00024EE4" w:rsidP="00054C41">
      <w:pPr>
        <w:jc w:val="both"/>
        <w:rPr>
          <w:rFonts w:ascii="Times New Roman" w:eastAsia="Calibri" w:hAnsi="Times New Roman" w:cs="Times New Roman"/>
          <w:b/>
          <w:sz w:val="24"/>
          <w:szCs w:val="24"/>
        </w:rPr>
      </w:pP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178FF6D3" w14:textId="77777777" w:rsidR="00054C41" w:rsidRPr="00D8247C" w:rsidRDefault="00054C41" w:rsidP="00054C41">
      <w:pPr>
        <w:spacing w:after="0"/>
        <w:jc w:val="both"/>
        <w:rPr>
          <w:rFonts w:ascii="Times New Roman" w:eastAsia="Calibri" w:hAnsi="Times New Roman" w:cs="Times New Roman"/>
          <w:i/>
          <w:sz w:val="24"/>
          <w:szCs w:val="24"/>
        </w:rPr>
      </w:pPr>
    </w:p>
    <w:p w14:paraId="765EB862" w14:textId="77777777" w:rsidR="00DB03EA" w:rsidRPr="004B5C6C" w:rsidRDefault="00C436B0" w:rsidP="00DB03EA">
      <w:pPr>
        <w:jc w:val="both"/>
        <w:rPr>
          <w:rFonts w:ascii="Times New Roman" w:hAnsi="Times New Roman" w:cs="Times New Roman"/>
          <w:sz w:val="24"/>
          <w:szCs w:val="24"/>
        </w:rPr>
      </w:pPr>
      <w:r w:rsidRPr="00A202A2">
        <w:rPr>
          <w:rFonts w:ascii="Times New Roman" w:hAnsi="Times New Roman" w:cs="Times New Roman"/>
          <w:sz w:val="24"/>
          <w:szCs w:val="24"/>
        </w:rPr>
        <w:t xml:space="preserve">Úrad vykonal z vlastnej iniciatívy konzultácie s podnikateľskými subjektmi. </w:t>
      </w:r>
      <w:r w:rsidR="00DB03EA" w:rsidRPr="004B5C6C">
        <w:rPr>
          <w:rFonts w:ascii="Times New Roman" w:hAnsi="Times New Roman" w:cs="Times New Roman"/>
          <w:sz w:val="24"/>
          <w:szCs w:val="24"/>
        </w:rPr>
        <w:t xml:space="preserve">Dňa </w:t>
      </w:r>
      <w:r w:rsidR="00DB03EA">
        <w:rPr>
          <w:rFonts w:ascii="Times New Roman" w:hAnsi="Times New Roman" w:cs="Times New Roman"/>
          <w:sz w:val="24"/>
          <w:szCs w:val="24"/>
        </w:rPr>
        <w:t>02. júna 2025</w:t>
      </w:r>
      <w:r w:rsidR="00DB03EA" w:rsidRPr="004B5C6C">
        <w:rPr>
          <w:rFonts w:ascii="Times New Roman" w:hAnsi="Times New Roman" w:cs="Times New Roman"/>
          <w:sz w:val="24"/>
          <w:szCs w:val="24"/>
        </w:rPr>
        <w:t xml:space="preserve"> bola zverejnená informácia o začatí konzultácií s podnikateľskými subjektmi na webovom sídle úradu a Ministerstva hospodárstva Slovenskej republiky, ktoré trvali do </w:t>
      </w:r>
      <w:r w:rsidR="00DB03EA">
        <w:rPr>
          <w:rFonts w:ascii="Times New Roman" w:hAnsi="Times New Roman" w:cs="Times New Roman"/>
          <w:sz w:val="24"/>
          <w:szCs w:val="24"/>
        </w:rPr>
        <w:t>20</w:t>
      </w:r>
      <w:r w:rsidR="00DB03EA" w:rsidRPr="004B5C6C">
        <w:rPr>
          <w:rFonts w:ascii="Times New Roman" w:hAnsi="Times New Roman" w:cs="Times New Roman"/>
          <w:sz w:val="24"/>
          <w:szCs w:val="24"/>
        </w:rPr>
        <w:t>.</w:t>
      </w:r>
      <w:r w:rsidR="00DB03EA">
        <w:rPr>
          <w:rFonts w:ascii="Times New Roman" w:hAnsi="Times New Roman" w:cs="Times New Roman"/>
          <w:sz w:val="24"/>
          <w:szCs w:val="24"/>
        </w:rPr>
        <w:t xml:space="preserve"> júna </w:t>
      </w:r>
      <w:r w:rsidR="00DB03EA" w:rsidRPr="004B5C6C">
        <w:rPr>
          <w:rFonts w:ascii="Times New Roman" w:hAnsi="Times New Roman" w:cs="Times New Roman"/>
          <w:sz w:val="24"/>
          <w:szCs w:val="24"/>
        </w:rPr>
        <w:t>2025. O konzultácie neprejavili záujem žiadne podnikateľské subjekty.</w:t>
      </w:r>
    </w:p>
    <w:p w14:paraId="3D96EC8C" w14:textId="321B6EFB" w:rsidR="00023170" w:rsidRDefault="00023170" w:rsidP="00DB03EA">
      <w:pPr>
        <w:jc w:val="both"/>
        <w:rPr>
          <w:rFonts w:ascii="Times New Roman" w:hAnsi="Times New Roman" w:cs="Calibri"/>
          <w:sz w:val="24"/>
          <w:szCs w:val="24"/>
        </w:rPr>
      </w:pPr>
      <w:r>
        <w:rPr>
          <w:rFonts w:ascii="Times New Roman" w:hAnsi="Times New Roman" w:cs="Calibri"/>
          <w:sz w:val="24"/>
          <w:szCs w:val="24"/>
        </w:rPr>
        <w:t>Zároveň n</w:t>
      </w:r>
      <w:r w:rsidRPr="00AE679C">
        <w:rPr>
          <w:rFonts w:ascii="Times New Roman" w:hAnsi="Times New Roman" w:cs="Calibri"/>
          <w:sz w:val="24"/>
          <w:szCs w:val="24"/>
        </w:rPr>
        <w:t>ebolo potrebné z vlastnej iniciatívy prizývať na konzultácie autorizované osoby, ktoré sú návrhom priamo dotknuté, pretože autorizované osoby sa zúčastňovali stretnutí Medzinárodnej stálej komisie na skúšky ručných palných zbraní (ďalej len „C.I.P.“)</w:t>
      </w:r>
      <w:r>
        <w:rPr>
          <w:rFonts w:ascii="Times New Roman" w:hAnsi="Times New Roman" w:cs="Calibri"/>
          <w:sz w:val="24"/>
          <w:szCs w:val="24"/>
        </w:rPr>
        <w:t xml:space="preserve">, na ktorých </w:t>
      </w:r>
      <w:r w:rsidRPr="00C72342">
        <w:rPr>
          <w:rFonts w:ascii="Times New Roman" w:hAnsi="Times New Roman" w:cs="Calibri"/>
          <w:sz w:val="24"/>
          <w:szCs w:val="24"/>
        </w:rPr>
        <w:t>bolo prijaté Rozhodnutie Medzinárodnej stálej komisie na skúšky ručných palných zbraní XXXVI – 23 (ďalej len „rozhodnuti</w:t>
      </w:r>
      <w:r w:rsidR="000B7DF1">
        <w:rPr>
          <w:rFonts w:ascii="Times New Roman" w:hAnsi="Times New Roman" w:cs="Calibri"/>
          <w:sz w:val="24"/>
          <w:szCs w:val="24"/>
        </w:rPr>
        <w:t>e</w:t>
      </w:r>
      <w:r w:rsidRPr="00C72342">
        <w:rPr>
          <w:rFonts w:ascii="Times New Roman" w:hAnsi="Times New Roman" w:cs="Calibri"/>
          <w:sz w:val="24"/>
          <w:szCs w:val="24"/>
        </w:rPr>
        <w:t xml:space="preserve"> C.I.P.“). Autorizované osoby nemali k prijatému rozhodnutiu C.I.P. pripomienky</w:t>
      </w:r>
      <w:r w:rsidRPr="00AE679C">
        <w:rPr>
          <w:rFonts w:ascii="Times New Roman" w:hAnsi="Times New Roman" w:cs="Calibri"/>
          <w:sz w:val="24"/>
          <w:szCs w:val="24"/>
        </w:rPr>
        <w:t>.</w:t>
      </w:r>
    </w:p>
    <w:p w14:paraId="08FCAD96" w14:textId="767840A8" w:rsidR="00054C41" w:rsidRDefault="007A68E4" w:rsidP="00054C41">
      <w:pPr>
        <w:spacing w:after="0"/>
        <w:jc w:val="both"/>
        <w:rPr>
          <w:rFonts w:ascii="Times New Roman" w:hAnsi="Times New Roman" w:cs="Calibri"/>
          <w:sz w:val="24"/>
          <w:szCs w:val="24"/>
        </w:rPr>
      </w:pPr>
      <w:r w:rsidRPr="007A68E4">
        <w:rPr>
          <w:rFonts w:ascii="Times New Roman" w:hAnsi="Times New Roman" w:cs="Calibri"/>
          <w:sz w:val="24"/>
          <w:szCs w:val="24"/>
        </w:rPr>
        <w:t>Napriek uvedenému úrad prediskutoval prípravu návrhu zákona s členmi Stálej pracovnej skupiny pre C.I.P. na národnej úrovni na zasadnutí dňa 04. decembra 2025.</w:t>
      </w:r>
    </w:p>
    <w:p w14:paraId="1F8AE1DE" w14:textId="77777777" w:rsidR="000B7DF1" w:rsidRPr="00D8247C" w:rsidRDefault="000B7DF1"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0" w:name="_Hlk47698091"/>
      <w:r w:rsidRPr="001F1B43">
        <w:rPr>
          <w:rFonts w:ascii="Times New Roman" w:eastAsia="Calibri" w:hAnsi="Times New Roman" w:cs="Times New Roman"/>
          <w:b/>
          <w:sz w:val="24"/>
          <w:szCs w:val="24"/>
        </w:rPr>
        <w:t>3.3 Vplyvy na konkurencieschopnosť a produktivitu</w:t>
      </w:r>
    </w:p>
    <w:bookmarkEnd w:id="0"/>
    <w:p w14:paraId="5CAF52B4"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04DCCBD4" w14:textId="536085E6" w:rsidR="000B4F6A" w:rsidRDefault="000B4F6A" w:rsidP="00054C41">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Nie, nedochádza.</w:t>
      </w:r>
    </w:p>
    <w:p w14:paraId="73ADE0FC" w14:textId="77777777" w:rsidR="000B4F6A" w:rsidRPr="000B4F6A" w:rsidRDefault="000B4F6A" w:rsidP="00054C41">
      <w:pPr>
        <w:spacing w:after="0"/>
        <w:jc w:val="both"/>
        <w:rPr>
          <w:rFonts w:ascii="Times New Roman" w:eastAsia="Calibri" w:hAnsi="Times New Roman" w:cs="Times New Roman"/>
          <w:iCs/>
          <w:sz w:val="24"/>
          <w:szCs w:val="24"/>
        </w:rPr>
      </w:pPr>
    </w:p>
    <w:p w14:paraId="4D049DE7"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p>
    <w:p w14:paraId="0012AAFD" w14:textId="77777777" w:rsidR="000B4F6A" w:rsidRPr="00EA31B8" w:rsidRDefault="000B4F6A" w:rsidP="000B4F6A">
      <w:pPr>
        <w:spacing w:after="0"/>
        <w:jc w:val="both"/>
        <w:rPr>
          <w:rFonts w:ascii="Times New Roman" w:eastAsia="Calibri" w:hAnsi="Times New Roman" w:cs="Times New Roman"/>
          <w:sz w:val="24"/>
          <w:szCs w:val="24"/>
        </w:rPr>
      </w:pPr>
      <w:r w:rsidRPr="00EA31B8">
        <w:rPr>
          <w:rFonts w:ascii="Times New Roman" w:eastAsia="Calibri" w:hAnsi="Times New Roman" w:cs="Times New Roman"/>
          <w:sz w:val="24"/>
          <w:szCs w:val="24"/>
        </w:rPr>
        <w:t xml:space="preserve">Nebude, budú sa aplikovať rovnaké podmienky pre všetkých bez ohľadu na veľkosť podniku. </w:t>
      </w:r>
    </w:p>
    <w:p w14:paraId="46CEA166" w14:textId="77777777" w:rsidR="000B4F6A" w:rsidRPr="00D8247C" w:rsidRDefault="000B4F6A" w:rsidP="00054C41">
      <w:pPr>
        <w:spacing w:after="0"/>
        <w:jc w:val="both"/>
        <w:rPr>
          <w:rFonts w:ascii="Times New Roman" w:eastAsia="Calibri" w:hAnsi="Times New Roman" w:cs="Times New Roman"/>
          <w:i/>
          <w:sz w:val="24"/>
          <w:szCs w:val="24"/>
        </w:rPr>
      </w:pPr>
    </w:p>
    <w:p w14:paraId="452A90F1"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6E20F031" w14:textId="14871FA9" w:rsidR="009C1371" w:rsidRPr="00EA31B8" w:rsidRDefault="009C1371" w:rsidP="009C1371">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Neovplyvňuje.</w:t>
      </w:r>
    </w:p>
    <w:p w14:paraId="36D2DFCB" w14:textId="77777777" w:rsidR="000B4F6A" w:rsidRPr="00D8247C" w:rsidRDefault="000B4F6A" w:rsidP="00054C41">
      <w:pPr>
        <w:spacing w:after="0"/>
        <w:jc w:val="both"/>
        <w:rPr>
          <w:rFonts w:ascii="Times New Roman" w:eastAsia="Calibri" w:hAnsi="Times New Roman" w:cs="Times New Roman"/>
          <w:i/>
          <w:sz w:val="24"/>
          <w:szCs w:val="24"/>
        </w:rPr>
      </w:pPr>
    </w:p>
    <w:p w14:paraId="0D074838"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lastRenderedPageBreak/>
        <w:t xml:space="preserve">Ovplyvní dostupnosť základných zdrojov (financie, pracovná sila, suroviny, mechanizmy, energie atď.)? </w:t>
      </w:r>
    </w:p>
    <w:p w14:paraId="1F9FF7D6" w14:textId="737CB339" w:rsidR="000B4F6A" w:rsidRPr="000B4F6A" w:rsidRDefault="000B4F6A" w:rsidP="00054C41">
      <w:pPr>
        <w:spacing w:after="0"/>
        <w:jc w:val="both"/>
        <w:rPr>
          <w:rFonts w:ascii="Times New Roman" w:eastAsia="Calibri" w:hAnsi="Times New Roman" w:cs="Times New Roman"/>
          <w:iCs/>
          <w:sz w:val="24"/>
          <w:szCs w:val="24"/>
        </w:rPr>
      </w:pPr>
      <w:r w:rsidRPr="000B4F6A">
        <w:rPr>
          <w:rFonts w:ascii="Times New Roman" w:eastAsia="Calibri" w:hAnsi="Times New Roman" w:cs="Times New Roman"/>
          <w:iCs/>
          <w:sz w:val="24"/>
          <w:szCs w:val="24"/>
        </w:rPr>
        <w:t>Neovplyvňuje.</w:t>
      </w:r>
    </w:p>
    <w:p w14:paraId="046134B5" w14:textId="77777777" w:rsidR="000B4F6A" w:rsidRDefault="000B4F6A" w:rsidP="00054C41">
      <w:pPr>
        <w:spacing w:after="0"/>
        <w:jc w:val="both"/>
        <w:rPr>
          <w:rFonts w:ascii="Times New Roman" w:eastAsia="Calibri" w:hAnsi="Times New Roman" w:cs="Times New Roman"/>
          <w:i/>
          <w:sz w:val="24"/>
          <w:szCs w:val="24"/>
        </w:rPr>
      </w:pPr>
    </w:p>
    <w:p w14:paraId="6B6A3793" w14:textId="074BDCC5"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0E620732" w14:textId="77777777" w:rsidR="000B4F6A" w:rsidRPr="000B4F6A" w:rsidRDefault="000B4F6A" w:rsidP="000B4F6A">
      <w:pPr>
        <w:spacing w:after="0"/>
        <w:jc w:val="both"/>
        <w:rPr>
          <w:rFonts w:ascii="Times New Roman" w:eastAsia="Calibri" w:hAnsi="Times New Roman" w:cs="Times New Roman"/>
          <w:iCs/>
          <w:sz w:val="24"/>
          <w:szCs w:val="24"/>
        </w:rPr>
      </w:pPr>
      <w:r w:rsidRPr="000B4F6A">
        <w:rPr>
          <w:rFonts w:ascii="Times New Roman" w:eastAsia="Calibri" w:hAnsi="Times New Roman" w:cs="Times New Roman"/>
          <w:iCs/>
          <w:sz w:val="24"/>
          <w:szCs w:val="24"/>
        </w:rPr>
        <w:t>Neovplyvňuje.</w:t>
      </w:r>
    </w:p>
    <w:p w14:paraId="602534A8" w14:textId="77777777" w:rsidR="000B4F6A" w:rsidRDefault="000B4F6A" w:rsidP="00054C41">
      <w:pPr>
        <w:spacing w:after="0"/>
        <w:jc w:val="both"/>
        <w:rPr>
          <w:rFonts w:ascii="Times New Roman" w:eastAsia="Calibri" w:hAnsi="Times New Roman" w:cs="Times New Roman"/>
          <w:i/>
          <w:sz w:val="24"/>
          <w:szCs w:val="24"/>
        </w:rPr>
      </w:pPr>
    </w:p>
    <w:p w14:paraId="64E2FB2F" w14:textId="77777777" w:rsidR="00BA19B0"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bol identifikovaný </w:t>
      </w:r>
      <w:proofErr w:type="spellStart"/>
      <w:r>
        <w:rPr>
          <w:rFonts w:ascii="Times New Roman" w:eastAsia="Calibri" w:hAnsi="Times New Roman" w:cs="Times New Roman"/>
          <w:i/>
          <w:sz w:val="24"/>
          <w:szCs w:val="24"/>
        </w:rPr>
        <w:t>goldplating</w:t>
      </w:r>
      <w:proofErr w:type="spellEnd"/>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208EA2A6" w14:textId="77777777" w:rsidR="009C1371" w:rsidRPr="00802792" w:rsidRDefault="009C1371" w:rsidP="009C1371">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Nie. Ide</w:t>
      </w:r>
      <w:r w:rsidRPr="00802792">
        <w:rPr>
          <w:rFonts w:ascii="Times New Roman" w:eastAsia="Calibri" w:hAnsi="Times New Roman" w:cs="Times New Roman"/>
          <w:iCs/>
          <w:sz w:val="24"/>
          <w:szCs w:val="24"/>
        </w:rPr>
        <w:t xml:space="preserve"> o harmonizáciu s pravidlami C.I.P., nie o zavádzanie dodatočných slovenských požiadaviek nad rámec medzinárodných technických štandardov. </w:t>
      </w:r>
    </w:p>
    <w:p w14:paraId="42653C4C" w14:textId="77777777" w:rsidR="000B4F6A" w:rsidRDefault="000B4F6A" w:rsidP="00054C41">
      <w:pPr>
        <w:spacing w:after="0"/>
        <w:jc w:val="both"/>
        <w:rPr>
          <w:rFonts w:ascii="Times New Roman" w:eastAsia="Calibri" w:hAnsi="Times New Roman" w:cs="Times New Roman"/>
          <w:i/>
          <w:iCs/>
          <w:sz w:val="24"/>
          <w:szCs w:val="24"/>
        </w:rPr>
      </w:pPr>
    </w:p>
    <w:p w14:paraId="72CB32C8" w14:textId="655D2BC6" w:rsidR="00054C41" w:rsidRDefault="00054C41" w:rsidP="00054C41">
      <w:pPr>
        <w:spacing w:after="0"/>
        <w:jc w:val="both"/>
        <w:rPr>
          <w:rFonts w:ascii="Times New Roman" w:eastAsia="Calibri" w:hAnsi="Times New Roman" w:cs="Times New Roman"/>
          <w:i/>
          <w:iCs/>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27F6164C" w14:textId="77777777" w:rsidR="009C1371" w:rsidRPr="00EC4772" w:rsidRDefault="009C1371" w:rsidP="009C1371">
      <w:pPr>
        <w:spacing w:after="0"/>
        <w:jc w:val="both"/>
        <w:rPr>
          <w:rFonts w:ascii="Times New Roman" w:eastAsia="Calibri" w:hAnsi="Times New Roman" w:cs="Times New Roman"/>
          <w:iCs/>
          <w:sz w:val="24"/>
          <w:szCs w:val="24"/>
        </w:rPr>
      </w:pPr>
      <w:r w:rsidRPr="00EC4772">
        <w:rPr>
          <w:rFonts w:ascii="Times New Roman" w:eastAsia="Calibri" w:hAnsi="Times New Roman" w:cs="Times New Roman"/>
          <w:iCs/>
          <w:sz w:val="24"/>
          <w:szCs w:val="24"/>
        </w:rPr>
        <w:t>Návrh nemá priamy vplyv na konkurencieschopnosť podnikateľského prostredia, avšak prispieva k jeho stabilite, právnej istote a harmonizácii s medzinárodnými technickými štandardmi.</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776497D2" w:rsidR="00054C41" w:rsidRPr="00D8247C" w:rsidRDefault="00517ED6"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0B4F6A">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9C1371" w:rsidRDefault="00054C41" w:rsidP="00054C41">
      <w:pPr>
        <w:spacing w:after="0"/>
        <w:jc w:val="both"/>
        <w:rPr>
          <w:rFonts w:ascii="Times New Roman" w:eastAsia="Calibri" w:hAnsi="Times New Roman" w:cs="Times New Roman"/>
          <w:b/>
          <w:i/>
          <w:sz w:val="24"/>
          <w:szCs w:val="24"/>
        </w:rPr>
      </w:pPr>
      <w:r w:rsidRPr="009C1371">
        <w:rPr>
          <w:rFonts w:ascii="Times New Roman" w:eastAsia="Calibri" w:hAnsi="Times New Roman" w:cs="Times New Roman"/>
          <w:b/>
          <w:i/>
          <w:sz w:val="24"/>
          <w:szCs w:val="24"/>
        </w:rPr>
        <w:t>Produktivita:</w:t>
      </w:r>
    </w:p>
    <w:p w14:paraId="08642A55" w14:textId="141E96C3" w:rsidR="009C1371" w:rsidRPr="00A22954" w:rsidRDefault="009C1371" w:rsidP="009C1371">
      <w:pPr>
        <w:spacing w:after="0"/>
        <w:jc w:val="both"/>
        <w:rPr>
          <w:rFonts w:ascii="Times New Roman" w:eastAsia="Calibri" w:hAnsi="Times New Roman" w:cs="Times New Roman"/>
          <w:iCs/>
          <w:sz w:val="24"/>
          <w:szCs w:val="24"/>
        </w:rPr>
      </w:pPr>
      <w:r w:rsidRPr="00A22954">
        <w:rPr>
          <w:rFonts w:ascii="Times New Roman" w:eastAsia="Calibri" w:hAnsi="Times New Roman" w:cs="Times New Roman"/>
          <w:iCs/>
          <w:sz w:val="24"/>
          <w:szCs w:val="24"/>
        </w:rPr>
        <w:t xml:space="preserve">Návrh nemá vplyv na pomer medzi produkciou podnikov a ich nákladmi. Ide o harmonizáciu technických </w:t>
      </w:r>
      <w:r w:rsidR="007C3B0D">
        <w:rPr>
          <w:rFonts w:ascii="Times New Roman" w:eastAsia="Calibri" w:hAnsi="Times New Roman" w:cs="Times New Roman"/>
          <w:iCs/>
          <w:sz w:val="24"/>
          <w:szCs w:val="24"/>
        </w:rPr>
        <w:t>požiadaviek</w:t>
      </w:r>
      <w:r w:rsidRPr="00A22954">
        <w:rPr>
          <w:rFonts w:ascii="Times New Roman" w:eastAsia="Calibri" w:hAnsi="Times New Roman" w:cs="Times New Roman"/>
          <w:iCs/>
          <w:sz w:val="24"/>
          <w:szCs w:val="24"/>
        </w:rPr>
        <w:t xml:space="preserve"> bez dopadu na výrobnú činnosť alebo nákladovosť podnikateľských subjektov.</w:t>
      </w:r>
    </w:p>
    <w:p w14:paraId="23DA5CCF" w14:textId="2E07D006"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 </w:t>
      </w: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3F47B20A" w:rsidR="00054C41" w:rsidRPr="00D8247C" w:rsidRDefault="00517ED6"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0B4F6A">
                <w:rPr>
                  <w:rFonts w:ascii="Times New Roman" w:eastAsia="Calibri" w:hAnsi="Times New Roman" w:cs="Times New Roman"/>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Pr="00D8247C" w:rsidRDefault="00054C41" w:rsidP="00054C41">
      <w:pPr>
        <w:spacing w:after="0"/>
        <w:jc w:val="both"/>
        <w:rPr>
          <w:rFonts w:ascii="Times New Roman" w:eastAsia="Calibri" w:hAnsi="Times New Roman" w:cs="Times New Roman"/>
          <w:i/>
          <w:sz w:val="24"/>
          <w:szCs w:val="24"/>
        </w:rPr>
      </w:pP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0F63B24F" w14:textId="7E557193" w:rsidR="00E34C1D" w:rsidRPr="00E34C1D" w:rsidRDefault="00E34C1D" w:rsidP="00E34C1D">
      <w:pPr>
        <w:spacing w:before="100" w:beforeAutospacing="1" w:after="100" w:afterAutospacing="1" w:line="300" w:lineRule="atLeast"/>
        <w:jc w:val="both"/>
        <w:rPr>
          <w:rFonts w:ascii="Times New Roman" w:eastAsia="Times New Roman" w:hAnsi="Times New Roman" w:cs="Times New Roman"/>
          <w:sz w:val="24"/>
          <w:szCs w:val="24"/>
          <w:lang w:eastAsia="sk-SK"/>
        </w:rPr>
      </w:pPr>
      <w:r w:rsidRPr="00E34C1D">
        <w:rPr>
          <w:rFonts w:ascii="Times New Roman" w:eastAsia="Times New Roman" w:hAnsi="Times New Roman" w:cs="Times New Roman"/>
          <w:sz w:val="24"/>
          <w:szCs w:val="24"/>
          <w:lang w:eastAsia="sk-SK"/>
        </w:rPr>
        <w:t xml:space="preserve">Navrhovaná úprava sa týka jednej autorizovanej osoby a obmedzeného okruhu hospodárskych subjektov pôsobiacich v oblasti výroby, dovozu a distribúcie streliva </w:t>
      </w:r>
      <w:r w:rsidR="003363CC">
        <w:rPr>
          <w:rFonts w:ascii="Times New Roman" w:eastAsia="Times New Roman" w:hAnsi="Times New Roman" w:cs="Times New Roman"/>
          <w:sz w:val="24"/>
          <w:szCs w:val="24"/>
          <w:lang w:eastAsia="sk-SK"/>
        </w:rPr>
        <w:t xml:space="preserve">na </w:t>
      </w:r>
      <w:r w:rsidR="003363CC" w:rsidRPr="00E34C1D">
        <w:rPr>
          <w:rFonts w:ascii="Times New Roman" w:eastAsia="Times New Roman" w:hAnsi="Times New Roman" w:cs="Times New Roman"/>
          <w:sz w:val="24"/>
          <w:szCs w:val="24"/>
          <w:lang w:eastAsia="sk-SK"/>
        </w:rPr>
        <w:t>civilné</w:t>
      </w:r>
      <w:r w:rsidR="003363CC">
        <w:rPr>
          <w:rFonts w:ascii="Times New Roman" w:eastAsia="Times New Roman" w:hAnsi="Times New Roman" w:cs="Times New Roman"/>
          <w:sz w:val="24"/>
          <w:szCs w:val="24"/>
          <w:lang w:eastAsia="sk-SK"/>
        </w:rPr>
        <w:t xml:space="preserve"> použitie</w:t>
      </w:r>
      <w:r w:rsidR="003363CC" w:rsidRPr="00E34C1D">
        <w:rPr>
          <w:rFonts w:ascii="Times New Roman" w:eastAsia="Times New Roman" w:hAnsi="Times New Roman" w:cs="Times New Roman"/>
          <w:sz w:val="24"/>
          <w:szCs w:val="24"/>
          <w:lang w:eastAsia="sk-SK"/>
        </w:rPr>
        <w:t xml:space="preserve"> </w:t>
      </w:r>
      <w:r w:rsidRPr="00E34C1D">
        <w:rPr>
          <w:rFonts w:ascii="Times New Roman" w:eastAsia="Times New Roman" w:hAnsi="Times New Roman" w:cs="Times New Roman"/>
          <w:sz w:val="24"/>
          <w:szCs w:val="24"/>
          <w:lang w:eastAsia="sk-SK"/>
        </w:rPr>
        <w:t>na území Slovenskej republiky. V prípade skúšobného streliva a napáskovaných nábojok do upevňovacích a značkovacích zariadení iniciovaných prachovou náplňou (PAT) sa na území Slovenskej republiky nenachádza domáci výrobca. Zároveň autorizovaná osoba v posledných rokoch nevykonávala posudzovanie zhody streliva ani skúšky typu streliva, čo potvrdzuje, že navrhovaná úprava bude mať v praxi dopad len na veľmi úzky okruh subjektov.</w:t>
      </w:r>
    </w:p>
    <w:p w14:paraId="58F14403" w14:textId="1238E1C0" w:rsidR="00E34C1D" w:rsidRPr="00E34C1D" w:rsidRDefault="00E34C1D" w:rsidP="00E34C1D">
      <w:pPr>
        <w:spacing w:before="100" w:beforeAutospacing="1" w:after="100" w:afterAutospacing="1" w:line="300" w:lineRule="atLeast"/>
        <w:jc w:val="both"/>
        <w:rPr>
          <w:rFonts w:ascii="Times New Roman" w:eastAsia="Times New Roman" w:hAnsi="Times New Roman" w:cs="Times New Roman"/>
          <w:sz w:val="24"/>
          <w:szCs w:val="24"/>
          <w:lang w:eastAsia="sk-SK"/>
        </w:rPr>
      </w:pPr>
      <w:r w:rsidRPr="00E34C1D">
        <w:rPr>
          <w:rFonts w:ascii="Times New Roman" w:eastAsia="Times New Roman" w:hAnsi="Times New Roman" w:cs="Times New Roman"/>
          <w:sz w:val="24"/>
          <w:szCs w:val="24"/>
          <w:lang w:eastAsia="sk-SK"/>
        </w:rPr>
        <w:t>Návrh zákona hospodárskym subjektom neukladá zásadne nové technické alebo výrobné požiadavky.</w:t>
      </w:r>
      <w:r w:rsidR="000B7DF1">
        <w:rPr>
          <w:rFonts w:ascii="Times New Roman" w:eastAsia="Times New Roman" w:hAnsi="Times New Roman" w:cs="Times New Roman"/>
          <w:sz w:val="24"/>
          <w:szCs w:val="24"/>
          <w:lang w:eastAsia="sk-SK"/>
        </w:rPr>
        <w:t xml:space="preserve"> </w:t>
      </w:r>
      <w:r w:rsidRPr="00E34C1D">
        <w:rPr>
          <w:rFonts w:ascii="Times New Roman" w:eastAsia="Times New Roman" w:hAnsi="Times New Roman" w:cs="Times New Roman"/>
          <w:sz w:val="24"/>
          <w:szCs w:val="24"/>
          <w:lang w:eastAsia="sk-SK"/>
        </w:rPr>
        <w:t>Väčšina navrhovaných ustanovení predstavuje spresnenie, systematizáciu a legislatívne premietnutie požiadaviek rozhodnutí C.I.P., podľa ktorých dotknuté subjekty postupujú už v súčasnosti. Navrhovaná právna úprava tak predovšetkým zvyšuje právnu istotu a transparentnosť pravidiel pri posudzovaní zhody streliva a jeho uvádzaní na trh.</w:t>
      </w:r>
    </w:p>
    <w:p w14:paraId="6E6F0D0A" w14:textId="2EF3210B" w:rsidR="002F79F2" w:rsidRPr="002F79F2" w:rsidRDefault="002F79F2" w:rsidP="002F79F2">
      <w:pPr>
        <w:spacing w:before="100" w:beforeAutospacing="1" w:after="100" w:afterAutospacing="1" w:line="300" w:lineRule="atLeast"/>
        <w:jc w:val="both"/>
        <w:rPr>
          <w:rFonts w:ascii="Times New Roman" w:eastAsia="Times New Roman" w:hAnsi="Times New Roman" w:cs="Times New Roman"/>
          <w:sz w:val="24"/>
          <w:szCs w:val="24"/>
          <w:lang w:eastAsia="sk-SK"/>
        </w:rPr>
      </w:pPr>
      <w:r w:rsidRPr="002F79F2">
        <w:rPr>
          <w:rFonts w:ascii="Times New Roman" w:eastAsia="Times New Roman" w:hAnsi="Times New Roman" w:cs="Times New Roman"/>
          <w:sz w:val="24"/>
          <w:szCs w:val="24"/>
          <w:lang w:eastAsia="sk-SK"/>
        </w:rPr>
        <w:lastRenderedPageBreak/>
        <w:t>Určitý negatívny vplyv na podnikateľské prostredie môže vzniknúť v súvislosti s potrebou aktualizácie technickej dokumentácie, vnútorných postupov riadenia kvality, evidencie výrobných sérií, označovania streliva a</w:t>
      </w:r>
      <w:r w:rsidR="003363CC">
        <w:rPr>
          <w:rFonts w:ascii="Times New Roman" w:eastAsia="Times New Roman" w:hAnsi="Times New Roman" w:cs="Times New Roman"/>
          <w:sz w:val="24"/>
          <w:szCs w:val="24"/>
          <w:lang w:eastAsia="sk-SK"/>
        </w:rPr>
        <w:t xml:space="preserve"> najmenších </w:t>
      </w:r>
      <w:r w:rsidRPr="002F79F2">
        <w:rPr>
          <w:rFonts w:ascii="Times New Roman" w:eastAsia="Times New Roman" w:hAnsi="Times New Roman" w:cs="Times New Roman"/>
          <w:sz w:val="24"/>
          <w:szCs w:val="24"/>
          <w:lang w:eastAsia="sk-SK"/>
        </w:rPr>
        <w:t>spotrebiteľských balení</w:t>
      </w:r>
      <w:r w:rsidR="00066E5E">
        <w:rPr>
          <w:rFonts w:ascii="Times New Roman" w:eastAsia="Times New Roman" w:hAnsi="Times New Roman" w:cs="Times New Roman"/>
          <w:sz w:val="24"/>
          <w:szCs w:val="24"/>
          <w:lang w:eastAsia="sk-SK"/>
        </w:rPr>
        <w:t xml:space="preserve">. </w:t>
      </w:r>
      <w:r w:rsidRPr="002F79F2">
        <w:rPr>
          <w:rFonts w:ascii="Times New Roman" w:eastAsia="Times New Roman" w:hAnsi="Times New Roman" w:cs="Times New Roman"/>
          <w:sz w:val="24"/>
          <w:szCs w:val="24"/>
          <w:lang w:eastAsia="sk-SK"/>
        </w:rPr>
        <w:t>Ide však prevažne o jednorazové administratívne úkony vyplývajúce zo spresnenia existujúcich požiadaviek.</w:t>
      </w:r>
    </w:p>
    <w:p w14:paraId="7F048129" w14:textId="40477A96" w:rsidR="002F79F2" w:rsidRPr="002F79F2" w:rsidRDefault="002F79F2" w:rsidP="002F79F2">
      <w:pPr>
        <w:spacing w:before="100" w:beforeAutospacing="1" w:after="100" w:afterAutospacing="1" w:line="300" w:lineRule="atLeast"/>
        <w:jc w:val="both"/>
        <w:rPr>
          <w:rFonts w:ascii="Times New Roman" w:eastAsia="Times New Roman" w:hAnsi="Times New Roman" w:cs="Times New Roman"/>
          <w:sz w:val="24"/>
          <w:szCs w:val="24"/>
          <w:lang w:eastAsia="sk-SK"/>
        </w:rPr>
      </w:pPr>
      <w:r w:rsidRPr="002F79F2">
        <w:rPr>
          <w:rFonts w:ascii="Times New Roman" w:eastAsia="Times New Roman" w:hAnsi="Times New Roman" w:cs="Times New Roman"/>
          <w:sz w:val="24"/>
          <w:szCs w:val="24"/>
          <w:lang w:eastAsia="sk-SK"/>
        </w:rPr>
        <w:t>Dodatočné náklady môžu vzniknúť subjektom, ktoré sa dobrovoľne rozhodnú požiadať o oprávnenie vykonávať kontrolu výroby vo vlastnej réžii</w:t>
      </w:r>
      <w:r w:rsidR="003363CC">
        <w:rPr>
          <w:rFonts w:ascii="Times New Roman" w:eastAsia="Times New Roman" w:hAnsi="Times New Roman" w:cs="Times New Roman"/>
          <w:sz w:val="24"/>
          <w:szCs w:val="24"/>
          <w:lang w:eastAsia="sk-SK"/>
        </w:rPr>
        <w:t>, a preto musia</w:t>
      </w:r>
      <w:r w:rsidRPr="002F79F2">
        <w:rPr>
          <w:rFonts w:ascii="Times New Roman" w:eastAsia="Times New Roman" w:hAnsi="Times New Roman" w:cs="Times New Roman"/>
          <w:sz w:val="24"/>
          <w:szCs w:val="24"/>
          <w:lang w:eastAsia="sk-SK"/>
        </w:rPr>
        <w:t xml:space="preserve"> absolvovať previerku spôsobilosti a pravidelné inšpekčné kontroly podľa navrhovanej právnej úpravy. Vzhľadom na fakultatívny charakter týchto postupov a individuálne podmienky jednotlivých subjektov nie je možné rozsah prípadných nákladov v súčasnosti spoľahlivo kvantifikovať.</w:t>
      </w:r>
    </w:p>
    <w:p w14:paraId="28D1D7BA" w14:textId="77777777" w:rsidR="002F79F2" w:rsidRPr="002F79F2" w:rsidRDefault="002F79F2" w:rsidP="002F79F2">
      <w:pPr>
        <w:spacing w:before="100" w:beforeAutospacing="1" w:after="100" w:afterAutospacing="1" w:line="300" w:lineRule="atLeast"/>
        <w:jc w:val="both"/>
        <w:rPr>
          <w:rFonts w:ascii="Times New Roman" w:eastAsia="Times New Roman" w:hAnsi="Times New Roman" w:cs="Times New Roman"/>
          <w:sz w:val="24"/>
          <w:szCs w:val="24"/>
          <w:lang w:eastAsia="sk-SK"/>
        </w:rPr>
      </w:pPr>
      <w:r w:rsidRPr="002F79F2">
        <w:rPr>
          <w:rFonts w:ascii="Times New Roman" w:eastAsia="Times New Roman" w:hAnsi="Times New Roman" w:cs="Times New Roman"/>
          <w:sz w:val="24"/>
          <w:szCs w:val="24"/>
          <w:lang w:eastAsia="sk-SK"/>
        </w:rPr>
        <w:t>Nepredpokladá sa potreba obstarania nových výrobných technológií, významných zmien výrobných procesov ani vznik podstatných investičných nákladov. Návrh zákona preto nebude mať významný vplyv na nákladovosť výroby, konkurencieschopnosť alebo postavenie dotknutých hospodárskych subjektov na trhu.</w:t>
      </w:r>
    </w:p>
    <w:p w14:paraId="154DC38E" w14:textId="77777777" w:rsidR="002F79F2" w:rsidRPr="002F79F2" w:rsidRDefault="002F79F2" w:rsidP="002F79F2">
      <w:pPr>
        <w:spacing w:before="100" w:beforeAutospacing="1" w:after="100" w:afterAutospacing="1" w:line="300" w:lineRule="atLeast"/>
        <w:jc w:val="both"/>
        <w:rPr>
          <w:rFonts w:ascii="Times New Roman" w:eastAsia="Times New Roman" w:hAnsi="Times New Roman" w:cs="Times New Roman"/>
          <w:sz w:val="24"/>
          <w:szCs w:val="24"/>
          <w:lang w:eastAsia="sk-SK"/>
        </w:rPr>
      </w:pPr>
      <w:r w:rsidRPr="002F79F2">
        <w:rPr>
          <w:rFonts w:ascii="Times New Roman" w:eastAsia="Times New Roman" w:hAnsi="Times New Roman" w:cs="Times New Roman"/>
          <w:sz w:val="24"/>
          <w:szCs w:val="24"/>
          <w:lang w:eastAsia="sk-SK"/>
        </w:rPr>
        <w:t xml:space="preserve">Pozitívny vplyv návrhu zákona spočíva najmä v zosúladení vnútroštátnej právnej úpravy s rozhodnutiami C.I.P., spresnení podmienok posudzovania zhody streliva, zvýšení právnej istoty hospodárskych subjektov a odstránení potenciálnych výkladových nejasností. Navrhovaná úprava zároveň podporí jednotné uplatňovanie technických požiadaviek, efektívnejšiu </w:t>
      </w:r>
      <w:proofErr w:type="spellStart"/>
      <w:r w:rsidRPr="002F79F2">
        <w:rPr>
          <w:rFonts w:ascii="Times New Roman" w:eastAsia="Times New Roman" w:hAnsi="Times New Roman" w:cs="Times New Roman"/>
          <w:sz w:val="24"/>
          <w:szCs w:val="24"/>
          <w:lang w:eastAsia="sk-SK"/>
        </w:rPr>
        <w:t>vysledovateľnosť</w:t>
      </w:r>
      <w:proofErr w:type="spellEnd"/>
      <w:r w:rsidRPr="002F79F2">
        <w:rPr>
          <w:rFonts w:ascii="Times New Roman" w:eastAsia="Times New Roman" w:hAnsi="Times New Roman" w:cs="Times New Roman"/>
          <w:sz w:val="24"/>
          <w:szCs w:val="24"/>
          <w:lang w:eastAsia="sk-SK"/>
        </w:rPr>
        <w:t xml:space="preserve"> streliva a jeho komponentov a jednotný postup autorizovanej osoby a hospodárskych subjektov pri uvádzaní streliva na trh.</w:t>
      </w:r>
    </w:p>
    <w:p w14:paraId="5F891235" w14:textId="77777777" w:rsidR="002F79F2" w:rsidRPr="002F79F2" w:rsidRDefault="002F79F2" w:rsidP="002F79F2">
      <w:pPr>
        <w:spacing w:before="100" w:beforeAutospacing="1" w:after="100" w:afterAutospacing="1" w:line="300" w:lineRule="atLeast"/>
        <w:jc w:val="both"/>
        <w:rPr>
          <w:rFonts w:ascii="Times New Roman" w:eastAsia="Times New Roman" w:hAnsi="Times New Roman" w:cs="Times New Roman"/>
          <w:b/>
          <w:bCs/>
          <w:sz w:val="24"/>
          <w:szCs w:val="24"/>
          <w:lang w:eastAsia="sk-SK"/>
        </w:rPr>
      </w:pPr>
      <w:r w:rsidRPr="002F79F2">
        <w:rPr>
          <w:rFonts w:ascii="Times New Roman" w:eastAsia="Times New Roman" w:hAnsi="Times New Roman" w:cs="Times New Roman"/>
          <w:b/>
          <w:bCs/>
          <w:sz w:val="24"/>
          <w:szCs w:val="24"/>
          <w:lang w:eastAsia="sk-SK"/>
        </w:rPr>
        <w:t>Záver</w:t>
      </w:r>
    </w:p>
    <w:p w14:paraId="288C7251" w14:textId="77777777" w:rsidR="002F79F2" w:rsidRPr="002F79F2" w:rsidRDefault="002F79F2" w:rsidP="002F79F2">
      <w:pPr>
        <w:spacing w:before="100" w:beforeAutospacing="1" w:after="100" w:afterAutospacing="1" w:line="300" w:lineRule="atLeast"/>
        <w:jc w:val="both"/>
        <w:rPr>
          <w:rFonts w:ascii="Times New Roman" w:eastAsia="Times New Roman" w:hAnsi="Times New Roman" w:cs="Times New Roman"/>
          <w:sz w:val="24"/>
          <w:szCs w:val="24"/>
          <w:lang w:eastAsia="sk-SK"/>
        </w:rPr>
      </w:pPr>
      <w:r w:rsidRPr="002F79F2">
        <w:rPr>
          <w:rFonts w:ascii="Times New Roman" w:eastAsia="Times New Roman" w:hAnsi="Times New Roman" w:cs="Times New Roman"/>
          <w:sz w:val="24"/>
          <w:szCs w:val="24"/>
          <w:lang w:eastAsia="sk-SK"/>
        </w:rPr>
        <w:t>Navrhovaná právna úprava bude mať len obmedzený negatívny administratívny vplyv na podnikateľské prostredie. Keďže jej podstatou je predovšetkým zosúladenie vnútroštátnej právnej úpravy s rozhodnutiami C.I.P. a legislatívne vyjadrenie postupov, ktoré sú už v praxi uplatňované, nepredpokladá sa vznik významných dodatočných nákladov pre dotknuté subjekty.</w:t>
      </w:r>
    </w:p>
    <w:p w14:paraId="2F0A58F4" w14:textId="297A2E5A" w:rsidR="002F79F2" w:rsidRPr="002F79F2" w:rsidRDefault="002F79F2" w:rsidP="002F79F2">
      <w:pPr>
        <w:spacing w:before="100" w:beforeAutospacing="1" w:after="100" w:afterAutospacing="1" w:line="300" w:lineRule="atLeast"/>
        <w:jc w:val="both"/>
        <w:rPr>
          <w:rFonts w:ascii="Times New Roman" w:eastAsia="Times New Roman" w:hAnsi="Times New Roman" w:cs="Times New Roman"/>
          <w:sz w:val="24"/>
          <w:szCs w:val="24"/>
          <w:lang w:eastAsia="sk-SK"/>
        </w:rPr>
      </w:pPr>
      <w:r w:rsidRPr="002F79F2">
        <w:rPr>
          <w:rFonts w:ascii="Times New Roman" w:eastAsia="Times New Roman" w:hAnsi="Times New Roman" w:cs="Times New Roman"/>
          <w:sz w:val="24"/>
          <w:szCs w:val="24"/>
          <w:lang w:eastAsia="sk-SK"/>
        </w:rPr>
        <w:t>Prípadné náklady budú súvisieť najmä s administratívnym zabezpečením súladu s právnou úpravou, aktualizáciou technickej dokumentácie a interných procesov hospodárskych subjektov. Vzhľadom na obmedzený počet dotknutých subjektov</w:t>
      </w:r>
      <w:r w:rsidR="00066E5E">
        <w:rPr>
          <w:rFonts w:ascii="Times New Roman" w:eastAsia="Times New Roman" w:hAnsi="Times New Roman" w:cs="Times New Roman"/>
          <w:sz w:val="24"/>
          <w:szCs w:val="24"/>
          <w:lang w:eastAsia="sk-SK"/>
        </w:rPr>
        <w:t xml:space="preserve"> a</w:t>
      </w:r>
      <w:r w:rsidRPr="002F79F2">
        <w:rPr>
          <w:rFonts w:ascii="Times New Roman" w:eastAsia="Times New Roman" w:hAnsi="Times New Roman" w:cs="Times New Roman"/>
          <w:sz w:val="24"/>
          <w:szCs w:val="24"/>
          <w:lang w:eastAsia="sk-SK"/>
        </w:rPr>
        <w:t xml:space="preserve"> individuálnu povahu niektorých procesov nemožno tieto vplyvy v súčasnosti spoľahlivo kvantifikovať.</w:t>
      </w:r>
    </w:p>
    <w:p w14:paraId="3B036614" w14:textId="77777777" w:rsidR="002F79F2" w:rsidRPr="002F79F2" w:rsidRDefault="002F79F2" w:rsidP="002F79F2">
      <w:pPr>
        <w:spacing w:before="100" w:beforeAutospacing="1" w:after="100" w:afterAutospacing="1" w:line="300" w:lineRule="atLeast"/>
        <w:jc w:val="both"/>
        <w:rPr>
          <w:rFonts w:ascii="Times New Roman" w:eastAsia="Times New Roman" w:hAnsi="Times New Roman" w:cs="Times New Roman"/>
          <w:sz w:val="24"/>
          <w:szCs w:val="24"/>
          <w:lang w:eastAsia="sk-SK"/>
        </w:rPr>
      </w:pPr>
      <w:r w:rsidRPr="002F79F2">
        <w:rPr>
          <w:rFonts w:ascii="Times New Roman" w:eastAsia="Times New Roman" w:hAnsi="Times New Roman" w:cs="Times New Roman"/>
          <w:sz w:val="24"/>
          <w:szCs w:val="24"/>
          <w:lang w:eastAsia="sk-SK"/>
        </w:rPr>
        <w:t>Očakáva sa však, že prínosy vyplývajúce zo zvýšenia právnej istoty, jednotného uplatňovania požiadaviek C.I.P., vyššej predvídateľnosti regulačného prostredia a odstránenia interpretačných nejasností prevážia nad minimálnymi administratívnymi nákladmi spojenými s implementáciou navrhovanej úpravy.</w:t>
      </w:r>
    </w:p>
    <w:p w14:paraId="33C4CD3C" w14:textId="56E9B9C8" w:rsidR="00E270D3" w:rsidRPr="00E270D3" w:rsidRDefault="00E270D3" w:rsidP="002F79F2">
      <w:pPr>
        <w:spacing w:before="100" w:beforeAutospacing="1" w:after="100" w:afterAutospacing="1" w:line="300" w:lineRule="atLeast"/>
        <w:jc w:val="both"/>
        <w:rPr>
          <w:rFonts w:ascii="Times New Roman" w:eastAsia="Times New Roman" w:hAnsi="Times New Roman" w:cs="Times New Roman"/>
          <w:sz w:val="24"/>
          <w:szCs w:val="24"/>
          <w:lang w:eastAsia="sk-SK"/>
        </w:rPr>
      </w:pPr>
    </w:p>
    <w:sectPr w:rsidR="00E270D3" w:rsidRPr="00E270D3"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21DA2" w14:textId="77777777" w:rsidR="00517ED6" w:rsidRDefault="00517ED6" w:rsidP="00054C41">
      <w:pPr>
        <w:spacing w:after="0" w:line="240" w:lineRule="auto"/>
      </w:pPr>
      <w:r>
        <w:separator/>
      </w:r>
    </w:p>
  </w:endnote>
  <w:endnote w:type="continuationSeparator" w:id="0">
    <w:p w14:paraId="148DA438" w14:textId="77777777" w:rsidR="00517ED6" w:rsidRDefault="00517ED6"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33170AA5" w:rsidR="00F244DC" w:rsidRPr="006045CB" w:rsidRDefault="00F244DC"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48237B">
          <w:rPr>
            <w:rFonts w:ascii="Times New Roman" w:hAnsi="Times New Roman" w:cs="Times New Roman"/>
            <w:noProof/>
            <w:sz w:val="24"/>
            <w:szCs w:val="24"/>
          </w:rPr>
          <w:t>17</w:t>
        </w:r>
        <w:r w:rsidRPr="006045CB">
          <w:rPr>
            <w:rFonts w:ascii="Times New Roman" w:hAnsi="Times New Roman" w:cs="Times New Roman"/>
            <w:sz w:val="24"/>
            <w:szCs w:val="24"/>
          </w:rPr>
          <w:fldChar w:fldCharType="end"/>
        </w:r>
      </w:p>
    </w:sdtContent>
  </w:sdt>
  <w:p w14:paraId="4556761F" w14:textId="77777777" w:rsidR="00F244DC" w:rsidRPr="00FF7125" w:rsidRDefault="00F244DC" w:rsidP="00054C41">
    <w:pPr>
      <w:pStyle w:val="Pta"/>
      <w:rPr>
        <w:sz w:val="24"/>
        <w:szCs w:val="24"/>
      </w:rPr>
    </w:pPr>
  </w:p>
  <w:p w14:paraId="20FE6A4A" w14:textId="77777777" w:rsidR="00F244DC" w:rsidRDefault="00F244D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A2C08" w14:textId="77777777" w:rsidR="00517ED6" w:rsidRDefault="00517ED6" w:rsidP="00054C41">
      <w:pPr>
        <w:spacing w:after="0" w:line="240" w:lineRule="auto"/>
      </w:pPr>
      <w:r>
        <w:separator/>
      </w:r>
    </w:p>
  </w:footnote>
  <w:footnote w:type="continuationSeparator" w:id="0">
    <w:p w14:paraId="129102F7" w14:textId="77777777" w:rsidR="00517ED6" w:rsidRDefault="00517ED6" w:rsidP="00054C41">
      <w:pPr>
        <w:spacing w:after="0" w:line="240" w:lineRule="auto"/>
      </w:pPr>
      <w:r>
        <w:continuationSeparator/>
      </w:r>
    </w:p>
  </w:footnote>
  <w:footnote w:id="1">
    <w:p w14:paraId="6CC680CB" w14:textId="6BF8CDC6" w:rsidR="00F244DC" w:rsidRPr="000A6B7F" w:rsidRDefault="00F244DC"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F244DC" w:rsidRPr="00804BC8" w:rsidRDefault="00F244DC"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F244DC" w:rsidRDefault="00F244DC" w:rsidP="00512BA7">
      <w:pPr>
        <w:pStyle w:val="Textpoznmkypodi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49E76102"/>
    <w:multiLevelType w:val="hybridMultilevel"/>
    <w:tmpl w:val="37C86FC4"/>
    <w:lvl w:ilvl="0" w:tplc="0686AF28">
      <w:start w:val="3"/>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1"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7FB63A3A"/>
    <w:multiLevelType w:val="hybridMultilevel"/>
    <w:tmpl w:val="20E0AE78"/>
    <w:lvl w:ilvl="0" w:tplc="B21EA76E">
      <w:start w:val="1"/>
      <w:numFmt w:val="bullet"/>
      <w:lvlText w:val=""/>
      <w:lvlJc w:val="left"/>
      <w:pPr>
        <w:ind w:left="1080" w:hanging="360"/>
      </w:pPr>
      <w:rPr>
        <w:rFonts w:ascii="Symbol" w:hAnsi="Symbol"/>
      </w:rPr>
    </w:lvl>
    <w:lvl w:ilvl="1" w:tplc="C89EF444">
      <w:start w:val="1"/>
      <w:numFmt w:val="bullet"/>
      <w:lvlText w:val=""/>
      <w:lvlJc w:val="left"/>
      <w:pPr>
        <w:ind w:left="1080" w:hanging="360"/>
      </w:pPr>
      <w:rPr>
        <w:rFonts w:ascii="Symbol" w:hAnsi="Symbol"/>
      </w:rPr>
    </w:lvl>
    <w:lvl w:ilvl="2" w:tplc="7C3A46BA">
      <w:start w:val="1"/>
      <w:numFmt w:val="bullet"/>
      <w:lvlText w:val=""/>
      <w:lvlJc w:val="left"/>
      <w:pPr>
        <w:ind w:left="1080" w:hanging="360"/>
      </w:pPr>
      <w:rPr>
        <w:rFonts w:ascii="Symbol" w:hAnsi="Symbol"/>
      </w:rPr>
    </w:lvl>
    <w:lvl w:ilvl="3" w:tplc="A8C2C44E">
      <w:start w:val="1"/>
      <w:numFmt w:val="bullet"/>
      <w:lvlText w:val=""/>
      <w:lvlJc w:val="left"/>
      <w:pPr>
        <w:ind w:left="1080" w:hanging="360"/>
      </w:pPr>
      <w:rPr>
        <w:rFonts w:ascii="Symbol" w:hAnsi="Symbol"/>
      </w:rPr>
    </w:lvl>
    <w:lvl w:ilvl="4" w:tplc="94027D40">
      <w:start w:val="1"/>
      <w:numFmt w:val="bullet"/>
      <w:lvlText w:val=""/>
      <w:lvlJc w:val="left"/>
      <w:pPr>
        <w:ind w:left="1080" w:hanging="360"/>
      </w:pPr>
      <w:rPr>
        <w:rFonts w:ascii="Symbol" w:hAnsi="Symbol"/>
      </w:rPr>
    </w:lvl>
    <w:lvl w:ilvl="5" w:tplc="73C24522">
      <w:start w:val="1"/>
      <w:numFmt w:val="bullet"/>
      <w:lvlText w:val=""/>
      <w:lvlJc w:val="left"/>
      <w:pPr>
        <w:ind w:left="1080" w:hanging="360"/>
      </w:pPr>
      <w:rPr>
        <w:rFonts w:ascii="Symbol" w:hAnsi="Symbol"/>
      </w:rPr>
    </w:lvl>
    <w:lvl w:ilvl="6" w:tplc="82BCCC0E">
      <w:start w:val="1"/>
      <w:numFmt w:val="bullet"/>
      <w:lvlText w:val=""/>
      <w:lvlJc w:val="left"/>
      <w:pPr>
        <w:ind w:left="1080" w:hanging="360"/>
      </w:pPr>
      <w:rPr>
        <w:rFonts w:ascii="Symbol" w:hAnsi="Symbol"/>
      </w:rPr>
    </w:lvl>
    <w:lvl w:ilvl="7" w:tplc="BD563112">
      <w:start w:val="1"/>
      <w:numFmt w:val="bullet"/>
      <w:lvlText w:val=""/>
      <w:lvlJc w:val="left"/>
      <w:pPr>
        <w:ind w:left="1080" w:hanging="360"/>
      </w:pPr>
      <w:rPr>
        <w:rFonts w:ascii="Symbol" w:hAnsi="Symbol"/>
      </w:rPr>
    </w:lvl>
    <w:lvl w:ilvl="8" w:tplc="0E5882A6">
      <w:start w:val="1"/>
      <w:numFmt w:val="bullet"/>
      <w:lvlText w:val=""/>
      <w:lvlJc w:val="left"/>
      <w:pPr>
        <w:ind w:left="1080" w:hanging="360"/>
      </w:pPr>
      <w:rPr>
        <w:rFonts w:ascii="Symbol" w:hAnsi="Symbol"/>
      </w:rPr>
    </w:lvl>
  </w:abstractNum>
  <w:num w:numId="1" w16cid:durableId="1569224196">
    <w:abstractNumId w:val="1"/>
  </w:num>
  <w:num w:numId="2" w16cid:durableId="1986229377">
    <w:abstractNumId w:val="10"/>
  </w:num>
  <w:num w:numId="3" w16cid:durableId="1978027033">
    <w:abstractNumId w:val="11"/>
  </w:num>
  <w:num w:numId="4" w16cid:durableId="171069564">
    <w:abstractNumId w:val="9"/>
  </w:num>
  <w:num w:numId="5" w16cid:durableId="1387026217">
    <w:abstractNumId w:val="7"/>
  </w:num>
  <w:num w:numId="6" w16cid:durableId="16950332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8501469">
    <w:abstractNumId w:val="11"/>
  </w:num>
  <w:num w:numId="8" w16cid:durableId="8436626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55922137">
    <w:abstractNumId w:val="8"/>
  </w:num>
  <w:num w:numId="10" w16cid:durableId="1355837478">
    <w:abstractNumId w:val="3"/>
  </w:num>
  <w:num w:numId="11" w16cid:durableId="867525298">
    <w:abstractNumId w:val="4"/>
  </w:num>
  <w:num w:numId="12" w16cid:durableId="1523007729">
    <w:abstractNumId w:val="0"/>
  </w:num>
  <w:num w:numId="13" w16cid:durableId="1201437961">
    <w:abstractNumId w:val="12"/>
  </w:num>
  <w:num w:numId="14" w16cid:durableId="179470189">
    <w:abstractNumId w:val="6"/>
  </w:num>
  <w:num w:numId="15" w16cid:durableId="1407457133">
    <w:abstractNumId w:val="13"/>
  </w:num>
  <w:num w:numId="16" w16cid:durableId="1251235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C41"/>
    <w:rsid w:val="00023170"/>
    <w:rsid w:val="0002425A"/>
    <w:rsid w:val="00024EE4"/>
    <w:rsid w:val="00047C70"/>
    <w:rsid w:val="00050AAB"/>
    <w:rsid w:val="00054A53"/>
    <w:rsid w:val="00054C41"/>
    <w:rsid w:val="00060DA1"/>
    <w:rsid w:val="00061E85"/>
    <w:rsid w:val="00066E5E"/>
    <w:rsid w:val="000820E0"/>
    <w:rsid w:val="00091A43"/>
    <w:rsid w:val="0009490E"/>
    <w:rsid w:val="000A6B7F"/>
    <w:rsid w:val="000B4F6A"/>
    <w:rsid w:val="000B699A"/>
    <w:rsid w:val="000B7DF1"/>
    <w:rsid w:val="000C5419"/>
    <w:rsid w:val="000C5E9A"/>
    <w:rsid w:val="000D15F0"/>
    <w:rsid w:val="000D2FDF"/>
    <w:rsid w:val="000F4D39"/>
    <w:rsid w:val="0011003B"/>
    <w:rsid w:val="001133DA"/>
    <w:rsid w:val="00126A2B"/>
    <w:rsid w:val="00142154"/>
    <w:rsid w:val="001476A4"/>
    <w:rsid w:val="00147F6F"/>
    <w:rsid w:val="00150452"/>
    <w:rsid w:val="00162C6C"/>
    <w:rsid w:val="0016512E"/>
    <w:rsid w:val="0018715C"/>
    <w:rsid w:val="001A1561"/>
    <w:rsid w:val="001B4C03"/>
    <w:rsid w:val="001C7B91"/>
    <w:rsid w:val="001D1083"/>
    <w:rsid w:val="001D3FA0"/>
    <w:rsid w:val="001D6BDC"/>
    <w:rsid w:val="001E24E8"/>
    <w:rsid w:val="001E53CB"/>
    <w:rsid w:val="00207F43"/>
    <w:rsid w:val="002232D3"/>
    <w:rsid w:val="00225A83"/>
    <w:rsid w:val="00231B8F"/>
    <w:rsid w:val="00270EA5"/>
    <w:rsid w:val="002712B9"/>
    <w:rsid w:val="00284B8C"/>
    <w:rsid w:val="0029483F"/>
    <w:rsid w:val="002C2FC0"/>
    <w:rsid w:val="002F79F2"/>
    <w:rsid w:val="00302A17"/>
    <w:rsid w:val="00314D25"/>
    <w:rsid w:val="00315BE2"/>
    <w:rsid w:val="00322241"/>
    <w:rsid w:val="003322EE"/>
    <w:rsid w:val="003363CC"/>
    <w:rsid w:val="00337630"/>
    <w:rsid w:val="00340CFD"/>
    <w:rsid w:val="003413D5"/>
    <w:rsid w:val="00342621"/>
    <w:rsid w:val="00357F22"/>
    <w:rsid w:val="00361B99"/>
    <w:rsid w:val="0036748D"/>
    <w:rsid w:val="003726FF"/>
    <w:rsid w:val="00376039"/>
    <w:rsid w:val="0038255E"/>
    <w:rsid w:val="00391648"/>
    <w:rsid w:val="003916AF"/>
    <w:rsid w:val="0039304E"/>
    <w:rsid w:val="0039334E"/>
    <w:rsid w:val="00394AD2"/>
    <w:rsid w:val="003A02AF"/>
    <w:rsid w:val="003A3124"/>
    <w:rsid w:val="003A5BFF"/>
    <w:rsid w:val="003A686F"/>
    <w:rsid w:val="003B42CD"/>
    <w:rsid w:val="003E58B8"/>
    <w:rsid w:val="003F06D7"/>
    <w:rsid w:val="003F4A84"/>
    <w:rsid w:val="00400224"/>
    <w:rsid w:val="00400BA5"/>
    <w:rsid w:val="004106D9"/>
    <w:rsid w:val="00410E62"/>
    <w:rsid w:val="00414FA7"/>
    <w:rsid w:val="00420090"/>
    <w:rsid w:val="004239D1"/>
    <w:rsid w:val="00445638"/>
    <w:rsid w:val="00446432"/>
    <w:rsid w:val="00446512"/>
    <w:rsid w:val="00466D7A"/>
    <w:rsid w:val="0048237B"/>
    <w:rsid w:val="00484D16"/>
    <w:rsid w:val="00491853"/>
    <w:rsid w:val="004A14CD"/>
    <w:rsid w:val="004A2C6B"/>
    <w:rsid w:val="004A6EA2"/>
    <w:rsid w:val="004D20CB"/>
    <w:rsid w:val="004D2B20"/>
    <w:rsid w:val="004D3080"/>
    <w:rsid w:val="004D65B2"/>
    <w:rsid w:val="004D681D"/>
    <w:rsid w:val="004E2324"/>
    <w:rsid w:val="004F63E6"/>
    <w:rsid w:val="005103DA"/>
    <w:rsid w:val="00511F8F"/>
    <w:rsid w:val="00512BA7"/>
    <w:rsid w:val="00515726"/>
    <w:rsid w:val="00517ED6"/>
    <w:rsid w:val="005607C7"/>
    <w:rsid w:val="00562527"/>
    <w:rsid w:val="00562A1E"/>
    <w:rsid w:val="00563427"/>
    <w:rsid w:val="00564C08"/>
    <w:rsid w:val="005664CF"/>
    <w:rsid w:val="00581EB9"/>
    <w:rsid w:val="00587210"/>
    <w:rsid w:val="005B4E6E"/>
    <w:rsid w:val="005B56E4"/>
    <w:rsid w:val="005C795C"/>
    <w:rsid w:val="005D0E50"/>
    <w:rsid w:val="005D39D8"/>
    <w:rsid w:val="005D592A"/>
    <w:rsid w:val="00602875"/>
    <w:rsid w:val="0061097B"/>
    <w:rsid w:val="0061612F"/>
    <w:rsid w:val="006177C8"/>
    <w:rsid w:val="0062600A"/>
    <w:rsid w:val="0063777D"/>
    <w:rsid w:val="00643358"/>
    <w:rsid w:val="00646084"/>
    <w:rsid w:val="006564C3"/>
    <w:rsid w:val="006578CB"/>
    <w:rsid w:val="006A4E85"/>
    <w:rsid w:val="006A60C0"/>
    <w:rsid w:val="006A712F"/>
    <w:rsid w:val="006B5D74"/>
    <w:rsid w:val="006C25BE"/>
    <w:rsid w:val="006D7AD8"/>
    <w:rsid w:val="006F1D57"/>
    <w:rsid w:val="0070364C"/>
    <w:rsid w:val="00710EDF"/>
    <w:rsid w:val="0072221D"/>
    <w:rsid w:val="0072357C"/>
    <w:rsid w:val="007259CB"/>
    <w:rsid w:val="00726031"/>
    <w:rsid w:val="00732B9A"/>
    <w:rsid w:val="00742D23"/>
    <w:rsid w:val="00751DA9"/>
    <w:rsid w:val="00755E69"/>
    <w:rsid w:val="007648EE"/>
    <w:rsid w:val="0077106D"/>
    <w:rsid w:val="00780ACC"/>
    <w:rsid w:val="00787A11"/>
    <w:rsid w:val="00797B40"/>
    <w:rsid w:val="007A0C9D"/>
    <w:rsid w:val="007A321A"/>
    <w:rsid w:val="007A68E4"/>
    <w:rsid w:val="007B40FB"/>
    <w:rsid w:val="007B62AF"/>
    <w:rsid w:val="007C3B0D"/>
    <w:rsid w:val="007C54C6"/>
    <w:rsid w:val="007E24B2"/>
    <w:rsid w:val="007E2DA4"/>
    <w:rsid w:val="007E6815"/>
    <w:rsid w:val="007E7632"/>
    <w:rsid w:val="007F1C84"/>
    <w:rsid w:val="007F4579"/>
    <w:rsid w:val="00801596"/>
    <w:rsid w:val="00804BC8"/>
    <w:rsid w:val="00806E23"/>
    <w:rsid w:val="00807981"/>
    <w:rsid w:val="00823F5A"/>
    <w:rsid w:val="00845D3B"/>
    <w:rsid w:val="00860ACA"/>
    <w:rsid w:val="008634E9"/>
    <w:rsid w:val="008801B5"/>
    <w:rsid w:val="00880578"/>
    <w:rsid w:val="00882407"/>
    <w:rsid w:val="008920C3"/>
    <w:rsid w:val="00894052"/>
    <w:rsid w:val="008A7B87"/>
    <w:rsid w:val="008B4AA1"/>
    <w:rsid w:val="008B4D38"/>
    <w:rsid w:val="008C1C71"/>
    <w:rsid w:val="008D1FF5"/>
    <w:rsid w:val="008D30DB"/>
    <w:rsid w:val="008D6A49"/>
    <w:rsid w:val="008E1AD0"/>
    <w:rsid w:val="008E315F"/>
    <w:rsid w:val="008E6B82"/>
    <w:rsid w:val="008F6ADE"/>
    <w:rsid w:val="0091269B"/>
    <w:rsid w:val="0092173C"/>
    <w:rsid w:val="00923C0C"/>
    <w:rsid w:val="009356C9"/>
    <w:rsid w:val="0095170D"/>
    <w:rsid w:val="00952CF6"/>
    <w:rsid w:val="00960413"/>
    <w:rsid w:val="009757AF"/>
    <w:rsid w:val="00981995"/>
    <w:rsid w:val="00981C7F"/>
    <w:rsid w:val="00985515"/>
    <w:rsid w:val="00990813"/>
    <w:rsid w:val="0099544D"/>
    <w:rsid w:val="00997513"/>
    <w:rsid w:val="009A0E2C"/>
    <w:rsid w:val="009A4D56"/>
    <w:rsid w:val="009B1F04"/>
    <w:rsid w:val="009C1371"/>
    <w:rsid w:val="009E09F7"/>
    <w:rsid w:val="009E2D5C"/>
    <w:rsid w:val="009E3E44"/>
    <w:rsid w:val="009F4175"/>
    <w:rsid w:val="009F66A4"/>
    <w:rsid w:val="009F6C80"/>
    <w:rsid w:val="00A000DA"/>
    <w:rsid w:val="00A1736E"/>
    <w:rsid w:val="00A216DF"/>
    <w:rsid w:val="00A33F2C"/>
    <w:rsid w:val="00A50EE3"/>
    <w:rsid w:val="00A81AF8"/>
    <w:rsid w:val="00A83E11"/>
    <w:rsid w:val="00A94A0F"/>
    <w:rsid w:val="00AA3C6D"/>
    <w:rsid w:val="00AB57C4"/>
    <w:rsid w:val="00B11CF5"/>
    <w:rsid w:val="00B140C4"/>
    <w:rsid w:val="00B209FA"/>
    <w:rsid w:val="00B21D1F"/>
    <w:rsid w:val="00B410BA"/>
    <w:rsid w:val="00B43D68"/>
    <w:rsid w:val="00B44A3A"/>
    <w:rsid w:val="00B5441C"/>
    <w:rsid w:val="00B5600C"/>
    <w:rsid w:val="00B65D84"/>
    <w:rsid w:val="00B66E33"/>
    <w:rsid w:val="00B72FB1"/>
    <w:rsid w:val="00B91867"/>
    <w:rsid w:val="00B953DA"/>
    <w:rsid w:val="00BA19B0"/>
    <w:rsid w:val="00BA6099"/>
    <w:rsid w:val="00BB1D6D"/>
    <w:rsid w:val="00BB3870"/>
    <w:rsid w:val="00BB45A7"/>
    <w:rsid w:val="00BD0EF7"/>
    <w:rsid w:val="00BD6778"/>
    <w:rsid w:val="00C01599"/>
    <w:rsid w:val="00C048D1"/>
    <w:rsid w:val="00C05563"/>
    <w:rsid w:val="00C079D7"/>
    <w:rsid w:val="00C11132"/>
    <w:rsid w:val="00C115B9"/>
    <w:rsid w:val="00C12FDD"/>
    <w:rsid w:val="00C145AA"/>
    <w:rsid w:val="00C14655"/>
    <w:rsid w:val="00C21399"/>
    <w:rsid w:val="00C41117"/>
    <w:rsid w:val="00C436B0"/>
    <w:rsid w:val="00C446E2"/>
    <w:rsid w:val="00C535F5"/>
    <w:rsid w:val="00C560C4"/>
    <w:rsid w:val="00C62E50"/>
    <w:rsid w:val="00C6748F"/>
    <w:rsid w:val="00C72342"/>
    <w:rsid w:val="00C74337"/>
    <w:rsid w:val="00C75DC8"/>
    <w:rsid w:val="00C929AE"/>
    <w:rsid w:val="00CA4344"/>
    <w:rsid w:val="00CA6348"/>
    <w:rsid w:val="00CB1232"/>
    <w:rsid w:val="00CB17A0"/>
    <w:rsid w:val="00CB7D53"/>
    <w:rsid w:val="00CC3B7D"/>
    <w:rsid w:val="00CD5AE4"/>
    <w:rsid w:val="00CD5E86"/>
    <w:rsid w:val="00CE3B21"/>
    <w:rsid w:val="00CE718E"/>
    <w:rsid w:val="00CF338F"/>
    <w:rsid w:val="00CF4D09"/>
    <w:rsid w:val="00D005F2"/>
    <w:rsid w:val="00D03A8E"/>
    <w:rsid w:val="00D114ED"/>
    <w:rsid w:val="00D205A1"/>
    <w:rsid w:val="00D23E6E"/>
    <w:rsid w:val="00D3032C"/>
    <w:rsid w:val="00D31A3B"/>
    <w:rsid w:val="00D5309D"/>
    <w:rsid w:val="00D56686"/>
    <w:rsid w:val="00D631FA"/>
    <w:rsid w:val="00D71064"/>
    <w:rsid w:val="00D811BB"/>
    <w:rsid w:val="00D82356"/>
    <w:rsid w:val="00D84EEE"/>
    <w:rsid w:val="00D90A61"/>
    <w:rsid w:val="00D946EF"/>
    <w:rsid w:val="00D95553"/>
    <w:rsid w:val="00DB03EA"/>
    <w:rsid w:val="00DB3AFF"/>
    <w:rsid w:val="00DC355F"/>
    <w:rsid w:val="00DD1E4C"/>
    <w:rsid w:val="00DE331A"/>
    <w:rsid w:val="00DE6ACB"/>
    <w:rsid w:val="00DF02CE"/>
    <w:rsid w:val="00DF1462"/>
    <w:rsid w:val="00DF14C3"/>
    <w:rsid w:val="00DF60D1"/>
    <w:rsid w:val="00E030DA"/>
    <w:rsid w:val="00E214C0"/>
    <w:rsid w:val="00E270D3"/>
    <w:rsid w:val="00E30D85"/>
    <w:rsid w:val="00E34C1D"/>
    <w:rsid w:val="00E444EB"/>
    <w:rsid w:val="00E608DA"/>
    <w:rsid w:val="00E77A69"/>
    <w:rsid w:val="00E81A42"/>
    <w:rsid w:val="00E961E8"/>
    <w:rsid w:val="00E96244"/>
    <w:rsid w:val="00E96DE0"/>
    <w:rsid w:val="00EB2BEC"/>
    <w:rsid w:val="00EB74BF"/>
    <w:rsid w:val="00EC0704"/>
    <w:rsid w:val="00EC508B"/>
    <w:rsid w:val="00ED19F0"/>
    <w:rsid w:val="00ED6B5D"/>
    <w:rsid w:val="00ED7979"/>
    <w:rsid w:val="00EE4C99"/>
    <w:rsid w:val="00EF464E"/>
    <w:rsid w:val="00EF6EA0"/>
    <w:rsid w:val="00F10405"/>
    <w:rsid w:val="00F153D7"/>
    <w:rsid w:val="00F1599C"/>
    <w:rsid w:val="00F2283A"/>
    <w:rsid w:val="00F2433F"/>
    <w:rsid w:val="00F244DC"/>
    <w:rsid w:val="00F378F4"/>
    <w:rsid w:val="00F46571"/>
    <w:rsid w:val="00F47912"/>
    <w:rsid w:val="00F541B6"/>
    <w:rsid w:val="00F57702"/>
    <w:rsid w:val="00F61361"/>
    <w:rsid w:val="00F613E8"/>
    <w:rsid w:val="00F74D3C"/>
    <w:rsid w:val="00F74FC9"/>
    <w:rsid w:val="00F900C0"/>
    <w:rsid w:val="00F91BAF"/>
    <w:rsid w:val="00F91F47"/>
    <w:rsid w:val="00F94E54"/>
    <w:rsid w:val="00FA2721"/>
    <w:rsid w:val="00FA4F36"/>
    <w:rsid w:val="00FA6FFE"/>
    <w:rsid w:val="00FC121B"/>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B4F6A"/>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unhideWhenUsed/>
    <w:rsid w:val="00322241"/>
    <w:rPr>
      <w:color w:val="0563C1" w:themeColor="hyperlink"/>
      <w:u w:val="single"/>
    </w:rPr>
  </w:style>
  <w:style w:type="character" w:styleId="Nevyrieenzmienka">
    <w:name w:val="Unresolved Mention"/>
    <w:basedOn w:val="Predvolenpsmoodseku"/>
    <w:uiPriority w:val="99"/>
    <w:semiHidden/>
    <w:unhideWhenUsed/>
    <w:rsid w:val="00322241"/>
    <w:rPr>
      <w:color w:val="605E5C"/>
      <w:shd w:val="clear" w:color="auto" w:fill="E1DFDD"/>
    </w:rPr>
  </w:style>
  <w:style w:type="character" w:styleId="PouitHypertextovPrepojenie">
    <w:name w:val="FollowedHyperlink"/>
    <w:basedOn w:val="Predvolenpsmoodseku"/>
    <w:uiPriority w:val="99"/>
    <w:semiHidden/>
    <w:unhideWhenUsed/>
    <w:rsid w:val="003222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BF509634-EAD7-4553-A28C-7EA4AF6FF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5</Pages>
  <Words>1361</Words>
  <Characters>7759</Characters>
  <Application>Microsoft Office Word</Application>
  <DocSecurity>0</DocSecurity>
  <Lines>64</Lines>
  <Paragraphs>18</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Tahotná Liliana, JUDr.</cp:lastModifiedBy>
  <cp:revision>14</cp:revision>
  <dcterms:created xsi:type="dcterms:W3CDTF">2026-08-11T14:58:00Z</dcterms:created>
  <dcterms:modified xsi:type="dcterms:W3CDTF">2026-09-10T06:50:00Z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