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D3129"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Analýza vplyvov na rozpočet verejnej správy,</w:t>
      </w:r>
    </w:p>
    <w:p w14:paraId="371D312A"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14:paraId="371D312B" w14:textId="77777777" w:rsidR="00E963A3" w:rsidRPr="007B7470" w:rsidRDefault="00E963A3" w:rsidP="007D5748">
      <w:pPr>
        <w:spacing w:after="0" w:line="240" w:lineRule="auto"/>
        <w:jc w:val="right"/>
        <w:rPr>
          <w:rFonts w:ascii="Times New Roman" w:eastAsia="Times New Roman" w:hAnsi="Times New Roman" w:cs="Times New Roman"/>
          <w:b/>
          <w:bCs/>
          <w:sz w:val="24"/>
          <w:szCs w:val="24"/>
          <w:lang w:eastAsia="sk-SK"/>
        </w:rPr>
      </w:pPr>
    </w:p>
    <w:p w14:paraId="371D312C" w14:textId="77777777" w:rsidR="005307FC" w:rsidRPr="007B7470" w:rsidRDefault="005307FC" w:rsidP="007D5748">
      <w:pPr>
        <w:spacing w:after="0" w:line="240" w:lineRule="auto"/>
        <w:jc w:val="right"/>
        <w:rPr>
          <w:rFonts w:ascii="Times New Roman" w:eastAsia="Times New Roman" w:hAnsi="Times New Roman" w:cs="Times New Roman"/>
          <w:b/>
          <w:bCs/>
          <w:sz w:val="24"/>
          <w:szCs w:val="24"/>
          <w:lang w:eastAsia="sk-SK"/>
        </w:rPr>
      </w:pPr>
    </w:p>
    <w:p w14:paraId="371D312D" w14:textId="77777777" w:rsidR="00E963A3" w:rsidRPr="007B7470" w:rsidRDefault="00E963A3" w:rsidP="002128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14:paraId="371D312E" w14:textId="77777777"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Tabuľka č. 1</w:t>
      </w:r>
      <w:r w:rsidR="001F624A" w:rsidRPr="007B7470">
        <w:rPr>
          <w:rFonts w:ascii="Times New Roman" w:eastAsia="Times New Roman" w:hAnsi="Times New Roman" w:cs="Times New Roman"/>
          <w:sz w:val="20"/>
          <w:szCs w:val="20"/>
          <w:lang w:eastAsia="sk-SK"/>
        </w:rPr>
        <w:t>/A</w:t>
      </w:r>
      <w:r w:rsidRPr="007B7470">
        <w:rPr>
          <w:rFonts w:ascii="Times New Roman" w:eastAsia="Times New Roman" w:hAnsi="Times New Roman" w:cs="Times New Roman"/>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7D5748" w:rsidRPr="007B7470" w14:paraId="371D3131" w14:textId="77777777" w:rsidTr="002B63FD">
        <w:trPr>
          <w:cantSplit/>
          <w:trHeight w:val="194"/>
          <w:jc w:val="center"/>
        </w:trPr>
        <w:tc>
          <w:tcPr>
            <w:tcW w:w="4661" w:type="dxa"/>
            <w:vMerge w:val="restart"/>
            <w:shd w:val="clear" w:color="auto" w:fill="BFBFBF" w:themeFill="background1" w:themeFillShade="BF"/>
            <w:vAlign w:val="center"/>
          </w:tcPr>
          <w:p w14:paraId="371D312F"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bookmarkStart w:id="0" w:name="OLE_LINK1"/>
            <w:r w:rsidRPr="007B7470">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14:paraId="371D3130"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7D5748" w:rsidRPr="007B7470" w14:paraId="371D3137" w14:textId="77777777" w:rsidTr="002B63FD">
        <w:trPr>
          <w:cantSplit/>
          <w:trHeight w:val="70"/>
          <w:jc w:val="center"/>
        </w:trPr>
        <w:tc>
          <w:tcPr>
            <w:tcW w:w="4661" w:type="dxa"/>
            <w:vMerge/>
            <w:shd w:val="clear" w:color="auto" w:fill="BFBFBF" w:themeFill="background1" w:themeFillShade="BF"/>
            <w:vAlign w:val="center"/>
          </w:tcPr>
          <w:p w14:paraId="371D3132"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14:paraId="371D3133"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267" w:type="dxa"/>
            <w:shd w:val="clear" w:color="auto" w:fill="BFBFBF" w:themeFill="background1" w:themeFillShade="BF"/>
            <w:vAlign w:val="center"/>
          </w:tcPr>
          <w:p w14:paraId="371D3134"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267" w:type="dxa"/>
            <w:shd w:val="clear" w:color="auto" w:fill="BFBFBF" w:themeFill="background1" w:themeFillShade="BF"/>
            <w:vAlign w:val="center"/>
          </w:tcPr>
          <w:p w14:paraId="371D313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267" w:type="dxa"/>
            <w:shd w:val="clear" w:color="auto" w:fill="BFBFBF" w:themeFill="background1" w:themeFillShade="BF"/>
            <w:vAlign w:val="center"/>
          </w:tcPr>
          <w:p w14:paraId="371D3136"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r>
      <w:tr w:rsidR="007D5748" w:rsidRPr="007B7470" w14:paraId="371D313D" w14:textId="77777777" w:rsidTr="002B63FD">
        <w:trPr>
          <w:trHeight w:val="70"/>
          <w:jc w:val="center"/>
        </w:trPr>
        <w:tc>
          <w:tcPr>
            <w:tcW w:w="4661" w:type="dxa"/>
            <w:shd w:val="clear" w:color="auto" w:fill="C0C0C0"/>
            <w:noWrap/>
            <w:vAlign w:val="center"/>
          </w:tcPr>
          <w:p w14:paraId="371D313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267" w:type="dxa"/>
            <w:shd w:val="clear" w:color="auto" w:fill="C0C0C0"/>
            <w:vAlign w:val="center"/>
          </w:tcPr>
          <w:p w14:paraId="371D3139"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371D313A"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371D313B"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371D313C"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7D5748" w:rsidRPr="007B7470" w14:paraId="371D3143" w14:textId="77777777" w:rsidTr="002B63FD">
        <w:trPr>
          <w:trHeight w:val="132"/>
          <w:jc w:val="center"/>
        </w:trPr>
        <w:tc>
          <w:tcPr>
            <w:tcW w:w="4661" w:type="dxa"/>
            <w:noWrap/>
            <w:vAlign w:val="center"/>
          </w:tcPr>
          <w:p w14:paraId="371D313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zvlášť</w:t>
            </w:r>
          </w:p>
        </w:tc>
        <w:tc>
          <w:tcPr>
            <w:tcW w:w="1267" w:type="dxa"/>
            <w:noWrap/>
            <w:vAlign w:val="center"/>
          </w:tcPr>
          <w:p w14:paraId="371D313F"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40"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41"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42"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371D3149" w14:textId="77777777" w:rsidTr="002B63FD">
        <w:trPr>
          <w:trHeight w:val="70"/>
          <w:jc w:val="center"/>
        </w:trPr>
        <w:tc>
          <w:tcPr>
            <w:tcW w:w="4661" w:type="dxa"/>
            <w:noWrap/>
            <w:vAlign w:val="center"/>
          </w:tcPr>
          <w:p w14:paraId="371D3144"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371D3145"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371D3146"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371D3147"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371D3148"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7B7470" w14:paraId="371D314F" w14:textId="77777777" w:rsidTr="002B63FD">
        <w:trPr>
          <w:trHeight w:val="125"/>
          <w:jc w:val="center"/>
        </w:trPr>
        <w:tc>
          <w:tcPr>
            <w:tcW w:w="4661" w:type="dxa"/>
            <w:noWrap/>
            <w:vAlign w:val="center"/>
          </w:tcPr>
          <w:p w14:paraId="371D314A"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371D314B"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4C"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4D"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4E"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51FD4" w:rsidRPr="007B7470" w14:paraId="371D3155" w14:textId="77777777" w:rsidTr="002B63FD">
        <w:trPr>
          <w:trHeight w:val="125"/>
          <w:jc w:val="center"/>
        </w:trPr>
        <w:tc>
          <w:tcPr>
            <w:tcW w:w="4661" w:type="dxa"/>
            <w:noWrap/>
            <w:vAlign w:val="center"/>
          </w:tcPr>
          <w:p w14:paraId="371D3150" w14:textId="77777777" w:rsidR="00C51FD4" w:rsidRPr="007B7470"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14:paraId="371D3151"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52"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53"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54"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371D315B" w14:textId="77777777" w:rsidTr="002B63FD">
        <w:trPr>
          <w:trHeight w:val="125"/>
          <w:jc w:val="center"/>
        </w:trPr>
        <w:tc>
          <w:tcPr>
            <w:tcW w:w="4661" w:type="dxa"/>
            <w:noWrap/>
            <w:vAlign w:val="center"/>
          </w:tcPr>
          <w:p w14:paraId="371D3156" w14:textId="77777777" w:rsidR="007D5748" w:rsidRPr="007B7470" w:rsidRDefault="007D5748" w:rsidP="00212894">
            <w:pPr>
              <w:spacing w:after="0" w:line="240" w:lineRule="auto"/>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267" w:type="dxa"/>
            <w:noWrap/>
            <w:vAlign w:val="center"/>
          </w:tcPr>
          <w:p w14:paraId="371D3157"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58"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59"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5A"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371D3161" w14:textId="77777777" w:rsidTr="002B63FD">
        <w:trPr>
          <w:trHeight w:val="125"/>
          <w:jc w:val="center"/>
        </w:trPr>
        <w:tc>
          <w:tcPr>
            <w:tcW w:w="4661" w:type="dxa"/>
            <w:noWrap/>
            <w:vAlign w:val="center"/>
          </w:tcPr>
          <w:p w14:paraId="371D315C"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371D315D"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5E"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5F"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60"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371D3167" w14:textId="77777777" w:rsidTr="002B63FD">
        <w:trPr>
          <w:trHeight w:val="125"/>
          <w:jc w:val="center"/>
        </w:trPr>
        <w:tc>
          <w:tcPr>
            <w:tcW w:w="4661" w:type="dxa"/>
            <w:noWrap/>
            <w:vAlign w:val="center"/>
          </w:tcPr>
          <w:p w14:paraId="371D3162"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371D3163"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64"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65"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66"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371D316D" w14:textId="77777777" w:rsidTr="002B63FD">
        <w:trPr>
          <w:trHeight w:val="125"/>
          <w:jc w:val="center"/>
        </w:trPr>
        <w:tc>
          <w:tcPr>
            <w:tcW w:w="4661" w:type="dxa"/>
            <w:noWrap/>
            <w:vAlign w:val="center"/>
          </w:tcPr>
          <w:p w14:paraId="371D3168"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371D3169"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6A"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6B"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6C"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371D3173" w14:textId="77777777" w:rsidTr="002B63FD">
        <w:trPr>
          <w:trHeight w:val="125"/>
          <w:jc w:val="center"/>
        </w:trPr>
        <w:tc>
          <w:tcPr>
            <w:tcW w:w="4661" w:type="dxa"/>
            <w:shd w:val="clear" w:color="auto" w:fill="C0C0C0"/>
            <w:noWrap/>
            <w:vAlign w:val="center"/>
          </w:tcPr>
          <w:p w14:paraId="371D316E"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Výdavky verejnej správy celkom</w:t>
            </w:r>
          </w:p>
        </w:tc>
        <w:tc>
          <w:tcPr>
            <w:tcW w:w="1267" w:type="dxa"/>
            <w:shd w:val="clear" w:color="auto" w:fill="C0C0C0"/>
            <w:noWrap/>
            <w:vAlign w:val="center"/>
          </w:tcPr>
          <w:p w14:paraId="371D316F"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371D3170"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371D3171"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371D3172"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0   </w:t>
            </w:r>
          </w:p>
        </w:tc>
      </w:tr>
      <w:tr w:rsidR="007D5748" w:rsidRPr="007B7470" w14:paraId="371D3179" w14:textId="77777777" w:rsidTr="002B63FD">
        <w:trPr>
          <w:trHeight w:val="70"/>
          <w:jc w:val="center"/>
        </w:trPr>
        <w:tc>
          <w:tcPr>
            <w:tcW w:w="4661" w:type="dxa"/>
            <w:noWrap/>
            <w:vAlign w:val="center"/>
          </w:tcPr>
          <w:p w14:paraId="371D3174"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 program zvlášť</w:t>
            </w:r>
          </w:p>
        </w:tc>
        <w:tc>
          <w:tcPr>
            <w:tcW w:w="1267" w:type="dxa"/>
            <w:noWrap/>
            <w:vAlign w:val="center"/>
          </w:tcPr>
          <w:p w14:paraId="371D3175"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76"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77"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78"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371D317F" w14:textId="77777777" w:rsidTr="002B63FD">
        <w:trPr>
          <w:trHeight w:val="70"/>
          <w:jc w:val="center"/>
        </w:trPr>
        <w:tc>
          <w:tcPr>
            <w:tcW w:w="4661" w:type="dxa"/>
            <w:noWrap/>
            <w:vAlign w:val="center"/>
          </w:tcPr>
          <w:p w14:paraId="371D317A"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371D317B"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371D317C"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371D317D"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371D317E"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7B7470" w14:paraId="371D3185" w14:textId="77777777" w:rsidTr="002B63FD">
        <w:trPr>
          <w:trHeight w:val="70"/>
          <w:jc w:val="center"/>
        </w:trPr>
        <w:tc>
          <w:tcPr>
            <w:tcW w:w="4661" w:type="dxa"/>
            <w:noWrap/>
            <w:vAlign w:val="center"/>
          </w:tcPr>
          <w:p w14:paraId="371D3180"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371D3181"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82"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83"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84"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51FD4" w:rsidRPr="007B7470" w14:paraId="371D318B" w14:textId="77777777" w:rsidTr="002B63FD">
        <w:trPr>
          <w:trHeight w:val="70"/>
          <w:jc w:val="center"/>
        </w:trPr>
        <w:tc>
          <w:tcPr>
            <w:tcW w:w="4661" w:type="dxa"/>
            <w:noWrap/>
            <w:vAlign w:val="center"/>
          </w:tcPr>
          <w:p w14:paraId="371D3186" w14:textId="77777777" w:rsidR="00C51FD4" w:rsidRPr="007B7470"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14:paraId="371D3187"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88"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89"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8A"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371D3191" w14:textId="77777777" w:rsidTr="002B63FD">
        <w:trPr>
          <w:trHeight w:val="70"/>
          <w:jc w:val="center"/>
        </w:trPr>
        <w:tc>
          <w:tcPr>
            <w:tcW w:w="4661" w:type="dxa"/>
            <w:noWrap/>
            <w:vAlign w:val="center"/>
          </w:tcPr>
          <w:p w14:paraId="371D318C" w14:textId="77777777" w:rsidR="007D5748" w:rsidRPr="007B7470" w:rsidRDefault="007D5748" w:rsidP="007D5748">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EÚ zdroje</w:t>
            </w:r>
          </w:p>
        </w:tc>
        <w:tc>
          <w:tcPr>
            <w:tcW w:w="1267" w:type="dxa"/>
            <w:noWrap/>
            <w:vAlign w:val="center"/>
          </w:tcPr>
          <w:p w14:paraId="371D318D"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8E"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8F"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90"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371D3197" w14:textId="77777777" w:rsidTr="002B63FD">
        <w:trPr>
          <w:trHeight w:val="70"/>
          <w:jc w:val="center"/>
        </w:trPr>
        <w:tc>
          <w:tcPr>
            <w:tcW w:w="4661" w:type="dxa"/>
            <w:noWrap/>
            <w:vAlign w:val="center"/>
          </w:tcPr>
          <w:p w14:paraId="371D3192" w14:textId="77777777" w:rsidR="007D5748" w:rsidRPr="007B7470" w:rsidRDefault="007D5748" w:rsidP="007D5748">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spolufinancovanie</w:t>
            </w:r>
          </w:p>
        </w:tc>
        <w:tc>
          <w:tcPr>
            <w:tcW w:w="1267" w:type="dxa"/>
            <w:noWrap/>
            <w:vAlign w:val="center"/>
          </w:tcPr>
          <w:p w14:paraId="371D3193"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94"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95"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96"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371D319D" w14:textId="77777777" w:rsidTr="002B63FD">
        <w:trPr>
          <w:trHeight w:val="125"/>
          <w:jc w:val="center"/>
        </w:trPr>
        <w:tc>
          <w:tcPr>
            <w:tcW w:w="4661" w:type="dxa"/>
            <w:noWrap/>
            <w:vAlign w:val="center"/>
          </w:tcPr>
          <w:p w14:paraId="371D3198"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371D3199"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9A"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9B"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9C"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371D31A4" w14:textId="77777777" w:rsidTr="002B63FD">
        <w:trPr>
          <w:trHeight w:val="125"/>
          <w:jc w:val="center"/>
        </w:trPr>
        <w:tc>
          <w:tcPr>
            <w:tcW w:w="4661" w:type="dxa"/>
            <w:noWrap/>
            <w:vAlign w:val="center"/>
          </w:tcPr>
          <w:p w14:paraId="371D319E" w14:textId="77777777" w:rsidR="005307FC" w:rsidRPr="007B7470" w:rsidRDefault="005307FC" w:rsidP="005307FC">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z toho</w:t>
            </w:r>
            <w:r w:rsidR="002B5AD4" w:rsidRPr="007B7470">
              <w:rPr>
                <w:rFonts w:ascii="Times New Roman" w:eastAsia="Times New Roman" w:hAnsi="Times New Roman" w:cs="Times New Roman"/>
                <w:bCs/>
                <w:i/>
                <w:iCs/>
                <w:sz w:val="24"/>
                <w:szCs w:val="24"/>
                <w:lang w:eastAsia="sk-SK"/>
              </w:rPr>
              <w:t xml:space="preserve"> vplyv</w:t>
            </w:r>
            <w:r w:rsidRPr="007B7470">
              <w:rPr>
                <w:rFonts w:ascii="Times New Roman" w:eastAsia="Times New Roman" w:hAnsi="Times New Roman" w:cs="Times New Roman"/>
                <w:bCs/>
                <w:i/>
                <w:iCs/>
                <w:sz w:val="24"/>
                <w:szCs w:val="24"/>
                <w:lang w:eastAsia="sk-SK"/>
              </w:rPr>
              <w:t xml:space="preserve"> nových úloh v zmysle ods. 2 Čl. 6 ústavného zákona č. 493/2011 Z. z. </w:t>
            </w:r>
          </w:p>
          <w:p w14:paraId="371D319F" w14:textId="77777777" w:rsidR="005307FC" w:rsidRPr="007B7470"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371D31A0"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A1"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A2"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A3"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14:paraId="371D31AA" w14:textId="77777777" w:rsidTr="002B63FD">
        <w:trPr>
          <w:trHeight w:val="125"/>
          <w:jc w:val="center"/>
        </w:trPr>
        <w:tc>
          <w:tcPr>
            <w:tcW w:w="4661" w:type="dxa"/>
            <w:noWrap/>
            <w:vAlign w:val="center"/>
          </w:tcPr>
          <w:p w14:paraId="371D31A5"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371D31A6"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A7"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A8"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A9"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371D31B1" w14:textId="77777777" w:rsidTr="002B63FD">
        <w:trPr>
          <w:trHeight w:val="125"/>
          <w:jc w:val="center"/>
        </w:trPr>
        <w:tc>
          <w:tcPr>
            <w:tcW w:w="4661" w:type="dxa"/>
            <w:noWrap/>
            <w:vAlign w:val="center"/>
          </w:tcPr>
          <w:p w14:paraId="371D31AB" w14:textId="77777777" w:rsidR="005307FC" w:rsidRPr="007B7470" w:rsidRDefault="005307FC" w:rsidP="005307FC">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z toho</w:t>
            </w:r>
            <w:r w:rsidR="002B5AD4" w:rsidRPr="007B7470">
              <w:rPr>
                <w:rFonts w:ascii="Times New Roman" w:eastAsia="Times New Roman" w:hAnsi="Times New Roman" w:cs="Times New Roman"/>
                <w:bCs/>
                <w:i/>
                <w:iCs/>
                <w:sz w:val="24"/>
                <w:szCs w:val="24"/>
                <w:lang w:eastAsia="sk-SK"/>
              </w:rPr>
              <w:t xml:space="preserve"> vplyv</w:t>
            </w:r>
            <w:r w:rsidRPr="007B7470">
              <w:rPr>
                <w:rFonts w:ascii="Times New Roman" w:eastAsia="Times New Roman" w:hAnsi="Times New Roman" w:cs="Times New Roman"/>
                <w:bCs/>
                <w:i/>
                <w:iCs/>
                <w:sz w:val="24"/>
                <w:szCs w:val="24"/>
                <w:lang w:eastAsia="sk-SK"/>
              </w:rPr>
              <w:t xml:space="preserve"> nových úloh v zmysle ods. 2 Čl. 6 ústavného zákona č. 493/2011 Z. z. </w:t>
            </w:r>
          </w:p>
          <w:p w14:paraId="371D31AC" w14:textId="77777777" w:rsidR="005307FC" w:rsidRPr="007B7470"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371D31AD"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AE"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AF"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B0"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14:paraId="371D31B7" w14:textId="77777777" w:rsidTr="002B63FD">
        <w:trPr>
          <w:trHeight w:val="70"/>
          <w:jc w:val="center"/>
        </w:trPr>
        <w:tc>
          <w:tcPr>
            <w:tcW w:w="4661" w:type="dxa"/>
            <w:noWrap/>
            <w:vAlign w:val="center"/>
          </w:tcPr>
          <w:p w14:paraId="371D31B2"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371D31B3"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B4"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B5"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B6"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371D31BD" w14:textId="77777777" w:rsidTr="002B63FD">
        <w:trPr>
          <w:trHeight w:val="70"/>
          <w:jc w:val="center"/>
        </w:trPr>
        <w:tc>
          <w:tcPr>
            <w:tcW w:w="4661" w:type="dxa"/>
            <w:shd w:val="clear" w:color="auto" w:fill="BFBFBF" w:themeFill="background1" w:themeFillShade="BF"/>
            <w:noWrap/>
            <w:vAlign w:val="center"/>
          </w:tcPr>
          <w:p w14:paraId="371D31B8"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vAlign w:val="center"/>
          </w:tcPr>
          <w:p w14:paraId="371D31B9"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371D31BA"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371D31BB"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371D31BC"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5307FC" w:rsidRPr="007B7470" w14:paraId="371D31C3" w14:textId="77777777" w:rsidTr="002B63FD">
        <w:trPr>
          <w:trHeight w:val="70"/>
          <w:jc w:val="center"/>
        </w:trPr>
        <w:tc>
          <w:tcPr>
            <w:tcW w:w="4661" w:type="dxa"/>
            <w:noWrap/>
            <w:vAlign w:val="center"/>
          </w:tcPr>
          <w:p w14:paraId="371D31BE"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371D31BF"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C0"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C1"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C2"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371D31C9" w14:textId="77777777" w:rsidTr="002B63FD">
        <w:trPr>
          <w:trHeight w:val="70"/>
          <w:jc w:val="center"/>
        </w:trPr>
        <w:tc>
          <w:tcPr>
            <w:tcW w:w="4661" w:type="dxa"/>
            <w:noWrap/>
            <w:vAlign w:val="center"/>
          </w:tcPr>
          <w:p w14:paraId="371D31C4"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371D31C5"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C6"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C7"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C8"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371D31CF" w14:textId="77777777" w:rsidTr="002B63FD">
        <w:trPr>
          <w:trHeight w:val="70"/>
          <w:jc w:val="center"/>
        </w:trPr>
        <w:tc>
          <w:tcPr>
            <w:tcW w:w="4661" w:type="dxa"/>
            <w:noWrap/>
            <w:vAlign w:val="center"/>
          </w:tcPr>
          <w:p w14:paraId="371D31CA"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371D31CB"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CC"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CD"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CE"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371D31D5" w14:textId="77777777" w:rsidTr="002B63FD">
        <w:trPr>
          <w:trHeight w:val="70"/>
          <w:jc w:val="center"/>
        </w:trPr>
        <w:tc>
          <w:tcPr>
            <w:tcW w:w="4661" w:type="dxa"/>
            <w:noWrap/>
            <w:vAlign w:val="center"/>
          </w:tcPr>
          <w:p w14:paraId="371D31D0"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371D31D1"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D2"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D3"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D4"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371D31DB" w14:textId="77777777" w:rsidTr="002B63FD">
        <w:trPr>
          <w:trHeight w:val="70"/>
          <w:jc w:val="center"/>
        </w:trPr>
        <w:tc>
          <w:tcPr>
            <w:tcW w:w="4661" w:type="dxa"/>
            <w:shd w:val="clear" w:color="auto" w:fill="BFBFBF" w:themeFill="background1" w:themeFillShade="BF"/>
            <w:noWrap/>
            <w:vAlign w:val="center"/>
          </w:tcPr>
          <w:p w14:paraId="371D31D6" w14:textId="77777777" w:rsidR="005307FC" w:rsidRPr="007B7470" w:rsidRDefault="005307FC" w:rsidP="005307FC">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mzdové výdavky</w:t>
            </w:r>
          </w:p>
        </w:tc>
        <w:tc>
          <w:tcPr>
            <w:tcW w:w="1267" w:type="dxa"/>
            <w:shd w:val="clear" w:color="auto" w:fill="BFBFBF" w:themeFill="background1" w:themeFillShade="BF"/>
            <w:noWrap/>
            <w:vAlign w:val="center"/>
          </w:tcPr>
          <w:p w14:paraId="371D31D7" w14:textId="77777777"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371D31D8" w14:textId="77777777"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371D31D9" w14:textId="77777777"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371D31DA" w14:textId="77777777"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r>
      <w:tr w:rsidR="005307FC" w:rsidRPr="007B7470" w14:paraId="371D31E1" w14:textId="77777777" w:rsidTr="002B63FD">
        <w:trPr>
          <w:trHeight w:val="70"/>
          <w:jc w:val="center"/>
        </w:trPr>
        <w:tc>
          <w:tcPr>
            <w:tcW w:w="4661" w:type="dxa"/>
            <w:noWrap/>
            <w:vAlign w:val="center"/>
          </w:tcPr>
          <w:p w14:paraId="371D31DC"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371D31DD"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DE"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DF"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E0"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371D31E7" w14:textId="77777777" w:rsidTr="002B63FD">
        <w:trPr>
          <w:trHeight w:val="70"/>
          <w:jc w:val="center"/>
        </w:trPr>
        <w:tc>
          <w:tcPr>
            <w:tcW w:w="4661" w:type="dxa"/>
            <w:noWrap/>
            <w:vAlign w:val="center"/>
          </w:tcPr>
          <w:p w14:paraId="371D31E2"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371D31E3"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E4"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E5"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E6"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371D31ED" w14:textId="77777777" w:rsidTr="002B63FD">
        <w:trPr>
          <w:trHeight w:val="70"/>
          <w:jc w:val="center"/>
        </w:trPr>
        <w:tc>
          <w:tcPr>
            <w:tcW w:w="4661" w:type="dxa"/>
            <w:noWrap/>
            <w:vAlign w:val="center"/>
          </w:tcPr>
          <w:p w14:paraId="371D31E8"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371D31E9"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EA"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EB"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EC"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371D31F3" w14:textId="77777777" w:rsidTr="002B63FD">
        <w:trPr>
          <w:trHeight w:val="70"/>
          <w:jc w:val="center"/>
        </w:trPr>
        <w:tc>
          <w:tcPr>
            <w:tcW w:w="4661" w:type="dxa"/>
            <w:noWrap/>
            <w:vAlign w:val="center"/>
          </w:tcPr>
          <w:p w14:paraId="371D31EE"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371D31EF"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F0"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F1"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71D31F2"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371D31F9" w14:textId="77777777" w:rsidTr="002B63FD">
        <w:trPr>
          <w:trHeight w:val="70"/>
          <w:jc w:val="center"/>
        </w:trPr>
        <w:tc>
          <w:tcPr>
            <w:tcW w:w="4661" w:type="dxa"/>
            <w:shd w:val="clear" w:color="auto" w:fill="C0C0C0"/>
            <w:noWrap/>
            <w:vAlign w:val="center"/>
          </w:tcPr>
          <w:p w14:paraId="371D31F4"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Financovanie zabezpečené v rozpočte</w:t>
            </w:r>
          </w:p>
        </w:tc>
        <w:tc>
          <w:tcPr>
            <w:tcW w:w="1267" w:type="dxa"/>
            <w:shd w:val="clear" w:color="auto" w:fill="C0C0C0"/>
            <w:noWrap/>
            <w:vAlign w:val="center"/>
          </w:tcPr>
          <w:p w14:paraId="371D31F5"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371D31F6"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371D31F7"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371D31F8"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5307FC" w:rsidRPr="007B7470" w14:paraId="371D31FF" w14:textId="77777777" w:rsidTr="002B63FD">
        <w:trPr>
          <w:trHeight w:val="70"/>
          <w:jc w:val="center"/>
        </w:trPr>
        <w:tc>
          <w:tcPr>
            <w:tcW w:w="4661" w:type="dxa"/>
            <w:noWrap/>
            <w:vAlign w:val="center"/>
          </w:tcPr>
          <w:p w14:paraId="371D31FA" w14:textId="77777777" w:rsidR="005307FC" w:rsidRPr="007B7470" w:rsidRDefault="005307FC" w:rsidP="005307FC">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 program zvlášť</w:t>
            </w:r>
          </w:p>
        </w:tc>
        <w:tc>
          <w:tcPr>
            <w:tcW w:w="1267" w:type="dxa"/>
            <w:noWrap/>
            <w:vAlign w:val="center"/>
          </w:tcPr>
          <w:p w14:paraId="371D31FB"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FC"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FD"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71D31FE"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14:paraId="371D3205" w14:textId="77777777" w:rsidTr="002B63FD">
        <w:trPr>
          <w:trHeight w:val="70"/>
          <w:jc w:val="center"/>
        </w:trPr>
        <w:tc>
          <w:tcPr>
            <w:tcW w:w="4661" w:type="dxa"/>
            <w:shd w:val="clear" w:color="auto" w:fill="BFBFBF" w:themeFill="background1" w:themeFillShade="BF"/>
            <w:noWrap/>
            <w:vAlign w:val="center"/>
          </w:tcPr>
          <w:p w14:paraId="371D3200" w14:textId="77777777" w:rsidR="005307FC" w:rsidRPr="007B7470" w:rsidRDefault="005307FC" w:rsidP="005307FC">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Iné ako rozpočtové zdroje</w:t>
            </w:r>
          </w:p>
        </w:tc>
        <w:tc>
          <w:tcPr>
            <w:tcW w:w="1267" w:type="dxa"/>
            <w:shd w:val="clear" w:color="auto" w:fill="BFBFBF" w:themeFill="background1" w:themeFillShade="BF"/>
            <w:noWrap/>
            <w:vAlign w:val="center"/>
          </w:tcPr>
          <w:p w14:paraId="371D3201"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371D3202"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371D3203"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371D3204"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5307FC" w:rsidRPr="007B7470" w14:paraId="371D320B" w14:textId="77777777" w:rsidTr="002B63FD">
        <w:trPr>
          <w:trHeight w:val="70"/>
          <w:jc w:val="center"/>
        </w:trPr>
        <w:tc>
          <w:tcPr>
            <w:tcW w:w="4661" w:type="dxa"/>
            <w:shd w:val="clear" w:color="auto" w:fill="A6A6A6" w:themeFill="background1" w:themeFillShade="A6"/>
            <w:noWrap/>
            <w:vAlign w:val="center"/>
          </w:tcPr>
          <w:p w14:paraId="371D3206"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Rozpočtovo nekrytý vplyv / úspora</w:t>
            </w:r>
          </w:p>
        </w:tc>
        <w:tc>
          <w:tcPr>
            <w:tcW w:w="1267" w:type="dxa"/>
            <w:shd w:val="clear" w:color="auto" w:fill="A6A6A6" w:themeFill="background1" w:themeFillShade="A6"/>
            <w:noWrap/>
            <w:vAlign w:val="center"/>
          </w:tcPr>
          <w:p w14:paraId="371D3207"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371D3208"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371D3209"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371D320A"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bl>
    <w:bookmarkEnd w:id="0"/>
    <w:p w14:paraId="371D320C" w14:textId="77777777" w:rsidR="001F624A" w:rsidRPr="007B7470" w:rsidRDefault="001C721D" w:rsidP="00785085">
      <w:pPr>
        <w:spacing w:after="0"/>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1C721D" w:rsidRPr="007B7470" w14:paraId="371D3212" w14:textId="77777777" w:rsidTr="002177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71D320D"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71D320E" w14:textId="77777777" w:rsidR="001C721D" w:rsidRPr="007B7470" w:rsidRDefault="001C721D" w:rsidP="001C721D">
            <w:pPr>
              <w:spacing w:after="0" w:line="240" w:lineRule="auto"/>
              <w:jc w:val="center"/>
              <w:rPr>
                <w:rFonts w:ascii="Times New Roman" w:eastAsia="Times New Roman" w:hAnsi="Times New Roman" w:cs="Times New Roman"/>
                <w:b/>
                <w:bCs/>
                <w:color w:val="000000"/>
                <w:sz w:val="24"/>
                <w:szCs w:val="24"/>
                <w:lang w:eastAsia="sk-SK"/>
              </w:rPr>
            </w:pPr>
            <w:r w:rsidRPr="007B7470">
              <w:rPr>
                <w:rFonts w:ascii="Times New Roman" w:eastAsia="Times New Roman" w:hAnsi="Times New Roman" w:cs="Times New Roman"/>
                <w:b/>
                <w:bCs/>
                <w:color w:val="000000"/>
                <w:sz w:val="24"/>
                <w:szCs w:val="24"/>
                <w:lang w:eastAsia="sk-SK"/>
              </w:rPr>
              <w:t>r</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71D320F" w14:textId="77777777" w:rsidR="001C721D" w:rsidRPr="007B7470" w:rsidRDefault="001C721D" w:rsidP="001C721D">
            <w:pPr>
              <w:spacing w:after="0" w:line="240" w:lineRule="auto"/>
              <w:jc w:val="center"/>
              <w:rPr>
                <w:rFonts w:ascii="Times New Roman" w:eastAsia="Times New Roman" w:hAnsi="Times New Roman" w:cs="Times New Roman"/>
                <w:b/>
                <w:bCs/>
                <w:color w:val="000000"/>
                <w:sz w:val="24"/>
                <w:szCs w:val="24"/>
                <w:lang w:eastAsia="sk-SK"/>
              </w:rPr>
            </w:pPr>
            <w:r w:rsidRPr="007B7470">
              <w:rPr>
                <w:rFonts w:ascii="Times New Roman" w:eastAsia="Times New Roman" w:hAnsi="Times New Roman" w:cs="Times New Roman"/>
                <w:b/>
                <w:bCs/>
                <w:color w:val="000000"/>
                <w:sz w:val="24"/>
                <w:szCs w:val="24"/>
                <w:lang w:eastAsia="sk-SK"/>
              </w:rPr>
              <w:t>r + 1</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71D3210" w14:textId="77777777" w:rsidR="001C721D" w:rsidRPr="007B7470" w:rsidRDefault="001C721D" w:rsidP="001C721D">
            <w:pPr>
              <w:spacing w:after="0" w:line="240" w:lineRule="auto"/>
              <w:jc w:val="center"/>
              <w:rPr>
                <w:rFonts w:ascii="Times New Roman" w:eastAsia="Times New Roman" w:hAnsi="Times New Roman" w:cs="Times New Roman"/>
                <w:b/>
                <w:bCs/>
                <w:color w:val="000000"/>
                <w:sz w:val="24"/>
                <w:szCs w:val="24"/>
                <w:lang w:eastAsia="sk-SK"/>
              </w:rPr>
            </w:pPr>
            <w:r w:rsidRPr="007B7470">
              <w:rPr>
                <w:rFonts w:ascii="Times New Roman" w:eastAsia="Times New Roman" w:hAnsi="Times New Roman" w:cs="Times New Roman"/>
                <w:b/>
                <w:bCs/>
                <w:color w:val="000000"/>
                <w:sz w:val="24"/>
                <w:szCs w:val="24"/>
                <w:lang w:eastAsia="sk-SK"/>
              </w:rPr>
              <w:t>r + 2</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71D3211" w14:textId="77777777" w:rsidR="001C721D" w:rsidRPr="007B7470" w:rsidRDefault="001C721D" w:rsidP="001C721D">
            <w:pPr>
              <w:spacing w:after="0" w:line="240" w:lineRule="auto"/>
              <w:jc w:val="center"/>
              <w:rPr>
                <w:rFonts w:ascii="Times New Roman" w:eastAsia="Times New Roman" w:hAnsi="Times New Roman" w:cs="Times New Roman"/>
                <w:b/>
                <w:bCs/>
                <w:color w:val="000000"/>
                <w:sz w:val="24"/>
                <w:szCs w:val="24"/>
                <w:lang w:eastAsia="sk-SK"/>
              </w:rPr>
            </w:pPr>
            <w:r w:rsidRPr="007B7470">
              <w:rPr>
                <w:rFonts w:ascii="Times New Roman" w:eastAsia="Times New Roman" w:hAnsi="Times New Roman" w:cs="Times New Roman"/>
                <w:b/>
                <w:bCs/>
                <w:color w:val="000000"/>
                <w:sz w:val="24"/>
                <w:szCs w:val="24"/>
                <w:lang w:eastAsia="sk-SK"/>
              </w:rPr>
              <w:t>r + 3</w:t>
            </w:r>
          </w:p>
        </w:tc>
      </w:tr>
      <w:tr w:rsidR="001C721D" w:rsidRPr="007B7470" w14:paraId="371D3218"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71D3213" w14:textId="77777777"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noWrap/>
            <w:vAlign w:val="center"/>
            <w:hideMark/>
          </w:tcPr>
          <w:p w14:paraId="371D3214"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371D3215"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371D3216"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371D3217"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1C721D" w:rsidRPr="007B7470" w14:paraId="371D321E"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71D3219" w14:textId="77777777" w:rsidR="001C721D" w:rsidRPr="007B7470" w:rsidRDefault="001C721D" w:rsidP="001C721D">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v tom: za každý subjekt verejnej správy zvlášť / program zvlášť</w:t>
            </w:r>
          </w:p>
        </w:tc>
        <w:tc>
          <w:tcPr>
            <w:tcW w:w="1134" w:type="dxa"/>
            <w:tcBorders>
              <w:top w:val="nil"/>
              <w:left w:val="nil"/>
              <w:bottom w:val="single" w:sz="4" w:space="0" w:color="auto"/>
              <w:right w:val="single" w:sz="4" w:space="0" w:color="auto"/>
            </w:tcBorders>
            <w:noWrap/>
            <w:vAlign w:val="center"/>
            <w:hideMark/>
          </w:tcPr>
          <w:p w14:paraId="371D321A" w14:textId="77777777"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371D321B" w14:textId="77777777"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371D321C" w14:textId="77777777"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371D321D" w14:textId="77777777"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r>
      <w:tr w:rsidR="001C721D" w:rsidRPr="007B7470" w14:paraId="371D3224"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71D321F" w14:textId="77777777" w:rsidR="001C721D" w:rsidRPr="007B7470" w:rsidRDefault="001C721D" w:rsidP="001C721D">
            <w:pPr>
              <w:spacing w:after="0" w:line="240" w:lineRule="auto"/>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noWrap/>
            <w:vAlign w:val="center"/>
            <w:hideMark/>
          </w:tcPr>
          <w:p w14:paraId="371D3220"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7" w:type="dxa"/>
            <w:tcBorders>
              <w:top w:val="nil"/>
              <w:left w:val="nil"/>
              <w:bottom w:val="single" w:sz="4" w:space="0" w:color="auto"/>
              <w:right w:val="single" w:sz="4" w:space="0" w:color="auto"/>
            </w:tcBorders>
            <w:noWrap/>
            <w:vAlign w:val="center"/>
            <w:hideMark/>
          </w:tcPr>
          <w:p w14:paraId="371D3221"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nil"/>
              <w:left w:val="nil"/>
              <w:bottom w:val="single" w:sz="4" w:space="0" w:color="auto"/>
              <w:right w:val="single" w:sz="4" w:space="0" w:color="auto"/>
            </w:tcBorders>
            <w:noWrap/>
            <w:vAlign w:val="center"/>
            <w:hideMark/>
          </w:tcPr>
          <w:p w14:paraId="371D3222"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8" w:type="dxa"/>
            <w:tcBorders>
              <w:top w:val="nil"/>
              <w:left w:val="nil"/>
              <w:bottom w:val="single" w:sz="4" w:space="0" w:color="auto"/>
              <w:right w:val="single" w:sz="4" w:space="0" w:color="auto"/>
            </w:tcBorders>
            <w:noWrap/>
            <w:vAlign w:val="center"/>
            <w:hideMark/>
          </w:tcPr>
          <w:p w14:paraId="371D3223"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r>
      <w:tr w:rsidR="001C721D" w:rsidRPr="007B7470" w14:paraId="371D322A"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71D3225" w14:textId="77777777"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w:t>
            </w:r>
            <w:r w:rsidR="00C64BDB" w:rsidRPr="007B7470">
              <w:rPr>
                <w:rFonts w:ascii="Times New Roman" w:eastAsia="Times New Roman" w:hAnsi="Times New Roman" w:cs="Times New Roman"/>
                <w:b/>
                <w:bCs/>
                <w:color w:val="000000" w:themeColor="text1"/>
                <w:sz w:val="24"/>
                <w:szCs w:val="24"/>
                <w:lang w:eastAsia="sk-SK"/>
              </w:rPr>
              <w:t xml:space="preserve"> limit verejných výdavkov</w:t>
            </w:r>
            <w:r w:rsidRPr="007B7470">
              <w:rPr>
                <w:rFonts w:ascii="Times New Roman" w:eastAsia="Times New Roman" w:hAnsi="Times New Roman" w:cs="Times New Roman"/>
                <w:b/>
                <w:bCs/>
                <w:color w:val="000000" w:themeColor="text1"/>
                <w:sz w:val="24"/>
                <w:szCs w:val="24"/>
                <w:lang w:eastAsia="sk-SK"/>
              </w:rPr>
              <w:t xml:space="preserve"> ŠR</w:t>
            </w:r>
          </w:p>
        </w:tc>
        <w:tc>
          <w:tcPr>
            <w:tcW w:w="1134" w:type="dxa"/>
            <w:tcBorders>
              <w:top w:val="nil"/>
              <w:left w:val="nil"/>
              <w:bottom w:val="single" w:sz="4" w:space="0" w:color="auto"/>
              <w:right w:val="single" w:sz="4" w:space="0" w:color="auto"/>
            </w:tcBorders>
            <w:noWrap/>
            <w:vAlign w:val="center"/>
            <w:hideMark/>
          </w:tcPr>
          <w:p w14:paraId="371D3226"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371D3227"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371D3228"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371D3229"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1C721D" w:rsidRPr="007B7470" w14:paraId="371D3230" w14:textId="77777777" w:rsidTr="00C64B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71D322B" w14:textId="77777777"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 xml:space="preserve">vplyv na </w:t>
            </w:r>
            <w:r w:rsidR="00C64BDB" w:rsidRPr="007B7470">
              <w:rPr>
                <w:rFonts w:ascii="Times New Roman" w:eastAsia="Times New Roman" w:hAnsi="Times New Roman" w:cs="Times New Roman"/>
                <w:b/>
                <w:bCs/>
                <w:color w:val="000000" w:themeColor="text1"/>
                <w:sz w:val="24"/>
                <w:szCs w:val="24"/>
                <w:lang w:eastAsia="sk-SK"/>
              </w:rPr>
              <w:t>limit verejných výdavkov ostatných</w:t>
            </w:r>
            <w:r w:rsidRPr="007B7470">
              <w:rPr>
                <w:rFonts w:ascii="Times New Roman" w:eastAsia="Times New Roman" w:hAnsi="Times New Roman" w:cs="Times New Roman"/>
                <w:b/>
                <w:bCs/>
                <w:color w:val="000000" w:themeColor="text1"/>
                <w:sz w:val="24"/>
                <w:szCs w:val="24"/>
                <w:lang w:eastAsia="sk-SK"/>
              </w:rPr>
              <w:t xml:space="preserve"> subjekty verejnej správy</w:t>
            </w:r>
          </w:p>
        </w:tc>
        <w:tc>
          <w:tcPr>
            <w:tcW w:w="1134" w:type="dxa"/>
            <w:tcBorders>
              <w:top w:val="nil"/>
              <w:left w:val="nil"/>
              <w:bottom w:val="single" w:sz="4" w:space="0" w:color="auto"/>
              <w:right w:val="single" w:sz="4" w:space="0" w:color="auto"/>
            </w:tcBorders>
            <w:noWrap/>
            <w:vAlign w:val="center"/>
            <w:hideMark/>
          </w:tcPr>
          <w:p w14:paraId="371D322C"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371D322D"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371D322E"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371D322F"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2135D4" w:rsidRPr="007B7470" w14:paraId="371D3236" w14:textId="77777777" w:rsidTr="00C64B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371D3231" w14:textId="77777777" w:rsidR="002135D4" w:rsidRPr="007B7470" w:rsidRDefault="00C64BDB"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noWrap/>
            <w:vAlign w:val="center"/>
          </w:tcPr>
          <w:p w14:paraId="371D3232"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single" w:sz="4" w:space="0" w:color="auto"/>
              <w:left w:val="nil"/>
              <w:bottom w:val="single" w:sz="4" w:space="0" w:color="auto"/>
              <w:right w:val="single" w:sz="4" w:space="0" w:color="auto"/>
            </w:tcBorders>
            <w:noWrap/>
            <w:vAlign w:val="center"/>
          </w:tcPr>
          <w:p w14:paraId="371D3233"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single" w:sz="4" w:space="0" w:color="auto"/>
              <w:left w:val="nil"/>
              <w:bottom w:val="single" w:sz="4" w:space="0" w:color="auto"/>
              <w:right w:val="single" w:sz="4" w:space="0" w:color="auto"/>
            </w:tcBorders>
            <w:noWrap/>
            <w:vAlign w:val="center"/>
          </w:tcPr>
          <w:p w14:paraId="371D3234"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single" w:sz="4" w:space="0" w:color="auto"/>
              <w:left w:val="nil"/>
              <w:bottom w:val="single" w:sz="4" w:space="0" w:color="auto"/>
              <w:right w:val="single" w:sz="4" w:space="0" w:color="auto"/>
            </w:tcBorders>
            <w:noWrap/>
            <w:vAlign w:val="center"/>
          </w:tcPr>
          <w:p w14:paraId="371D3235"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r>
    </w:tbl>
    <w:p w14:paraId="371D3237" w14:textId="77777777" w:rsidR="003F35B7" w:rsidRPr="007B7470" w:rsidRDefault="003F35B7" w:rsidP="005307FC">
      <w:pPr>
        <w:rPr>
          <w:rFonts w:ascii="Times New Roman" w:eastAsia="Times New Roman" w:hAnsi="Times New Roman" w:cs="Times New Roman"/>
          <w:b/>
          <w:bCs/>
          <w:sz w:val="24"/>
          <w:szCs w:val="24"/>
          <w:lang w:eastAsia="sk-SK"/>
        </w:rPr>
      </w:pPr>
    </w:p>
    <w:p w14:paraId="371D3238" w14:textId="77777777" w:rsidR="007D5748" w:rsidRPr="007B7470" w:rsidRDefault="007D5748" w:rsidP="005307FC">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14:paraId="371D3239" w14:textId="77777777" w:rsidR="007D5748" w:rsidRPr="007B7470" w:rsidRDefault="007D5748" w:rsidP="007D5748">
      <w:pPr>
        <w:spacing w:after="0" w:line="240" w:lineRule="auto"/>
        <w:jc w:val="both"/>
        <w:rPr>
          <w:rFonts w:ascii="Times New Roman" w:eastAsia="Times New Roman" w:hAnsi="Times New Roman" w:cs="Times New Roman"/>
          <w:b/>
          <w:bCs/>
          <w:sz w:val="12"/>
          <w:szCs w:val="24"/>
          <w:lang w:eastAsia="sk-SK"/>
        </w:rPr>
      </w:pPr>
    </w:p>
    <w:p w14:paraId="75A1C4C3" w14:textId="783A28D6" w:rsidR="00FB7ADD" w:rsidRDefault="00FC2697" w:rsidP="004451C4">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r w:rsidRPr="004451C4">
        <w:rPr>
          <w:rFonts w:ascii="Times New Roman" w:eastAsia="Times New Roman" w:hAnsi="Times New Roman" w:cs="Times New Roman"/>
          <w:sz w:val="24"/>
          <w:szCs w:val="24"/>
          <w:lang w:eastAsia="sk-SK"/>
        </w:rPr>
        <w:t>Návrh nepredpokladá</w:t>
      </w:r>
      <w:r w:rsidR="00790CA5">
        <w:rPr>
          <w:rFonts w:ascii="Times New Roman" w:eastAsia="Times New Roman" w:hAnsi="Times New Roman" w:cs="Times New Roman"/>
          <w:sz w:val="24"/>
          <w:szCs w:val="24"/>
          <w:lang w:eastAsia="sk-SK"/>
        </w:rPr>
        <w:t xml:space="preserve"> úbytok príjmov ani zvýšenie výdavkov nad rámec pôvodnej zákonnej úpravy</w:t>
      </w:r>
      <w:r w:rsidR="009A3221">
        <w:rPr>
          <w:rFonts w:ascii="Times New Roman" w:eastAsia="Times New Roman" w:hAnsi="Times New Roman" w:cs="Times New Roman"/>
          <w:sz w:val="24"/>
          <w:szCs w:val="24"/>
          <w:lang w:eastAsia="sk-SK"/>
        </w:rPr>
        <w:t xml:space="preserve"> pre centrálny ekonomický systém upravenej v </w:t>
      </w:r>
      <w:r w:rsidR="009A3221" w:rsidRPr="009A3221">
        <w:rPr>
          <w:rFonts w:ascii="Times New Roman" w:eastAsia="Times New Roman" w:hAnsi="Times New Roman" w:cs="Times New Roman"/>
          <w:sz w:val="24"/>
          <w:szCs w:val="24"/>
          <w:lang w:eastAsia="sk-SK"/>
        </w:rPr>
        <w:t>zákone č. 215/2019 Z. z. o zaručenej elektronickej fakturácii a centrálnom ekonomickom systéme a o doplnení niektorých zákonov v znení neskorších predpisov (ďalej len „zákon č. 215/2019 Z. z.)</w:t>
      </w:r>
      <w:r w:rsidR="00621EDF">
        <w:rPr>
          <w:rFonts w:ascii="Times New Roman" w:eastAsia="Times New Roman" w:hAnsi="Times New Roman" w:cs="Times New Roman"/>
          <w:sz w:val="24"/>
          <w:szCs w:val="24"/>
          <w:lang w:eastAsia="sk-SK"/>
        </w:rPr>
        <w:t>.</w:t>
      </w:r>
      <w:r w:rsidR="002A6C7E">
        <w:rPr>
          <w:rFonts w:ascii="Times New Roman" w:eastAsia="Times New Roman" w:hAnsi="Times New Roman" w:cs="Times New Roman"/>
          <w:sz w:val="24"/>
          <w:szCs w:val="24"/>
          <w:lang w:eastAsia="sk-SK"/>
        </w:rPr>
        <w:t xml:space="preserve"> </w:t>
      </w:r>
      <w:r w:rsidR="00A94F6A">
        <w:rPr>
          <w:rFonts w:ascii="Times New Roman" w:eastAsia="Times New Roman" w:hAnsi="Times New Roman" w:cs="Times New Roman"/>
          <w:sz w:val="24"/>
          <w:szCs w:val="24"/>
          <w:lang w:eastAsia="sk-SK"/>
        </w:rPr>
        <w:t xml:space="preserve">Zriadenie </w:t>
      </w:r>
      <w:r w:rsidR="00530BAE" w:rsidRPr="00530BAE">
        <w:rPr>
          <w:rFonts w:ascii="Times New Roman" w:eastAsia="Times New Roman" w:hAnsi="Times New Roman" w:cs="Times New Roman"/>
          <w:sz w:val="24"/>
          <w:szCs w:val="24"/>
          <w:lang w:eastAsia="sk-SK"/>
        </w:rPr>
        <w:t>právnickej osoby, ktorej MF SR deleguje podporné, technické, organizačné a iné činnosti</w:t>
      </w:r>
      <w:r w:rsidR="00530BAE">
        <w:rPr>
          <w:rFonts w:ascii="Times New Roman" w:eastAsia="Times New Roman" w:hAnsi="Times New Roman" w:cs="Times New Roman"/>
          <w:sz w:val="24"/>
          <w:szCs w:val="24"/>
          <w:lang w:eastAsia="sk-SK"/>
        </w:rPr>
        <w:t xml:space="preserve"> týkajúce sa centrálneho ekonomického systému a</w:t>
      </w:r>
      <w:r w:rsidR="00146064">
        <w:rPr>
          <w:rFonts w:ascii="Times New Roman" w:eastAsia="Times New Roman" w:hAnsi="Times New Roman" w:cs="Times New Roman"/>
          <w:sz w:val="24"/>
          <w:szCs w:val="24"/>
          <w:lang w:eastAsia="sk-SK"/>
        </w:rPr>
        <w:t xml:space="preserve"> centrálneho verejného obstarávania </w:t>
      </w:r>
      <w:r w:rsidR="009D63B6">
        <w:rPr>
          <w:rFonts w:ascii="Times New Roman" w:eastAsia="Times New Roman" w:hAnsi="Times New Roman" w:cs="Times New Roman"/>
          <w:sz w:val="24"/>
          <w:szCs w:val="24"/>
          <w:lang w:eastAsia="sk-SK"/>
        </w:rPr>
        <w:t>(ďalej len „</w:t>
      </w:r>
      <w:r w:rsidR="00A94F6A">
        <w:rPr>
          <w:rFonts w:ascii="Times New Roman" w:eastAsia="Times New Roman" w:hAnsi="Times New Roman" w:cs="Times New Roman"/>
          <w:sz w:val="24"/>
          <w:szCs w:val="24"/>
          <w:lang w:eastAsia="sk-SK"/>
        </w:rPr>
        <w:t>Centr</w:t>
      </w:r>
      <w:r w:rsidR="00D55FF8">
        <w:rPr>
          <w:rFonts w:ascii="Times New Roman" w:eastAsia="Times New Roman" w:hAnsi="Times New Roman" w:cs="Times New Roman"/>
          <w:sz w:val="24"/>
          <w:szCs w:val="24"/>
          <w:lang w:eastAsia="sk-SK"/>
        </w:rPr>
        <w:t>um</w:t>
      </w:r>
      <w:r w:rsidR="00A94F6A">
        <w:rPr>
          <w:rFonts w:ascii="Times New Roman" w:eastAsia="Times New Roman" w:hAnsi="Times New Roman" w:cs="Times New Roman"/>
          <w:sz w:val="24"/>
          <w:szCs w:val="24"/>
          <w:lang w:eastAsia="sk-SK"/>
        </w:rPr>
        <w:t xml:space="preserve"> ekonomických agend</w:t>
      </w:r>
      <w:r w:rsidR="009D63B6">
        <w:rPr>
          <w:rFonts w:ascii="Times New Roman" w:eastAsia="Times New Roman" w:hAnsi="Times New Roman" w:cs="Times New Roman"/>
          <w:sz w:val="24"/>
          <w:szCs w:val="24"/>
          <w:lang w:eastAsia="sk-SK"/>
        </w:rPr>
        <w:t>“</w:t>
      </w:r>
      <w:r w:rsidR="004451C4">
        <w:rPr>
          <w:rFonts w:ascii="Times New Roman" w:eastAsia="Times New Roman" w:hAnsi="Times New Roman" w:cs="Times New Roman"/>
          <w:sz w:val="24"/>
          <w:szCs w:val="24"/>
          <w:lang w:eastAsia="sk-SK"/>
        </w:rPr>
        <w:t>;</w:t>
      </w:r>
      <w:r w:rsidR="00237741">
        <w:rPr>
          <w:rFonts w:ascii="Times New Roman" w:eastAsia="Times New Roman" w:hAnsi="Times New Roman" w:cs="Times New Roman"/>
          <w:sz w:val="24"/>
          <w:szCs w:val="24"/>
          <w:lang w:eastAsia="sk-SK"/>
        </w:rPr>
        <w:t xml:space="preserve"> pozn.</w:t>
      </w:r>
      <w:r w:rsidR="002323BB">
        <w:rPr>
          <w:rFonts w:ascii="Times New Roman" w:eastAsia="Times New Roman" w:hAnsi="Times New Roman" w:cs="Times New Roman"/>
          <w:sz w:val="24"/>
          <w:szCs w:val="24"/>
          <w:lang w:eastAsia="sk-SK"/>
        </w:rPr>
        <w:t>:</w:t>
      </w:r>
      <w:r w:rsidR="00237741">
        <w:rPr>
          <w:rFonts w:ascii="Times New Roman" w:eastAsia="Times New Roman" w:hAnsi="Times New Roman" w:cs="Times New Roman"/>
          <w:sz w:val="24"/>
          <w:szCs w:val="24"/>
          <w:lang w:eastAsia="sk-SK"/>
        </w:rPr>
        <w:t xml:space="preserve"> ide o</w:t>
      </w:r>
      <w:r w:rsidR="002323BB">
        <w:rPr>
          <w:rFonts w:ascii="Times New Roman" w:eastAsia="Times New Roman" w:hAnsi="Times New Roman" w:cs="Times New Roman"/>
          <w:sz w:val="24"/>
          <w:szCs w:val="24"/>
          <w:lang w:eastAsia="sk-SK"/>
        </w:rPr>
        <w:t> </w:t>
      </w:r>
      <w:r w:rsidR="003B2311">
        <w:rPr>
          <w:rFonts w:ascii="Times New Roman" w:eastAsia="Times New Roman" w:hAnsi="Times New Roman" w:cs="Times New Roman"/>
          <w:sz w:val="24"/>
          <w:szCs w:val="24"/>
          <w:lang w:eastAsia="sk-SK"/>
        </w:rPr>
        <w:t>predbežný</w:t>
      </w:r>
      <w:r w:rsidR="002323BB">
        <w:rPr>
          <w:rFonts w:ascii="Times New Roman" w:eastAsia="Times New Roman" w:hAnsi="Times New Roman" w:cs="Times New Roman"/>
          <w:sz w:val="24"/>
          <w:szCs w:val="24"/>
          <w:lang w:eastAsia="sk-SK"/>
        </w:rPr>
        <w:t xml:space="preserve"> názov</w:t>
      </w:r>
      <w:r w:rsidR="00237741">
        <w:rPr>
          <w:rFonts w:ascii="Times New Roman" w:eastAsia="Times New Roman" w:hAnsi="Times New Roman" w:cs="Times New Roman"/>
          <w:sz w:val="24"/>
          <w:szCs w:val="24"/>
          <w:lang w:eastAsia="sk-SK"/>
        </w:rPr>
        <w:t xml:space="preserve"> tejto právnickej osoby</w:t>
      </w:r>
      <w:r w:rsidR="009D63B6">
        <w:rPr>
          <w:rFonts w:ascii="Times New Roman" w:eastAsia="Times New Roman" w:hAnsi="Times New Roman" w:cs="Times New Roman"/>
          <w:sz w:val="24"/>
          <w:szCs w:val="24"/>
          <w:lang w:eastAsia="sk-SK"/>
        </w:rPr>
        <w:t>)</w:t>
      </w:r>
      <w:r w:rsidR="00A94F6A">
        <w:rPr>
          <w:rFonts w:ascii="Times New Roman" w:eastAsia="Times New Roman" w:hAnsi="Times New Roman" w:cs="Times New Roman"/>
          <w:sz w:val="24"/>
          <w:szCs w:val="24"/>
          <w:lang w:eastAsia="sk-SK"/>
        </w:rPr>
        <w:t xml:space="preserve"> bude </w:t>
      </w:r>
      <w:r w:rsidR="00E831F1">
        <w:rPr>
          <w:rFonts w:ascii="Times New Roman" w:eastAsia="Times New Roman" w:hAnsi="Times New Roman" w:cs="Times New Roman"/>
          <w:sz w:val="24"/>
          <w:szCs w:val="24"/>
          <w:lang w:eastAsia="sk-SK"/>
        </w:rPr>
        <w:t>znáša</w:t>
      </w:r>
      <w:r w:rsidR="00771B7B">
        <w:rPr>
          <w:rFonts w:ascii="Times New Roman" w:eastAsia="Times New Roman" w:hAnsi="Times New Roman" w:cs="Times New Roman"/>
          <w:sz w:val="24"/>
          <w:szCs w:val="24"/>
          <w:lang w:eastAsia="sk-SK"/>
        </w:rPr>
        <w:t>ť MF SR</w:t>
      </w:r>
      <w:r w:rsidR="008E5FEF">
        <w:rPr>
          <w:rFonts w:ascii="Times New Roman" w:eastAsia="Times New Roman" w:hAnsi="Times New Roman" w:cs="Times New Roman"/>
          <w:sz w:val="24"/>
          <w:szCs w:val="24"/>
          <w:lang w:eastAsia="sk-SK"/>
        </w:rPr>
        <w:t xml:space="preserve"> v rámci limitov schváleného rozpočtu kapitoly</w:t>
      </w:r>
      <w:r w:rsidR="00146064">
        <w:rPr>
          <w:rFonts w:ascii="Times New Roman" w:eastAsia="Times New Roman" w:hAnsi="Times New Roman" w:cs="Times New Roman"/>
          <w:sz w:val="24"/>
          <w:szCs w:val="24"/>
          <w:lang w:eastAsia="sk-SK"/>
        </w:rPr>
        <w:t xml:space="preserve"> MF SR</w:t>
      </w:r>
      <w:r w:rsidR="00771B7B">
        <w:rPr>
          <w:rFonts w:ascii="Times New Roman" w:eastAsia="Times New Roman" w:hAnsi="Times New Roman" w:cs="Times New Roman"/>
          <w:sz w:val="24"/>
          <w:szCs w:val="24"/>
          <w:lang w:eastAsia="sk-SK"/>
        </w:rPr>
        <w:t>.</w:t>
      </w:r>
      <w:r w:rsidR="00621EDF">
        <w:rPr>
          <w:rFonts w:ascii="Times New Roman" w:eastAsia="Times New Roman" w:hAnsi="Times New Roman" w:cs="Times New Roman"/>
          <w:sz w:val="24"/>
          <w:szCs w:val="24"/>
          <w:lang w:eastAsia="sk-SK"/>
        </w:rPr>
        <w:t xml:space="preserve"> Pri realizácii centrálneho verejného obstarávania v gescii Centra ekonomických agend sa oča</w:t>
      </w:r>
      <w:r w:rsidR="001030E1">
        <w:rPr>
          <w:rFonts w:ascii="Times New Roman" w:eastAsia="Times New Roman" w:hAnsi="Times New Roman" w:cs="Times New Roman"/>
          <w:sz w:val="24"/>
          <w:szCs w:val="24"/>
          <w:lang w:eastAsia="sk-SK"/>
        </w:rPr>
        <w:t xml:space="preserve">káva pozitívny vplyv na </w:t>
      </w:r>
      <w:r w:rsidR="00206D4D">
        <w:rPr>
          <w:rFonts w:ascii="Times New Roman" w:eastAsia="Times New Roman" w:hAnsi="Times New Roman" w:cs="Times New Roman"/>
          <w:sz w:val="24"/>
          <w:szCs w:val="24"/>
          <w:lang w:eastAsia="sk-SK"/>
        </w:rPr>
        <w:t>rozpočet</w:t>
      </w:r>
      <w:r w:rsidR="00320B6C">
        <w:rPr>
          <w:rFonts w:ascii="Times New Roman" w:eastAsia="Times New Roman" w:hAnsi="Times New Roman" w:cs="Times New Roman"/>
          <w:sz w:val="24"/>
          <w:szCs w:val="24"/>
          <w:lang w:eastAsia="sk-SK"/>
        </w:rPr>
        <w:t xml:space="preserve"> (</w:t>
      </w:r>
      <w:r w:rsidR="009D63B6">
        <w:rPr>
          <w:rFonts w:ascii="Times New Roman" w:eastAsia="Times New Roman" w:hAnsi="Times New Roman" w:cs="Times New Roman"/>
          <w:sz w:val="24"/>
          <w:szCs w:val="24"/>
          <w:lang w:eastAsia="sk-SK"/>
        </w:rPr>
        <w:t xml:space="preserve">predbežná </w:t>
      </w:r>
      <w:r w:rsidR="00320B6C">
        <w:rPr>
          <w:rFonts w:ascii="Times New Roman" w:eastAsia="Times New Roman" w:hAnsi="Times New Roman" w:cs="Times New Roman"/>
          <w:sz w:val="24"/>
          <w:szCs w:val="24"/>
          <w:lang w:eastAsia="sk-SK"/>
        </w:rPr>
        <w:t>analýza predpokladá úspory na výdavkoch v rozsahu nižších stoviek miliónov EUR pri plnom výkone</w:t>
      </w:r>
      <w:r w:rsidR="005B73A5">
        <w:rPr>
          <w:rFonts w:ascii="Times New Roman" w:eastAsia="Times New Roman" w:hAnsi="Times New Roman" w:cs="Times New Roman"/>
          <w:sz w:val="24"/>
          <w:szCs w:val="24"/>
          <w:lang w:eastAsia="sk-SK"/>
        </w:rPr>
        <w:t xml:space="preserve"> centrálneho </w:t>
      </w:r>
      <w:r w:rsidR="009D63B6">
        <w:rPr>
          <w:rFonts w:ascii="Times New Roman" w:eastAsia="Times New Roman" w:hAnsi="Times New Roman" w:cs="Times New Roman"/>
          <w:sz w:val="24"/>
          <w:szCs w:val="24"/>
          <w:lang w:eastAsia="sk-SK"/>
        </w:rPr>
        <w:t xml:space="preserve">verejného </w:t>
      </w:r>
      <w:r w:rsidR="005B73A5">
        <w:rPr>
          <w:rFonts w:ascii="Times New Roman" w:eastAsia="Times New Roman" w:hAnsi="Times New Roman" w:cs="Times New Roman"/>
          <w:sz w:val="24"/>
          <w:szCs w:val="24"/>
          <w:lang w:eastAsia="sk-SK"/>
        </w:rPr>
        <w:t>obstarania</w:t>
      </w:r>
      <w:r w:rsidR="000A0AB7">
        <w:rPr>
          <w:rFonts w:ascii="Times New Roman" w:eastAsia="Times New Roman" w:hAnsi="Times New Roman" w:cs="Times New Roman"/>
          <w:sz w:val="24"/>
          <w:szCs w:val="24"/>
          <w:lang w:eastAsia="sk-SK"/>
        </w:rPr>
        <w:t>)</w:t>
      </w:r>
      <w:r w:rsidR="00206D4D">
        <w:rPr>
          <w:rFonts w:ascii="Times New Roman" w:eastAsia="Times New Roman" w:hAnsi="Times New Roman" w:cs="Times New Roman"/>
          <w:sz w:val="24"/>
          <w:szCs w:val="24"/>
          <w:lang w:eastAsia="sk-SK"/>
        </w:rPr>
        <w:t>, ktorý však bude možné</w:t>
      </w:r>
      <w:r w:rsidR="000A0AB7">
        <w:rPr>
          <w:rFonts w:ascii="Times New Roman" w:eastAsia="Times New Roman" w:hAnsi="Times New Roman" w:cs="Times New Roman"/>
          <w:sz w:val="24"/>
          <w:szCs w:val="24"/>
          <w:lang w:eastAsia="sk-SK"/>
        </w:rPr>
        <w:t xml:space="preserve"> konkrétne</w:t>
      </w:r>
      <w:r w:rsidR="00206D4D">
        <w:rPr>
          <w:rFonts w:ascii="Times New Roman" w:eastAsia="Times New Roman" w:hAnsi="Times New Roman" w:cs="Times New Roman"/>
          <w:sz w:val="24"/>
          <w:szCs w:val="24"/>
          <w:lang w:eastAsia="sk-SK"/>
        </w:rPr>
        <w:t xml:space="preserve"> kvantifikovať a</w:t>
      </w:r>
      <w:r w:rsidR="009D49F9">
        <w:rPr>
          <w:rFonts w:ascii="Times New Roman" w:eastAsia="Times New Roman" w:hAnsi="Times New Roman" w:cs="Times New Roman"/>
          <w:sz w:val="24"/>
          <w:szCs w:val="24"/>
          <w:lang w:eastAsia="sk-SK"/>
        </w:rPr>
        <w:t>ž</w:t>
      </w:r>
      <w:r w:rsidR="00206D4D">
        <w:rPr>
          <w:rFonts w:ascii="Times New Roman" w:eastAsia="Times New Roman" w:hAnsi="Times New Roman" w:cs="Times New Roman"/>
          <w:sz w:val="24"/>
          <w:szCs w:val="24"/>
          <w:lang w:eastAsia="sk-SK"/>
        </w:rPr>
        <w:t xml:space="preserve"> po rozhodnutí o</w:t>
      </w:r>
      <w:r w:rsidR="00133DAB">
        <w:rPr>
          <w:rFonts w:ascii="Times New Roman" w:eastAsia="Times New Roman" w:hAnsi="Times New Roman" w:cs="Times New Roman"/>
          <w:sz w:val="24"/>
          <w:szCs w:val="24"/>
          <w:lang w:eastAsia="sk-SK"/>
        </w:rPr>
        <w:t> skladbe tovarov</w:t>
      </w:r>
      <w:r w:rsidR="002076E0">
        <w:rPr>
          <w:rFonts w:ascii="Times New Roman" w:eastAsia="Times New Roman" w:hAnsi="Times New Roman" w:cs="Times New Roman"/>
          <w:sz w:val="24"/>
          <w:szCs w:val="24"/>
          <w:lang w:eastAsia="sk-SK"/>
        </w:rPr>
        <w:t>,</w:t>
      </w:r>
      <w:r w:rsidR="00133DAB">
        <w:rPr>
          <w:rFonts w:ascii="Times New Roman" w:eastAsia="Times New Roman" w:hAnsi="Times New Roman" w:cs="Times New Roman"/>
          <w:sz w:val="24"/>
          <w:szCs w:val="24"/>
          <w:lang w:eastAsia="sk-SK"/>
        </w:rPr>
        <w:t xml:space="preserve"> služieb, </w:t>
      </w:r>
      <w:r w:rsidR="002076E0">
        <w:rPr>
          <w:rFonts w:ascii="Times New Roman" w:eastAsia="Times New Roman" w:hAnsi="Times New Roman" w:cs="Times New Roman"/>
          <w:sz w:val="24"/>
          <w:szCs w:val="24"/>
          <w:lang w:eastAsia="sk-SK"/>
        </w:rPr>
        <w:t xml:space="preserve">a iných, </w:t>
      </w:r>
      <w:r w:rsidR="00133DAB">
        <w:rPr>
          <w:rFonts w:ascii="Times New Roman" w:eastAsia="Times New Roman" w:hAnsi="Times New Roman" w:cs="Times New Roman"/>
          <w:sz w:val="24"/>
          <w:szCs w:val="24"/>
          <w:lang w:eastAsia="sk-SK"/>
        </w:rPr>
        <w:t>ktoré sa budú centrálne</w:t>
      </w:r>
      <w:r w:rsidR="00F26C39">
        <w:rPr>
          <w:rFonts w:ascii="Times New Roman" w:eastAsia="Times New Roman" w:hAnsi="Times New Roman" w:cs="Times New Roman"/>
          <w:sz w:val="24"/>
          <w:szCs w:val="24"/>
          <w:lang w:eastAsia="sk-SK"/>
        </w:rPr>
        <w:t xml:space="preserve"> verejne </w:t>
      </w:r>
      <w:r w:rsidR="00133DAB">
        <w:rPr>
          <w:rFonts w:ascii="Times New Roman" w:eastAsia="Times New Roman" w:hAnsi="Times New Roman" w:cs="Times New Roman"/>
          <w:sz w:val="24"/>
          <w:szCs w:val="24"/>
          <w:lang w:eastAsia="sk-SK"/>
        </w:rPr>
        <w:t>obstarávať (</w:t>
      </w:r>
      <w:r w:rsidR="00947EEE">
        <w:rPr>
          <w:rFonts w:ascii="Times New Roman" w:eastAsia="Times New Roman" w:hAnsi="Times New Roman" w:cs="Times New Roman"/>
          <w:sz w:val="24"/>
          <w:szCs w:val="24"/>
          <w:lang w:eastAsia="sk-SK"/>
        </w:rPr>
        <w:t xml:space="preserve">rozhodnutie </w:t>
      </w:r>
      <w:r w:rsidR="002076E0">
        <w:rPr>
          <w:rFonts w:ascii="Times New Roman" w:eastAsia="Times New Roman" w:hAnsi="Times New Roman" w:cs="Times New Roman"/>
          <w:sz w:val="24"/>
          <w:szCs w:val="24"/>
          <w:lang w:eastAsia="sk-SK"/>
        </w:rPr>
        <w:t xml:space="preserve">je </w:t>
      </w:r>
      <w:r w:rsidR="00947EEE">
        <w:rPr>
          <w:rFonts w:ascii="Times New Roman" w:eastAsia="Times New Roman" w:hAnsi="Times New Roman" w:cs="Times New Roman"/>
          <w:sz w:val="24"/>
          <w:szCs w:val="24"/>
          <w:lang w:eastAsia="sk-SK"/>
        </w:rPr>
        <w:t>odložené na rok 2028)</w:t>
      </w:r>
      <w:r w:rsidR="00D11B6A">
        <w:rPr>
          <w:rFonts w:ascii="Times New Roman" w:eastAsia="Times New Roman" w:hAnsi="Times New Roman" w:cs="Times New Roman"/>
          <w:sz w:val="24"/>
          <w:szCs w:val="24"/>
          <w:lang w:eastAsia="sk-SK"/>
        </w:rPr>
        <w:t>.</w:t>
      </w:r>
      <w:r w:rsidR="005B43A7">
        <w:rPr>
          <w:rFonts w:ascii="Times New Roman" w:eastAsia="Times New Roman" w:hAnsi="Times New Roman" w:cs="Times New Roman"/>
          <w:sz w:val="24"/>
          <w:szCs w:val="24"/>
          <w:lang w:eastAsia="sk-SK"/>
        </w:rPr>
        <w:t xml:space="preserve"> </w:t>
      </w:r>
      <w:r w:rsidR="001B1E22">
        <w:rPr>
          <w:rFonts w:ascii="Times New Roman" w:eastAsia="Times New Roman" w:hAnsi="Times New Roman" w:cs="Times New Roman"/>
          <w:sz w:val="24"/>
          <w:szCs w:val="24"/>
          <w:lang w:eastAsia="sk-SK"/>
        </w:rPr>
        <w:t xml:space="preserve">V rámci výkonu </w:t>
      </w:r>
      <w:r w:rsidR="00A41C65">
        <w:rPr>
          <w:rFonts w:ascii="Times New Roman" w:eastAsia="Times New Roman" w:hAnsi="Times New Roman" w:cs="Times New Roman"/>
          <w:sz w:val="24"/>
          <w:szCs w:val="24"/>
          <w:lang w:eastAsia="sk-SK"/>
        </w:rPr>
        <w:t>centrálneho verejného obstarávania sa počíta s postupným nábehom na samofina</w:t>
      </w:r>
      <w:r w:rsidR="006F4A9A">
        <w:rPr>
          <w:rFonts w:ascii="Times New Roman" w:eastAsia="Times New Roman" w:hAnsi="Times New Roman" w:cs="Times New Roman"/>
          <w:sz w:val="24"/>
          <w:szCs w:val="24"/>
          <w:lang w:eastAsia="sk-SK"/>
        </w:rPr>
        <w:t>n</w:t>
      </w:r>
      <w:r w:rsidR="00A41C65">
        <w:rPr>
          <w:rFonts w:ascii="Times New Roman" w:eastAsia="Times New Roman" w:hAnsi="Times New Roman" w:cs="Times New Roman"/>
          <w:sz w:val="24"/>
          <w:szCs w:val="24"/>
          <w:lang w:eastAsia="sk-SK"/>
        </w:rPr>
        <w:t xml:space="preserve">covanie </w:t>
      </w:r>
      <w:r w:rsidR="00132808">
        <w:rPr>
          <w:rFonts w:ascii="Times New Roman" w:eastAsia="Times New Roman" w:hAnsi="Times New Roman" w:cs="Times New Roman"/>
          <w:sz w:val="24"/>
          <w:szCs w:val="24"/>
          <w:lang w:eastAsia="sk-SK"/>
        </w:rPr>
        <w:t xml:space="preserve">prostredníctvom </w:t>
      </w:r>
      <w:r w:rsidR="00A54429">
        <w:rPr>
          <w:rFonts w:ascii="Times New Roman" w:eastAsia="Times New Roman" w:hAnsi="Times New Roman" w:cs="Times New Roman"/>
          <w:sz w:val="24"/>
          <w:szCs w:val="24"/>
          <w:lang w:eastAsia="sk-SK"/>
        </w:rPr>
        <w:t>poplatku za</w:t>
      </w:r>
      <w:r w:rsidR="00FB7ADD">
        <w:rPr>
          <w:rFonts w:ascii="Times New Roman" w:eastAsia="Times New Roman" w:hAnsi="Times New Roman" w:cs="Times New Roman"/>
          <w:sz w:val="24"/>
          <w:szCs w:val="24"/>
          <w:lang w:eastAsia="sk-SK"/>
        </w:rPr>
        <w:t xml:space="preserve"> využitie služieb </w:t>
      </w:r>
      <w:r w:rsidR="001470F4">
        <w:rPr>
          <w:rFonts w:ascii="Times New Roman" w:eastAsia="Times New Roman" w:hAnsi="Times New Roman" w:cs="Times New Roman"/>
          <w:sz w:val="24"/>
          <w:szCs w:val="24"/>
          <w:lang w:eastAsia="sk-SK"/>
        </w:rPr>
        <w:t>Centra ekonomických agend</w:t>
      </w:r>
      <w:r w:rsidR="00FB7ADD">
        <w:rPr>
          <w:rFonts w:ascii="Times New Roman" w:eastAsia="Times New Roman" w:hAnsi="Times New Roman" w:cs="Times New Roman"/>
          <w:sz w:val="24"/>
          <w:szCs w:val="24"/>
          <w:lang w:eastAsia="sk-SK"/>
        </w:rPr>
        <w:t>.</w:t>
      </w:r>
    </w:p>
    <w:p w14:paraId="4321F5B6" w14:textId="77777777" w:rsidR="00FB7ADD" w:rsidRDefault="00FB7ADD" w:rsidP="004451C4">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p>
    <w:p w14:paraId="371D323A" w14:textId="72DB6326" w:rsidR="007D5748" w:rsidRPr="004451C4" w:rsidRDefault="00E22160" w:rsidP="004451C4">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Návrh </w:t>
      </w:r>
      <w:r w:rsidR="00D476E0">
        <w:rPr>
          <w:rFonts w:ascii="Times New Roman" w:eastAsia="Times New Roman" w:hAnsi="Times New Roman" w:cs="Times New Roman"/>
          <w:sz w:val="24"/>
          <w:szCs w:val="24"/>
          <w:lang w:eastAsia="sk-SK"/>
        </w:rPr>
        <w:t>nerozširuje okru</w:t>
      </w:r>
      <w:r w:rsidR="00054D9E">
        <w:rPr>
          <w:rFonts w:ascii="Times New Roman" w:eastAsia="Times New Roman" w:hAnsi="Times New Roman" w:cs="Times New Roman"/>
          <w:sz w:val="24"/>
          <w:szCs w:val="24"/>
          <w:lang w:eastAsia="sk-SK"/>
        </w:rPr>
        <w:t xml:space="preserve">h povinných subjektov zapájaných do </w:t>
      </w:r>
      <w:r w:rsidR="001470F4">
        <w:rPr>
          <w:rFonts w:ascii="Times New Roman" w:eastAsia="Times New Roman" w:hAnsi="Times New Roman" w:cs="Times New Roman"/>
          <w:sz w:val="24"/>
          <w:szCs w:val="24"/>
          <w:lang w:eastAsia="sk-SK"/>
        </w:rPr>
        <w:t>c</w:t>
      </w:r>
      <w:r w:rsidR="00054D9E">
        <w:rPr>
          <w:rFonts w:ascii="Times New Roman" w:eastAsia="Times New Roman" w:hAnsi="Times New Roman" w:cs="Times New Roman"/>
          <w:sz w:val="24"/>
          <w:szCs w:val="24"/>
          <w:lang w:eastAsia="sk-SK"/>
        </w:rPr>
        <w:t>entrálneho ekonomického systému nad rámec pôvodnej zákonnej úpravy</w:t>
      </w:r>
      <w:r w:rsidR="001470F4">
        <w:rPr>
          <w:rFonts w:ascii="Times New Roman" w:eastAsia="Times New Roman" w:hAnsi="Times New Roman" w:cs="Times New Roman"/>
          <w:sz w:val="24"/>
          <w:szCs w:val="24"/>
          <w:lang w:eastAsia="sk-SK"/>
        </w:rPr>
        <w:t xml:space="preserve"> uvedenej v </w:t>
      </w:r>
      <w:r w:rsidR="001470F4" w:rsidRPr="009A3221">
        <w:rPr>
          <w:rFonts w:ascii="Times New Roman" w:eastAsia="Times New Roman" w:hAnsi="Times New Roman" w:cs="Times New Roman"/>
          <w:sz w:val="24"/>
          <w:szCs w:val="24"/>
          <w:lang w:eastAsia="sk-SK"/>
        </w:rPr>
        <w:t>zákon</w:t>
      </w:r>
      <w:r w:rsidR="001470F4">
        <w:rPr>
          <w:rFonts w:ascii="Times New Roman" w:eastAsia="Times New Roman" w:hAnsi="Times New Roman" w:cs="Times New Roman"/>
          <w:sz w:val="24"/>
          <w:szCs w:val="24"/>
          <w:lang w:eastAsia="sk-SK"/>
        </w:rPr>
        <w:t>e</w:t>
      </w:r>
      <w:r w:rsidR="001470F4" w:rsidRPr="009A3221">
        <w:rPr>
          <w:rFonts w:ascii="Times New Roman" w:eastAsia="Times New Roman" w:hAnsi="Times New Roman" w:cs="Times New Roman"/>
          <w:sz w:val="24"/>
          <w:szCs w:val="24"/>
          <w:lang w:eastAsia="sk-SK"/>
        </w:rPr>
        <w:t xml:space="preserve"> č. 215/2019 Z. z.</w:t>
      </w:r>
      <w:r w:rsidR="001470F4">
        <w:rPr>
          <w:rFonts w:ascii="Times New Roman" w:eastAsia="Times New Roman" w:hAnsi="Times New Roman" w:cs="Times New Roman"/>
          <w:sz w:val="24"/>
          <w:szCs w:val="24"/>
          <w:lang w:eastAsia="sk-SK"/>
        </w:rPr>
        <w:t xml:space="preserve"> (ide o právnu kont</w:t>
      </w:r>
      <w:r w:rsidR="003F7CF6">
        <w:rPr>
          <w:rFonts w:ascii="Times New Roman" w:eastAsia="Times New Roman" w:hAnsi="Times New Roman" w:cs="Times New Roman"/>
          <w:sz w:val="24"/>
          <w:szCs w:val="24"/>
          <w:lang w:eastAsia="sk-SK"/>
        </w:rPr>
        <w:t>inuity)</w:t>
      </w:r>
      <w:r w:rsidR="00054D9E">
        <w:rPr>
          <w:rFonts w:ascii="Times New Roman" w:eastAsia="Times New Roman" w:hAnsi="Times New Roman" w:cs="Times New Roman"/>
          <w:sz w:val="24"/>
          <w:szCs w:val="24"/>
          <w:lang w:eastAsia="sk-SK"/>
        </w:rPr>
        <w:t xml:space="preserve">. </w:t>
      </w:r>
    </w:p>
    <w:p w14:paraId="371D323E" w14:textId="77777777"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371D323F"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14:paraId="371D324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371D3241" w14:textId="77777777"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14:paraId="371D3242" w14:textId="77777777"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p>
    <w:p w14:paraId="371D3243" w14:textId="77777777" w:rsidR="007D5748" w:rsidRPr="007B7470" w:rsidRDefault="007D5748" w:rsidP="004451C4">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Akú problematiku návrh rieši? Kto bude návrh implementovať? Kde sa budú služby poskytovať?</w:t>
      </w:r>
    </w:p>
    <w:p w14:paraId="371D3244" w14:textId="13663349"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0B0D7599" w14:textId="2DB55254" w:rsidR="00C740D1" w:rsidRDefault="0009633F" w:rsidP="00E84D90">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Návrh rieši elektronizáciu </w:t>
      </w:r>
      <w:r w:rsidR="00CB65C7">
        <w:rPr>
          <w:rFonts w:ascii="Times New Roman" w:eastAsia="Times New Roman" w:hAnsi="Times New Roman" w:cs="Times New Roman"/>
          <w:sz w:val="24"/>
          <w:szCs w:val="24"/>
          <w:lang w:eastAsia="sk-SK"/>
        </w:rPr>
        <w:t>ekonomických a podporných činností subjektov verejnej správy</w:t>
      </w:r>
      <w:r w:rsidR="00734912">
        <w:rPr>
          <w:rFonts w:ascii="Times New Roman" w:eastAsia="Times New Roman" w:hAnsi="Times New Roman" w:cs="Times New Roman"/>
          <w:sz w:val="24"/>
          <w:szCs w:val="24"/>
          <w:lang w:eastAsia="sk-SK"/>
        </w:rPr>
        <w:t xml:space="preserve"> prostredníctvom </w:t>
      </w:r>
      <w:r w:rsidR="003F7CF6">
        <w:rPr>
          <w:rFonts w:ascii="Times New Roman" w:eastAsia="Times New Roman" w:hAnsi="Times New Roman" w:cs="Times New Roman"/>
          <w:sz w:val="24"/>
          <w:szCs w:val="24"/>
          <w:lang w:eastAsia="sk-SK"/>
        </w:rPr>
        <w:t>c</w:t>
      </w:r>
      <w:r w:rsidR="00734912">
        <w:rPr>
          <w:rFonts w:ascii="Times New Roman" w:eastAsia="Times New Roman" w:hAnsi="Times New Roman" w:cs="Times New Roman"/>
          <w:sz w:val="24"/>
          <w:szCs w:val="24"/>
          <w:lang w:eastAsia="sk-SK"/>
        </w:rPr>
        <w:t>entrálneho ekonomického systému</w:t>
      </w:r>
      <w:r w:rsidR="00E84D90">
        <w:rPr>
          <w:rFonts w:ascii="Times New Roman" w:eastAsia="Times New Roman" w:hAnsi="Times New Roman" w:cs="Times New Roman"/>
          <w:sz w:val="24"/>
          <w:szCs w:val="24"/>
          <w:lang w:eastAsia="sk-SK"/>
        </w:rPr>
        <w:t>, ktorý je tvorený usmerneniami MF SR, informačnými technológiami centrálneho ekonomického systému</w:t>
      </w:r>
      <w:r w:rsidR="00335585">
        <w:rPr>
          <w:rFonts w:ascii="Times New Roman" w:eastAsia="Times New Roman" w:hAnsi="Times New Roman" w:cs="Times New Roman"/>
          <w:sz w:val="24"/>
          <w:szCs w:val="24"/>
          <w:lang w:eastAsia="sk-SK"/>
        </w:rPr>
        <w:t xml:space="preserve"> v správe MF SR</w:t>
      </w:r>
      <w:r w:rsidR="00E84D90">
        <w:rPr>
          <w:rFonts w:ascii="Times New Roman" w:eastAsia="Times New Roman" w:hAnsi="Times New Roman" w:cs="Times New Roman"/>
          <w:sz w:val="24"/>
          <w:szCs w:val="24"/>
          <w:lang w:eastAsia="sk-SK"/>
        </w:rPr>
        <w:t xml:space="preserve">, informačnými technológiami </w:t>
      </w:r>
      <w:r w:rsidR="00335585">
        <w:rPr>
          <w:rFonts w:ascii="Times New Roman" w:eastAsia="Times New Roman" w:hAnsi="Times New Roman" w:cs="Times New Roman"/>
          <w:sz w:val="24"/>
          <w:szCs w:val="24"/>
          <w:lang w:eastAsia="sk-SK"/>
        </w:rPr>
        <w:t xml:space="preserve">rezortných </w:t>
      </w:r>
      <w:r w:rsidR="00E84D90">
        <w:rPr>
          <w:rFonts w:ascii="Times New Roman" w:eastAsia="Times New Roman" w:hAnsi="Times New Roman" w:cs="Times New Roman"/>
          <w:sz w:val="24"/>
          <w:szCs w:val="24"/>
          <w:lang w:eastAsia="sk-SK"/>
        </w:rPr>
        <w:t>ekonomick</w:t>
      </w:r>
      <w:r w:rsidR="00C4639B">
        <w:rPr>
          <w:rFonts w:ascii="Times New Roman" w:eastAsia="Times New Roman" w:hAnsi="Times New Roman" w:cs="Times New Roman"/>
          <w:sz w:val="24"/>
          <w:szCs w:val="24"/>
          <w:lang w:eastAsia="sk-SK"/>
        </w:rPr>
        <w:t>ých</w:t>
      </w:r>
      <w:r w:rsidR="00E84D90">
        <w:rPr>
          <w:rFonts w:ascii="Times New Roman" w:eastAsia="Times New Roman" w:hAnsi="Times New Roman" w:cs="Times New Roman"/>
          <w:sz w:val="24"/>
          <w:szCs w:val="24"/>
          <w:lang w:eastAsia="sk-SK"/>
        </w:rPr>
        <w:t xml:space="preserve"> systém</w:t>
      </w:r>
      <w:r w:rsidR="00C4639B">
        <w:rPr>
          <w:rFonts w:ascii="Times New Roman" w:eastAsia="Times New Roman" w:hAnsi="Times New Roman" w:cs="Times New Roman"/>
          <w:sz w:val="24"/>
          <w:szCs w:val="24"/>
          <w:lang w:eastAsia="sk-SK"/>
        </w:rPr>
        <w:t>ov</w:t>
      </w:r>
      <w:r w:rsidR="00734912">
        <w:rPr>
          <w:rFonts w:ascii="Times New Roman" w:eastAsia="Times New Roman" w:hAnsi="Times New Roman" w:cs="Times New Roman"/>
          <w:sz w:val="24"/>
          <w:szCs w:val="24"/>
          <w:lang w:eastAsia="sk-SK"/>
        </w:rPr>
        <w:t xml:space="preserve"> </w:t>
      </w:r>
      <w:r w:rsidR="00020C9C">
        <w:rPr>
          <w:rFonts w:ascii="Times New Roman" w:eastAsia="Times New Roman" w:hAnsi="Times New Roman" w:cs="Times New Roman"/>
          <w:sz w:val="24"/>
          <w:szCs w:val="24"/>
          <w:lang w:eastAsia="sk-SK"/>
        </w:rPr>
        <w:t>v správe MV SR a MO SR.</w:t>
      </w:r>
      <w:r w:rsidR="00841DEA">
        <w:rPr>
          <w:rFonts w:ascii="Times New Roman" w:eastAsia="Times New Roman" w:hAnsi="Times New Roman" w:cs="Times New Roman"/>
          <w:sz w:val="24"/>
          <w:szCs w:val="24"/>
          <w:lang w:eastAsia="sk-SK"/>
        </w:rPr>
        <w:t xml:space="preserve"> </w:t>
      </w:r>
    </w:p>
    <w:p w14:paraId="15977541" w14:textId="20938F0C" w:rsidR="00951781" w:rsidRDefault="00841DEA" w:rsidP="00E84D90">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lastRenderedPageBreak/>
        <w:t xml:space="preserve">Centrálny ekonomický systém </w:t>
      </w:r>
      <w:r w:rsidR="00335585">
        <w:rPr>
          <w:rFonts w:ascii="Times New Roman" w:eastAsia="Times New Roman" w:hAnsi="Times New Roman" w:cs="Times New Roman"/>
          <w:sz w:val="24"/>
          <w:szCs w:val="24"/>
          <w:lang w:eastAsia="sk-SK"/>
        </w:rPr>
        <w:t xml:space="preserve">ako informačný systém verejnej správy </w:t>
      </w:r>
      <w:r>
        <w:rPr>
          <w:rFonts w:ascii="Times New Roman" w:eastAsia="Times New Roman" w:hAnsi="Times New Roman" w:cs="Times New Roman"/>
          <w:sz w:val="24"/>
          <w:szCs w:val="24"/>
          <w:lang w:eastAsia="sk-SK"/>
        </w:rPr>
        <w:t>je v prevádzke od roku 20</w:t>
      </w:r>
      <w:r w:rsidR="00A835BB">
        <w:rPr>
          <w:rFonts w:ascii="Times New Roman" w:eastAsia="Times New Roman" w:hAnsi="Times New Roman" w:cs="Times New Roman"/>
          <w:sz w:val="24"/>
          <w:szCs w:val="24"/>
          <w:lang w:eastAsia="sk-SK"/>
        </w:rPr>
        <w:t>23</w:t>
      </w:r>
      <w:r w:rsidR="00951781">
        <w:rPr>
          <w:rFonts w:ascii="Times New Roman" w:eastAsia="Times New Roman" w:hAnsi="Times New Roman" w:cs="Times New Roman"/>
          <w:sz w:val="24"/>
          <w:szCs w:val="24"/>
          <w:lang w:eastAsia="sk-SK"/>
        </w:rPr>
        <w:t>.</w:t>
      </w:r>
    </w:p>
    <w:p w14:paraId="797E0350" w14:textId="77777777" w:rsidR="00951781" w:rsidRDefault="00951781" w:rsidP="00E84D90">
      <w:pPr>
        <w:spacing w:after="0" w:line="240" w:lineRule="auto"/>
        <w:jc w:val="both"/>
        <w:rPr>
          <w:rFonts w:ascii="Times New Roman" w:eastAsia="Times New Roman" w:hAnsi="Times New Roman" w:cs="Times New Roman"/>
          <w:sz w:val="24"/>
          <w:szCs w:val="24"/>
          <w:lang w:eastAsia="sk-SK"/>
        </w:rPr>
      </w:pPr>
    </w:p>
    <w:p w14:paraId="371D3245" w14:textId="4DD5B51A" w:rsidR="007D5748" w:rsidRPr="007B7470" w:rsidRDefault="00951781" w:rsidP="004451C4">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V</w:t>
      </w:r>
      <w:r w:rsidR="0022347E">
        <w:rPr>
          <w:rFonts w:ascii="Times New Roman" w:eastAsia="Times New Roman" w:hAnsi="Times New Roman" w:cs="Times New Roman"/>
          <w:sz w:val="24"/>
          <w:szCs w:val="24"/>
          <w:lang w:eastAsia="sk-SK"/>
        </w:rPr>
        <w:t xml:space="preserve">znik Centra ekonomických agend sa </w:t>
      </w:r>
      <w:r w:rsidR="00C936CE">
        <w:rPr>
          <w:rFonts w:ascii="Times New Roman" w:eastAsia="Times New Roman" w:hAnsi="Times New Roman" w:cs="Times New Roman"/>
          <w:sz w:val="24"/>
          <w:szCs w:val="24"/>
          <w:lang w:eastAsia="sk-SK"/>
        </w:rPr>
        <w:t xml:space="preserve">stanovuje </w:t>
      </w:r>
      <w:r w:rsidR="00496917">
        <w:rPr>
          <w:rFonts w:ascii="Times New Roman" w:eastAsia="Times New Roman" w:hAnsi="Times New Roman" w:cs="Times New Roman"/>
          <w:sz w:val="24"/>
          <w:szCs w:val="24"/>
          <w:lang w:eastAsia="sk-SK"/>
        </w:rPr>
        <w:t xml:space="preserve">od roku </w:t>
      </w:r>
      <w:r w:rsidR="00C936CE">
        <w:rPr>
          <w:rFonts w:ascii="Times New Roman" w:eastAsia="Times New Roman" w:hAnsi="Times New Roman" w:cs="Times New Roman"/>
          <w:sz w:val="24"/>
          <w:szCs w:val="24"/>
          <w:lang w:eastAsia="sk-SK"/>
        </w:rPr>
        <w:t>2027 a</w:t>
      </w:r>
      <w:r w:rsidR="00433E3F">
        <w:rPr>
          <w:rFonts w:ascii="Times New Roman" w:eastAsia="Times New Roman" w:hAnsi="Times New Roman" w:cs="Times New Roman"/>
          <w:sz w:val="24"/>
          <w:szCs w:val="24"/>
          <w:lang w:eastAsia="sk-SK"/>
        </w:rPr>
        <w:t xml:space="preserve"> realizácia </w:t>
      </w:r>
      <w:r w:rsidR="0078795A">
        <w:rPr>
          <w:rFonts w:ascii="Times New Roman" w:eastAsia="Times New Roman" w:hAnsi="Times New Roman" w:cs="Times New Roman"/>
          <w:sz w:val="24"/>
          <w:szCs w:val="24"/>
          <w:lang w:eastAsia="sk-SK"/>
        </w:rPr>
        <w:t xml:space="preserve">centrálneho verejného obstarávania </w:t>
      </w:r>
      <w:r>
        <w:rPr>
          <w:rFonts w:ascii="Times New Roman" w:eastAsia="Times New Roman" w:hAnsi="Times New Roman" w:cs="Times New Roman"/>
          <w:sz w:val="24"/>
          <w:szCs w:val="24"/>
          <w:lang w:eastAsia="sk-SK"/>
        </w:rPr>
        <w:t xml:space="preserve">ako jednej z jeho činností </w:t>
      </w:r>
      <w:r w:rsidR="0078795A">
        <w:rPr>
          <w:rFonts w:ascii="Times New Roman" w:eastAsia="Times New Roman" w:hAnsi="Times New Roman" w:cs="Times New Roman"/>
          <w:sz w:val="24"/>
          <w:szCs w:val="24"/>
          <w:lang w:eastAsia="sk-SK"/>
        </w:rPr>
        <w:t>je</w:t>
      </w:r>
      <w:r w:rsidR="004B2ACA">
        <w:rPr>
          <w:rFonts w:ascii="Times New Roman" w:eastAsia="Times New Roman" w:hAnsi="Times New Roman" w:cs="Times New Roman"/>
          <w:sz w:val="24"/>
          <w:szCs w:val="24"/>
          <w:lang w:eastAsia="sk-SK"/>
        </w:rPr>
        <w:t xml:space="preserve"> stanovená na rok 2028.</w:t>
      </w:r>
    </w:p>
    <w:p w14:paraId="371D324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371D3247"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2.2.2. Charakteristika návrhu:</w:t>
      </w:r>
    </w:p>
    <w:p w14:paraId="371D324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371D324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sz w:val="24"/>
          <w:szCs w:val="24"/>
          <w:bdr w:val="single" w:sz="4" w:space="0" w:color="auto"/>
          <w:lang w:eastAsia="sk-SK"/>
        </w:rPr>
        <w:t xml:space="preserve">     </w:t>
      </w:r>
      <w:r w:rsidRPr="007B7470">
        <w:rPr>
          <w:rFonts w:ascii="Times New Roman" w:eastAsia="Times New Roman" w:hAnsi="Times New Roman" w:cs="Times New Roman"/>
          <w:b/>
          <w:sz w:val="24"/>
          <w:szCs w:val="24"/>
          <w:lang w:eastAsia="sk-SK"/>
        </w:rPr>
        <w:t xml:space="preserve">  </w:t>
      </w:r>
      <w:r w:rsidRPr="007B7470">
        <w:rPr>
          <w:rFonts w:ascii="Times New Roman" w:eastAsia="Times New Roman" w:hAnsi="Times New Roman" w:cs="Times New Roman"/>
          <w:sz w:val="24"/>
          <w:szCs w:val="24"/>
          <w:lang w:eastAsia="sk-SK"/>
        </w:rPr>
        <w:t>zmena sadzby</w:t>
      </w:r>
    </w:p>
    <w:p w14:paraId="371D324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14:paraId="371D324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14:paraId="371D324C"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kombinovaný návrh</w:t>
      </w:r>
    </w:p>
    <w:p w14:paraId="371D324D" w14:textId="1A917858"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006A10A9">
        <w:rPr>
          <w:rFonts w:ascii="Times New Roman" w:eastAsia="Times New Roman" w:hAnsi="Times New Roman" w:cs="Times New Roman"/>
          <w:sz w:val="24"/>
          <w:szCs w:val="24"/>
          <w:bdr w:val="single" w:sz="4" w:space="0" w:color="auto"/>
          <w:lang w:eastAsia="sk-SK"/>
        </w:rPr>
        <w:t>X</w:t>
      </w: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iné </w:t>
      </w:r>
    </w:p>
    <w:p w14:paraId="371D3258" w14:textId="77777777" w:rsidR="00C64BDB" w:rsidRPr="007B7470" w:rsidRDefault="00C64BDB" w:rsidP="007D5748">
      <w:pPr>
        <w:spacing w:after="0" w:line="240" w:lineRule="auto"/>
        <w:rPr>
          <w:rFonts w:ascii="Times New Roman" w:eastAsia="Times New Roman" w:hAnsi="Times New Roman" w:cs="Times New Roman"/>
          <w:sz w:val="24"/>
          <w:szCs w:val="24"/>
          <w:lang w:eastAsia="sk-SK"/>
        </w:rPr>
      </w:pPr>
    </w:p>
    <w:p w14:paraId="371D325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14:paraId="371D325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371D325B" w14:textId="77777777"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14:paraId="371D325C" w14:textId="77777777"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7D5748" w:rsidRPr="007B7470" w14:paraId="371D325F" w14:textId="77777777" w:rsidTr="002B63FD">
        <w:trPr>
          <w:cantSplit/>
          <w:trHeight w:val="70"/>
        </w:trPr>
        <w:tc>
          <w:tcPr>
            <w:tcW w:w="4530" w:type="dxa"/>
            <w:vMerge w:val="restart"/>
            <w:shd w:val="clear" w:color="auto" w:fill="BFBFBF" w:themeFill="background1" w:themeFillShade="BF"/>
            <w:vAlign w:val="center"/>
          </w:tcPr>
          <w:p w14:paraId="371D325D"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Objem aktivít</w:t>
            </w:r>
          </w:p>
        </w:tc>
        <w:tc>
          <w:tcPr>
            <w:tcW w:w="1134" w:type="dxa"/>
            <w:gridSpan w:val="4"/>
            <w:shd w:val="clear" w:color="auto" w:fill="BFBFBF" w:themeFill="background1" w:themeFillShade="BF"/>
            <w:vAlign w:val="center"/>
          </w:tcPr>
          <w:p w14:paraId="371D325E"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Odhadované objemy</w:t>
            </w:r>
          </w:p>
        </w:tc>
      </w:tr>
      <w:tr w:rsidR="007D5748" w:rsidRPr="007B7470" w14:paraId="371D3265" w14:textId="77777777" w:rsidTr="002B63FD">
        <w:trPr>
          <w:cantSplit/>
          <w:trHeight w:val="70"/>
        </w:trPr>
        <w:tc>
          <w:tcPr>
            <w:tcW w:w="4530" w:type="dxa"/>
            <w:vMerge/>
            <w:shd w:val="clear" w:color="auto" w:fill="BFBFBF" w:themeFill="background1" w:themeFillShade="BF"/>
          </w:tcPr>
          <w:p w14:paraId="371D3260"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14:paraId="371D3261"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134" w:type="dxa"/>
            <w:shd w:val="clear" w:color="auto" w:fill="BFBFBF" w:themeFill="background1" w:themeFillShade="BF"/>
            <w:vAlign w:val="center"/>
          </w:tcPr>
          <w:p w14:paraId="371D3262"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134" w:type="dxa"/>
            <w:shd w:val="clear" w:color="auto" w:fill="BFBFBF" w:themeFill="background1" w:themeFillShade="BF"/>
            <w:vAlign w:val="center"/>
          </w:tcPr>
          <w:p w14:paraId="371D3263"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134" w:type="dxa"/>
            <w:shd w:val="clear" w:color="auto" w:fill="BFBFBF" w:themeFill="background1" w:themeFillShade="BF"/>
            <w:vAlign w:val="center"/>
          </w:tcPr>
          <w:p w14:paraId="371D3264"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r>
      <w:tr w:rsidR="007D5748" w:rsidRPr="007B7470" w14:paraId="371D326B" w14:textId="77777777" w:rsidTr="002B63FD">
        <w:trPr>
          <w:trHeight w:val="70"/>
        </w:trPr>
        <w:tc>
          <w:tcPr>
            <w:tcW w:w="4530" w:type="dxa"/>
          </w:tcPr>
          <w:p w14:paraId="371D3266" w14:textId="77777777"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ABC</w:t>
            </w:r>
          </w:p>
        </w:tc>
        <w:tc>
          <w:tcPr>
            <w:tcW w:w="1134" w:type="dxa"/>
          </w:tcPr>
          <w:p w14:paraId="371D3267"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371D3268"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371D3269"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371D326A"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14:paraId="371D3271" w14:textId="77777777" w:rsidTr="002B63FD">
        <w:trPr>
          <w:trHeight w:val="70"/>
        </w:trPr>
        <w:tc>
          <w:tcPr>
            <w:tcW w:w="4530" w:type="dxa"/>
          </w:tcPr>
          <w:p w14:paraId="371D326C" w14:textId="77777777"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KLM</w:t>
            </w:r>
          </w:p>
        </w:tc>
        <w:tc>
          <w:tcPr>
            <w:tcW w:w="1134" w:type="dxa"/>
          </w:tcPr>
          <w:p w14:paraId="371D326D"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371D326E"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371D326F"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371D3270"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14:paraId="371D3277" w14:textId="77777777" w:rsidTr="002B63FD">
        <w:trPr>
          <w:trHeight w:val="70"/>
        </w:trPr>
        <w:tc>
          <w:tcPr>
            <w:tcW w:w="4530" w:type="dxa"/>
          </w:tcPr>
          <w:p w14:paraId="371D3272" w14:textId="77777777"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XYZ</w:t>
            </w:r>
          </w:p>
        </w:tc>
        <w:tc>
          <w:tcPr>
            <w:tcW w:w="1134" w:type="dxa"/>
          </w:tcPr>
          <w:p w14:paraId="371D3273"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371D3274"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371D3275"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371D3276"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bl>
    <w:p w14:paraId="371D327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371D327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371D327A"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2.2.4. Výpočty vplyvov na verejné financie</w:t>
      </w:r>
    </w:p>
    <w:p w14:paraId="371D327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371D327C" w14:textId="77777777"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Uveďte najdôležitejšie výpočty, ktoré boli použité na stanovenie vplyvov na príjmy a výdavky, ako aj predpoklady, z ktorých ste vychádzali. Predkladateľ by mal jasne odlíšiť podklady od kapitol a organizácií, aby bolo jasne vidieť základ použitý na výpočty.</w:t>
      </w:r>
    </w:p>
    <w:p w14:paraId="371D327D" w14:textId="77777777" w:rsidR="007D5748" w:rsidRPr="007B7470" w:rsidRDefault="007D5748" w:rsidP="007D5748">
      <w:pPr>
        <w:spacing w:after="0" w:line="240" w:lineRule="auto"/>
        <w:jc w:val="both"/>
        <w:rPr>
          <w:rFonts w:ascii="Times New Roman" w:eastAsia="Times New Roman" w:hAnsi="Times New Roman" w:cs="Times New Roman"/>
          <w:sz w:val="24"/>
          <w:szCs w:val="24"/>
          <w:lang w:eastAsia="sk-SK"/>
        </w:rPr>
      </w:pPr>
    </w:p>
    <w:p w14:paraId="371D327E"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371D327F"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371D3280"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371D3281"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371D3282"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sectPr w:rsidR="007D5748" w:rsidRPr="007B7470" w:rsidSect="002B63FD">
          <w:headerReference w:type="even" r:id="rId7"/>
          <w:headerReference w:type="default" r:id="rId8"/>
          <w:footerReference w:type="even" r:id="rId9"/>
          <w:footerReference w:type="default" r:id="rId10"/>
          <w:headerReference w:type="first" r:id="rId11"/>
          <w:footerReference w:type="first" r:id="rId12"/>
          <w:pgSz w:w="11906" w:h="16838"/>
          <w:pgMar w:top="1417" w:right="1417" w:bottom="1276" w:left="1417" w:header="708" w:footer="708" w:gutter="0"/>
          <w:pgNumType w:start="1"/>
          <w:cols w:space="708"/>
          <w:docGrid w:linePitch="360"/>
        </w:sectPr>
      </w:pPr>
    </w:p>
    <w:p w14:paraId="371D3283" w14:textId="77777777" w:rsidR="007D5748" w:rsidRPr="007B7470" w:rsidRDefault="003408F5" w:rsidP="003408F5">
      <w:pPr>
        <w:tabs>
          <w:tab w:val="num" w:pos="1080"/>
        </w:tabs>
        <w:spacing w:after="0" w:line="240" w:lineRule="auto"/>
        <w:jc w:val="center"/>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7B7470" w14:paraId="371D3287" w14:textId="77777777"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1D3284"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371D3285"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371D3286"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3408F5" w:rsidRPr="007B7470" w14:paraId="371D328E" w14:textId="77777777" w:rsidTr="003408F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371D3288" w14:textId="77777777"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14:paraId="371D3289"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500" w:type="dxa"/>
            <w:tcBorders>
              <w:top w:val="nil"/>
              <w:left w:val="nil"/>
              <w:bottom w:val="single" w:sz="4" w:space="0" w:color="auto"/>
              <w:right w:val="single" w:sz="4" w:space="0" w:color="auto"/>
            </w:tcBorders>
            <w:shd w:val="clear" w:color="auto" w:fill="BFBFBF" w:themeFill="background1" w:themeFillShade="BF"/>
          </w:tcPr>
          <w:p w14:paraId="371D328A"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500" w:type="dxa"/>
            <w:tcBorders>
              <w:top w:val="nil"/>
              <w:left w:val="nil"/>
              <w:bottom w:val="single" w:sz="4" w:space="0" w:color="auto"/>
              <w:right w:val="single" w:sz="4" w:space="0" w:color="auto"/>
            </w:tcBorders>
            <w:shd w:val="clear" w:color="auto" w:fill="BFBFBF" w:themeFill="background1" w:themeFillShade="BF"/>
          </w:tcPr>
          <w:p w14:paraId="371D328B"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500" w:type="dxa"/>
            <w:tcBorders>
              <w:top w:val="nil"/>
              <w:left w:val="nil"/>
              <w:bottom w:val="single" w:sz="4" w:space="0" w:color="auto"/>
              <w:right w:val="single" w:sz="4" w:space="0" w:color="auto"/>
            </w:tcBorders>
            <w:shd w:val="clear" w:color="auto" w:fill="BFBFBF" w:themeFill="background1" w:themeFillShade="BF"/>
          </w:tcPr>
          <w:p w14:paraId="371D328C"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c>
          <w:tcPr>
            <w:tcW w:w="3000" w:type="dxa"/>
            <w:vMerge/>
            <w:tcBorders>
              <w:top w:val="single" w:sz="4" w:space="0" w:color="auto"/>
              <w:left w:val="single" w:sz="4" w:space="0" w:color="auto"/>
              <w:bottom w:val="single" w:sz="4" w:space="0" w:color="auto"/>
              <w:right w:val="single" w:sz="4" w:space="0" w:color="auto"/>
            </w:tcBorders>
            <w:vAlign w:val="center"/>
          </w:tcPr>
          <w:p w14:paraId="371D328D" w14:textId="77777777"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r>
      <w:tr w:rsidR="003408F5" w:rsidRPr="007B7470" w14:paraId="371D3295" w14:textId="77777777" w:rsidTr="003408F5">
        <w:trPr>
          <w:trHeight w:val="255"/>
        </w:trPr>
        <w:tc>
          <w:tcPr>
            <w:tcW w:w="4950" w:type="dxa"/>
            <w:tcBorders>
              <w:top w:val="nil"/>
              <w:left w:val="single" w:sz="4" w:space="0" w:color="auto"/>
              <w:bottom w:val="single" w:sz="4" w:space="0" w:color="auto"/>
              <w:right w:val="single" w:sz="4" w:space="0" w:color="auto"/>
            </w:tcBorders>
          </w:tcPr>
          <w:p w14:paraId="371D328F" w14:textId="77777777" w:rsidR="003408F5" w:rsidRPr="007B7470" w:rsidRDefault="003408F5" w:rsidP="003408F5">
            <w:pPr>
              <w:spacing w:after="0" w:line="240" w:lineRule="auto"/>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Daňové príjmy (100)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371D3290"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71D3291"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71D3292"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71D3293"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371D3294"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371D329C" w14:textId="77777777" w:rsidTr="003408F5">
        <w:trPr>
          <w:trHeight w:val="255"/>
        </w:trPr>
        <w:tc>
          <w:tcPr>
            <w:tcW w:w="4950" w:type="dxa"/>
            <w:tcBorders>
              <w:top w:val="nil"/>
              <w:left w:val="single" w:sz="4" w:space="0" w:color="auto"/>
              <w:bottom w:val="single" w:sz="4" w:space="0" w:color="auto"/>
              <w:right w:val="single" w:sz="4" w:space="0" w:color="auto"/>
            </w:tcBorders>
          </w:tcPr>
          <w:p w14:paraId="371D3296"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Nedaňové príjmy (200)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371D3297"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71D3298"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71D3299"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71D329A"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371D329B"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371D32A3" w14:textId="77777777" w:rsidTr="003408F5">
        <w:trPr>
          <w:trHeight w:val="255"/>
        </w:trPr>
        <w:tc>
          <w:tcPr>
            <w:tcW w:w="4950" w:type="dxa"/>
            <w:tcBorders>
              <w:top w:val="nil"/>
              <w:left w:val="single" w:sz="4" w:space="0" w:color="auto"/>
              <w:bottom w:val="single" w:sz="4" w:space="0" w:color="auto"/>
              <w:right w:val="single" w:sz="4" w:space="0" w:color="auto"/>
            </w:tcBorders>
          </w:tcPr>
          <w:p w14:paraId="371D329D"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Granty a transfery (300)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371D329E"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71D329F"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71D32A0"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71D32A1"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371D32A2"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371D32AA" w14:textId="77777777" w:rsidTr="007B7470">
        <w:trPr>
          <w:trHeight w:val="255"/>
        </w:trPr>
        <w:tc>
          <w:tcPr>
            <w:tcW w:w="4950" w:type="dxa"/>
            <w:tcBorders>
              <w:top w:val="nil"/>
              <w:left w:val="single" w:sz="4" w:space="0" w:color="auto"/>
              <w:bottom w:val="single" w:sz="4" w:space="0" w:color="auto"/>
              <w:right w:val="single" w:sz="4" w:space="0" w:color="auto"/>
            </w:tcBorders>
          </w:tcPr>
          <w:p w14:paraId="371D32A4"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tcPr>
          <w:p w14:paraId="371D32A5"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371D32A6"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371D32A7"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371D32A8"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371D32A9"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371D32B1" w14:textId="77777777" w:rsidTr="007B7470">
        <w:trPr>
          <w:trHeight w:val="255"/>
        </w:trPr>
        <w:tc>
          <w:tcPr>
            <w:tcW w:w="4950" w:type="dxa"/>
            <w:tcBorders>
              <w:top w:val="nil"/>
              <w:left w:val="single" w:sz="4" w:space="0" w:color="auto"/>
              <w:bottom w:val="single" w:sz="4" w:space="0" w:color="auto"/>
              <w:right w:val="single" w:sz="4" w:space="0" w:color="auto"/>
            </w:tcBorders>
          </w:tcPr>
          <w:p w14:paraId="371D32AB"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tcPr>
          <w:p w14:paraId="371D32AC"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371D32AD"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371D32AE"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371D32AF"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371D32B0"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371D32B8" w14:textId="77777777" w:rsidTr="003408F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371D32B2"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371D32B3"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371D32B4"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371D32B5"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371D32B6"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371D32B7"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371D32B9"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14:paraId="371D32BA"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371D32BB"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14:paraId="371D32BC"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371D32BD"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371D32BE"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71D32BF"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71D32C0"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71D32C1"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71D32C2"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71D32C3" w14:textId="77777777"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71D32C4" w14:textId="77777777"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71D32C5"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71D32C6"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71D32C7"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71D32C8"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71D32C9"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71D32CA"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71D32CB"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71D32CC"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71D32CD"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71D32CE" w14:textId="77777777"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7D5748" w:rsidRPr="007B7470" w14:paraId="371D32D2" w14:textId="77777777" w:rsidTr="005E3699">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371D32CF"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371D32D0"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371D32D1"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14:paraId="371D32D9" w14:textId="77777777" w:rsidTr="005E3699">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371D32D3" w14:textId="77777777" w:rsidR="007D5748" w:rsidRPr="007B7470" w:rsidRDefault="007D5748" w:rsidP="007D5748">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371D32D4"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r</w:t>
            </w:r>
          </w:p>
        </w:tc>
        <w:tc>
          <w:tcPr>
            <w:tcW w:w="1650" w:type="dxa"/>
            <w:tcBorders>
              <w:top w:val="nil"/>
              <w:left w:val="nil"/>
              <w:bottom w:val="single" w:sz="4" w:space="0" w:color="auto"/>
              <w:right w:val="single" w:sz="4" w:space="0" w:color="auto"/>
            </w:tcBorders>
            <w:shd w:val="clear" w:color="auto" w:fill="BFBFBF" w:themeFill="background1" w:themeFillShade="BF"/>
          </w:tcPr>
          <w:p w14:paraId="371D32D5"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r + 1</w:t>
            </w:r>
          </w:p>
        </w:tc>
        <w:tc>
          <w:tcPr>
            <w:tcW w:w="1540" w:type="dxa"/>
            <w:tcBorders>
              <w:top w:val="nil"/>
              <w:left w:val="nil"/>
              <w:bottom w:val="single" w:sz="4" w:space="0" w:color="auto"/>
              <w:right w:val="single" w:sz="4" w:space="0" w:color="auto"/>
            </w:tcBorders>
            <w:shd w:val="clear" w:color="auto" w:fill="BFBFBF" w:themeFill="background1" w:themeFillShade="BF"/>
          </w:tcPr>
          <w:p w14:paraId="371D32D6"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r + 2</w:t>
            </w:r>
          </w:p>
        </w:tc>
        <w:tc>
          <w:tcPr>
            <w:tcW w:w="1540" w:type="dxa"/>
            <w:tcBorders>
              <w:top w:val="nil"/>
              <w:left w:val="nil"/>
              <w:bottom w:val="single" w:sz="4" w:space="0" w:color="auto"/>
              <w:right w:val="single" w:sz="4" w:space="0" w:color="auto"/>
            </w:tcBorders>
            <w:shd w:val="clear" w:color="auto" w:fill="BFBFBF" w:themeFill="background1" w:themeFillShade="BF"/>
          </w:tcPr>
          <w:p w14:paraId="371D32D7"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c>
          <w:tcPr>
            <w:tcW w:w="1649" w:type="dxa"/>
            <w:vMerge/>
            <w:tcBorders>
              <w:top w:val="single" w:sz="4" w:space="0" w:color="auto"/>
              <w:left w:val="single" w:sz="4" w:space="0" w:color="auto"/>
              <w:bottom w:val="single" w:sz="4" w:space="0" w:color="auto"/>
              <w:right w:val="single" w:sz="4" w:space="0" w:color="auto"/>
            </w:tcBorders>
            <w:vAlign w:val="center"/>
          </w:tcPr>
          <w:p w14:paraId="371D32D8" w14:textId="77777777"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D5748" w:rsidRPr="007B7470" w14:paraId="371D32E0" w14:textId="77777777" w:rsidTr="005E3699">
        <w:trPr>
          <w:trHeight w:val="255"/>
        </w:trPr>
        <w:tc>
          <w:tcPr>
            <w:tcW w:w="7070" w:type="dxa"/>
            <w:tcBorders>
              <w:top w:val="nil"/>
              <w:left w:val="single" w:sz="4" w:space="0" w:color="auto"/>
              <w:bottom w:val="single" w:sz="4" w:space="0" w:color="auto"/>
              <w:right w:val="single" w:sz="4" w:space="0" w:color="auto"/>
            </w:tcBorders>
          </w:tcPr>
          <w:p w14:paraId="371D32DA" w14:textId="77777777"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14:paraId="371D32DB"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371D32DC"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371D32DD"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371D32DE"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14:paraId="371D32DF"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371D32E7" w14:textId="77777777" w:rsidTr="005E3699">
        <w:trPr>
          <w:trHeight w:val="255"/>
        </w:trPr>
        <w:tc>
          <w:tcPr>
            <w:tcW w:w="7070" w:type="dxa"/>
            <w:tcBorders>
              <w:top w:val="nil"/>
              <w:left w:val="single" w:sz="4" w:space="0" w:color="auto"/>
              <w:bottom w:val="single" w:sz="4" w:space="0" w:color="auto"/>
              <w:right w:val="single" w:sz="4" w:space="0" w:color="auto"/>
            </w:tcBorders>
          </w:tcPr>
          <w:p w14:paraId="371D32E1" w14:textId="77777777"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371D32E2"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371D32E3"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71D32E4"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71D32E5"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371D32E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371D32EE" w14:textId="77777777" w:rsidTr="005E3699">
        <w:trPr>
          <w:trHeight w:val="255"/>
        </w:trPr>
        <w:tc>
          <w:tcPr>
            <w:tcW w:w="7070" w:type="dxa"/>
            <w:tcBorders>
              <w:top w:val="nil"/>
              <w:left w:val="single" w:sz="4" w:space="0" w:color="auto"/>
              <w:bottom w:val="single" w:sz="4" w:space="0" w:color="auto"/>
              <w:right w:val="single" w:sz="4" w:space="0" w:color="auto"/>
            </w:tcBorders>
          </w:tcPr>
          <w:p w14:paraId="371D32E8" w14:textId="77777777" w:rsidR="007D5748" w:rsidRPr="007B7470" w:rsidRDefault="007D5748" w:rsidP="007D5748">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371D32E9"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371D32EA"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71D32EB"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71D32EC"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371D32E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371D32F5" w14:textId="77777777" w:rsidTr="005E3699">
        <w:trPr>
          <w:trHeight w:val="255"/>
        </w:trPr>
        <w:tc>
          <w:tcPr>
            <w:tcW w:w="7070" w:type="dxa"/>
            <w:tcBorders>
              <w:top w:val="nil"/>
              <w:left w:val="single" w:sz="4" w:space="0" w:color="auto"/>
              <w:bottom w:val="single" w:sz="4" w:space="0" w:color="auto"/>
              <w:right w:val="single" w:sz="4" w:space="0" w:color="auto"/>
            </w:tcBorders>
          </w:tcPr>
          <w:p w14:paraId="371D32EF" w14:textId="77777777" w:rsidR="007D5748" w:rsidRPr="007B7470" w:rsidRDefault="007D5748" w:rsidP="007D5748">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Tovary a služby (630)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371D32F0"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371D32F1"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71D32F2"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71D32F3"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371D32F4"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371D32FC" w14:textId="77777777" w:rsidTr="005E3699">
        <w:trPr>
          <w:trHeight w:val="255"/>
        </w:trPr>
        <w:tc>
          <w:tcPr>
            <w:tcW w:w="7070" w:type="dxa"/>
            <w:tcBorders>
              <w:top w:val="nil"/>
              <w:left w:val="single" w:sz="4" w:space="0" w:color="auto"/>
              <w:bottom w:val="single" w:sz="4" w:space="0" w:color="auto"/>
              <w:right w:val="single" w:sz="4" w:space="0" w:color="auto"/>
            </w:tcBorders>
          </w:tcPr>
          <w:p w14:paraId="371D32F6" w14:textId="77777777"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371D32F7"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371D32F8"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71D32F9"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71D32FA"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371D32F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371D3303" w14:textId="77777777" w:rsidTr="005E3699">
        <w:trPr>
          <w:trHeight w:val="255"/>
        </w:trPr>
        <w:tc>
          <w:tcPr>
            <w:tcW w:w="7070" w:type="dxa"/>
            <w:tcBorders>
              <w:top w:val="nil"/>
              <w:left w:val="single" w:sz="4" w:space="0" w:color="auto"/>
              <w:bottom w:val="single" w:sz="4" w:space="0" w:color="auto"/>
              <w:right w:val="single" w:sz="4" w:space="0" w:color="auto"/>
            </w:tcBorders>
            <w:vAlign w:val="center"/>
          </w:tcPr>
          <w:p w14:paraId="371D32FD" w14:textId="77777777" w:rsidR="007D5748" w:rsidRPr="007B7470" w:rsidRDefault="007D5748" w:rsidP="008D339D">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008D339D" w:rsidRPr="007B7470">
              <w:t xml:space="preserve"> </w:t>
            </w:r>
            <w:r w:rsidR="008D339D" w:rsidRPr="007B7470">
              <w:rPr>
                <w:rFonts w:ascii="Times New Roman" w:eastAsia="Times New Roman" w:hAnsi="Times New Roman" w:cs="Times New Roman"/>
                <w:sz w:val="20"/>
                <w:szCs w:val="20"/>
                <w:lang w:eastAsia="sk-SK"/>
              </w:rPr>
              <w:t>úverom, pôžičkou, návratnou finančnou výpomocou a finančným prenájmom</w:t>
            </w:r>
            <w:r w:rsidRPr="007B7470">
              <w:rPr>
                <w:rFonts w:ascii="Times New Roman" w:eastAsia="Times New Roman" w:hAnsi="Times New Roman" w:cs="Times New Roman"/>
                <w:sz w:val="20"/>
                <w:szCs w:val="20"/>
                <w:lang w:eastAsia="sk-SK"/>
              </w:rPr>
              <w:t xml:space="preserve"> (650)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371D32FE"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371D32FF"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71D3300"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71D3301"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371D3302"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371D330A" w14:textId="77777777" w:rsidTr="005E3699">
        <w:trPr>
          <w:trHeight w:val="255"/>
        </w:trPr>
        <w:tc>
          <w:tcPr>
            <w:tcW w:w="7070" w:type="dxa"/>
            <w:tcBorders>
              <w:top w:val="nil"/>
              <w:left w:val="single" w:sz="4" w:space="0" w:color="auto"/>
              <w:bottom w:val="single" w:sz="4" w:space="0" w:color="auto"/>
              <w:right w:val="single" w:sz="4" w:space="0" w:color="auto"/>
            </w:tcBorders>
          </w:tcPr>
          <w:p w14:paraId="371D3304" w14:textId="77777777"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14:paraId="371D3305"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371D3306"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371D3307"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371D3308"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14:paraId="371D330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371D3311" w14:textId="77777777" w:rsidTr="005E3699">
        <w:trPr>
          <w:trHeight w:val="255"/>
        </w:trPr>
        <w:tc>
          <w:tcPr>
            <w:tcW w:w="7070" w:type="dxa"/>
            <w:tcBorders>
              <w:top w:val="nil"/>
              <w:left w:val="single" w:sz="4" w:space="0" w:color="auto"/>
              <w:bottom w:val="single" w:sz="4" w:space="0" w:color="auto"/>
              <w:right w:val="single" w:sz="4" w:space="0" w:color="auto"/>
            </w:tcBorders>
          </w:tcPr>
          <w:p w14:paraId="371D330B" w14:textId="77777777"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Obstarávanie kapitálových aktív (710)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371D330C"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371D330D"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71D330E"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71D330F"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371D331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371D3318" w14:textId="77777777" w:rsidTr="005E3699">
        <w:trPr>
          <w:trHeight w:val="255"/>
        </w:trPr>
        <w:tc>
          <w:tcPr>
            <w:tcW w:w="7070" w:type="dxa"/>
            <w:tcBorders>
              <w:top w:val="nil"/>
              <w:left w:val="single" w:sz="4" w:space="0" w:color="auto"/>
              <w:bottom w:val="single" w:sz="4" w:space="0" w:color="auto"/>
              <w:right w:val="single" w:sz="4" w:space="0" w:color="auto"/>
            </w:tcBorders>
          </w:tcPr>
          <w:p w14:paraId="371D3312" w14:textId="77777777"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371D3313"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371D3314"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71D3315"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71D3316"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371D331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371D331F" w14:textId="77777777" w:rsidTr="007B7470">
        <w:trPr>
          <w:trHeight w:val="255"/>
        </w:trPr>
        <w:tc>
          <w:tcPr>
            <w:tcW w:w="7070" w:type="dxa"/>
            <w:tcBorders>
              <w:top w:val="nil"/>
              <w:left w:val="single" w:sz="4" w:space="0" w:color="auto"/>
              <w:bottom w:val="single" w:sz="4" w:space="0" w:color="auto"/>
              <w:right w:val="single" w:sz="4" w:space="0" w:color="auto"/>
            </w:tcBorders>
          </w:tcPr>
          <w:p w14:paraId="371D3319" w14:textId="77777777"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tcPr>
          <w:p w14:paraId="371D331A"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tcPr>
          <w:p w14:paraId="371D331B"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tcPr>
          <w:p w14:paraId="371D331C"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tcPr>
          <w:p w14:paraId="371D331D"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649" w:type="dxa"/>
            <w:tcBorders>
              <w:top w:val="nil"/>
              <w:left w:val="nil"/>
              <w:bottom w:val="single" w:sz="4" w:space="0" w:color="auto"/>
              <w:right w:val="single" w:sz="4" w:space="0" w:color="auto"/>
            </w:tcBorders>
            <w:noWrap/>
            <w:vAlign w:val="bottom"/>
          </w:tcPr>
          <w:p w14:paraId="371D331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371D3326" w14:textId="77777777" w:rsidTr="005E3699">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71D3320" w14:textId="77777777" w:rsidR="007D5748" w:rsidRPr="007B7470" w:rsidRDefault="003408F5"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w:t>
            </w:r>
            <w:r w:rsidR="007D5748" w:rsidRPr="007B7470">
              <w:rPr>
                <w:rFonts w:ascii="Times New Roman" w:eastAsia="Times New Roman" w:hAnsi="Times New Roman" w:cs="Times New Roman"/>
                <w:b/>
                <w:bCs/>
                <w:sz w:val="20"/>
                <w:szCs w:val="20"/>
                <w:lang w:eastAsia="sk-SK"/>
              </w:rPr>
              <w:t xml:space="preserve">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371D3321"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371D3322"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371D3323"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371D3324"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0"/>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371D3325"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371D3327"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007D5748" w:rsidRPr="007B7470">
        <w:rPr>
          <w:rFonts w:ascii="Times New Roman" w:eastAsia="Times New Roman" w:hAnsi="Times New Roman" w:cs="Times New Roman"/>
          <w:bCs/>
          <w:sz w:val="20"/>
          <w:szCs w:val="20"/>
          <w:lang w:eastAsia="sk-SK"/>
        </w:rPr>
        <w:t>2 –  výdavky rozpísať až do položiek platnej ekonomickej klasifikácie</w:t>
      </w:r>
    </w:p>
    <w:p w14:paraId="371D3328"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371D3329"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w:t>
      </w:r>
      <w:r w:rsidR="007D5748" w:rsidRPr="007B7470">
        <w:rPr>
          <w:rFonts w:ascii="Times New Roman" w:eastAsia="Times New Roman" w:hAnsi="Times New Roman" w:cs="Times New Roman"/>
          <w:b/>
          <w:bCs/>
          <w:sz w:val="24"/>
          <w:szCs w:val="20"/>
          <w:lang w:eastAsia="sk-SK"/>
        </w:rPr>
        <w:t>Poznámka:</w:t>
      </w:r>
    </w:p>
    <w:p w14:paraId="371D332A"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w:t>
      </w:r>
      <w:r w:rsidR="007D5748"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371D332B"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2C"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2D"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2E"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2F"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30"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31"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32"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33"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34"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35"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36"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37" w14:textId="77777777"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38"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39"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3A"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3B" w14:textId="77777777"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7B7470" w14:paraId="371D333F" w14:textId="77777777" w:rsidTr="00C16C1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371D333C" w14:textId="77777777" w:rsidR="00440A1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Vplyvy</w:t>
            </w:r>
            <w:r w:rsidR="003408F5" w:rsidRPr="007B7470">
              <w:rPr>
                <w:rFonts w:ascii="Times New Roman" w:eastAsia="Times New Roman" w:hAnsi="Times New Roman" w:cs="Times New Roman"/>
                <w:b/>
                <w:bCs/>
                <w:color w:val="000000" w:themeColor="text1"/>
                <w:sz w:val="20"/>
                <w:szCs w:val="20"/>
                <w:lang w:eastAsia="sk-SK"/>
              </w:rPr>
              <w:t xml:space="preserve"> (v metodike ESA 2010</w:t>
            </w:r>
            <w:r w:rsidR="00440A16" w:rsidRPr="007B7470">
              <w:rPr>
                <w:rFonts w:ascii="Times New Roman" w:eastAsia="Times New Roman" w:hAnsi="Times New Roman" w:cs="Times New Roman"/>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371D333D"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w:t>
            </w:r>
            <w:r w:rsidR="003408F5" w:rsidRPr="007B7470">
              <w:rPr>
                <w:rFonts w:ascii="Times New Roman" w:eastAsia="Times New Roman" w:hAnsi="Times New Roman" w:cs="Times New Roman"/>
                <w:b/>
                <w:bCs/>
                <w:color w:val="000000" w:themeColor="text1"/>
                <w:sz w:val="20"/>
                <w:szCs w:val="20"/>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371D333E"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A738C0" w:rsidRPr="007B7470" w14:paraId="371D3346" w14:textId="77777777" w:rsidTr="00C16C1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371D3340" w14:textId="77777777"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371D3341"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r</w:t>
            </w:r>
          </w:p>
        </w:tc>
        <w:tc>
          <w:tcPr>
            <w:tcW w:w="1650" w:type="dxa"/>
            <w:tcBorders>
              <w:top w:val="nil"/>
              <w:left w:val="nil"/>
              <w:bottom w:val="single" w:sz="4" w:space="0" w:color="auto"/>
              <w:right w:val="single" w:sz="4" w:space="0" w:color="auto"/>
            </w:tcBorders>
            <w:shd w:val="clear" w:color="auto" w:fill="BFBFBF" w:themeFill="background1" w:themeFillShade="BF"/>
          </w:tcPr>
          <w:p w14:paraId="371D3342"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r + 1</w:t>
            </w:r>
          </w:p>
        </w:tc>
        <w:tc>
          <w:tcPr>
            <w:tcW w:w="1540" w:type="dxa"/>
            <w:tcBorders>
              <w:top w:val="nil"/>
              <w:left w:val="nil"/>
              <w:bottom w:val="single" w:sz="4" w:space="0" w:color="auto"/>
              <w:right w:val="single" w:sz="4" w:space="0" w:color="auto"/>
            </w:tcBorders>
            <w:shd w:val="clear" w:color="auto" w:fill="BFBFBF" w:themeFill="background1" w:themeFillShade="BF"/>
          </w:tcPr>
          <w:p w14:paraId="371D3343"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r + 2</w:t>
            </w:r>
          </w:p>
        </w:tc>
        <w:tc>
          <w:tcPr>
            <w:tcW w:w="1540" w:type="dxa"/>
            <w:tcBorders>
              <w:top w:val="nil"/>
              <w:left w:val="nil"/>
              <w:bottom w:val="single" w:sz="4" w:space="0" w:color="auto"/>
              <w:right w:val="single" w:sz="4" w:space="0" w:color="auto"/>
            </w:tcBorders>
            <w:shd w:val="clear" w:color="auto" w:fill="BFBFBF" w:themeFill="background1" w:themeFillShade="BF"/>
          </w:tcPr>
          <w:p w14:paraId="371D3344"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r + 3</w:t>
            </w:r>
          </w:p>
        </w:tc>
        <w:tc>
          <w:tcPr>
            <w:tcW w:w="1649" w:type="dxa"/>
            <w:vMerge/>
            <w:tcBorders>
              <w:top w:val="single" w:sz="4" w:space="0" w:color="auto"/>
              <w:left w:val="single" w:sz="4" w:space="0" w:color="auto"/>
              <w:bottom w:val="single" w:sz="4" w:space="0" w:color="auto"/>
              <w:right w:val="single" w:sz="4" w:space="0" w:color="auto"/>
            </w:tcBorders>
            <w:vAlign w:val="center"/>
          </w:tcPr>
          <w:p w14:paraId="371D3345" w14:textId="77777777" w:rsidR="00440A16" w:rsidRPr="007B7470" w:rsidRDefault="00440A16" w:rsidP="00C16C1B">
            <w:pPr>
              <w:spacing w:after="0" w:line="240" w:lineRule="auto"/>
              <w:rPr>
                <w:rFonts w:ascii="Times New Roman" w:eastAsia="Times New Roman" w:hAnsi="Times New Roman" w:cs="Times New Roman"/>
                <w:b/>
                <w:bCs/>
                <w:color w:val="000000" w:themeColor="text1"/>
                <w:sz w:val="24"/>
                <w:szCs w:val="24"/>
                <w:lang w:eastAsia="sk-SK"/>
              </w:rPr>
            </w:pPr>
          </w:p>
        </w:tc>
      </w:tr>
      <w:tr w:rsidR="00A738C0" w:rsidRPr="007B7470" w14:paraId="371D334D" w14:textId="77777777" w:rsidTr="00C16C1B">
        <w:trPr>
          <w:trHeight w:val="255"/>
        </w:trPr>
        <w:tc>
          <w:tcPr>
            <w:tcW w:w="7070" w:type="dxa"/>
            <w:tcBorders>
              <w:top w:val="nil"/>
              <w:left w:val="single" w:sz="4" w:space="0" w:color="auto"/>
              <w:bottom w:val="single" w:sz="4" w:space="0" w:color="auto"/>
              <w:right w:val="single" w:sz="4" w:space="0" w:color="auto"/>
            </w:tcBorders>
          </w:tcPr>
          <w:p w14:paraId="371D3347" w14:textId="77777777" w:rsidR="00F20986" w:rsidRPr="007B7470" w:rsidRDefault="00F2098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14:paraId="371D3348"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71D3349"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1D334A"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1D334B"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371D334C" w14:textId="77777777" w:rsidR="00F20986" w:rsidRPr="007B7470" w:rsidRDefault="00F20986" w:rsidP="00C16C1B">
            <w:pPr>
              <w:spacing w:after="0" w:line="240" w:lineRule="auto"/>
              <w:rPr>
                <w:rFonts w:ascii="Times New Roman" w:eastAsia="Times New Roman" w:hAnsi="Times New Roman" w:cs="Times New Roman"/>
                <w:color w:val="000000" w:themeColor="text1"/>
                <w:sz w:val="24"/>
                <w:szCs w:val="24"/>
                <w:lang w:eastAsia="sk-SK"/>
              </w:rPr>
            </w:pPr>
          </w:p>
        </w:tc>
      </w:tr>
      <w:tr w:rsidR="00A738C0" w:rsidRPr="007B7470" w14:paraId="371D3354" w14:textId="77777777" w:rsidTr="00C16C1B">
        <w:trPr>
          <w:trHeight w:val="255"/>
        </w:trPr>
        <w:tc>
          <w:tcPr>
            <w:tcW w:w="7070" w:type="dxa"/>
            <w:tcBorders>
              <w:top w:val="nil"/>
              <w:left w:val="single" w:sz="4" w:space="0" w:color="auto"/>
              <w:bottom w:val="single" w:sz="4" w:space="0" w:color="auto"/>
              <w:right w:val="single" w:sz="4" w:space="0" w:color="auto"/>
            </w:tcBorders>
          </w:tcPr>
          <w:p w14:paraId="371D334E" w14:textId="77777777"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14:paraId="371D334F"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71D3350"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1D3351"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1D3352"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371D3353"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371D335B" w14:textId="77777777" w:rsidTr="00C16C1B">
        <w:trPr>
          <w:trHeight w:val="255"/>
        </w:trPr>
        <w:tc>
          <w:tcPr>
            <w:tcW w:w="7070" w:type="dxa"/>
            <w:tcBorders>
              <w:top w:val="nil"/>
              <w:left w:val="single" w:sz="4" w:space="0" w:color="auto"/>
              <w:bottom w:val="single" w:sz="4" w:space="0" w:color="auto"/>
              <w:right w:val="single" w:sz="4" w:space="0" w:color="auto"/>
            </w:tcBorders>
          </w:tcPr>
          <w:p w14:paraId="371D3355"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371D3356"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71D3357"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1D3358"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1D3359"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371D335A"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371D3362" w14:textId="77777777" w:rsidTr="00C16C1B">
        <w:trPr>
          <w:trHeight w:val="255"/>
        </w:trPr>
        <w:tc>
          <w:tcPr>
            <w:tcW w:w="7070" w:type="dxa"/>
            <w:tcBorders>
              <w:top w:val="nil"/>
              <w:left w:val="single" w:sz="4" w:space="0" w:color="auto"/>
              <w:bottom w:val="single" w:sz="4" w:space="0" w:color="auto"/>
              <w:right w:val="single" w:sz="4" w:space="0" w:color="auto"/>
            </w:tcBorders>
          </w:tcPr>
          <w:p w14:paraId="371D335C"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371D335D"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71D335E"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1D335F"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1D3360"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371D3361"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371D3369" w14:textId="77777777" w:rsidTr="00C16C1B">
        <w:trPr>
          <w:trHeight w:val="255"/>
        </w:trPr>
        <w:tc>
          <w:tcPr>
            <w:tcW w:w="7070" w:type="dxa"/>
            <w:tcBorders>
              <w:top w:val="nil"/>
              <w:left w:val="single" w:sz="4" w:space="0" w:color="auto"/>
              <w:bottom w:val="single" w:sz="4" w:space="0" w:color="auto"/>
              <w:right w:val="single" w:sz="4" w:space="0" w:color="auto"/>
            </w:tcBorders>
          </w:tcPr>
          <w:p w14:paraId="371D3363"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Tovary a služby (630)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371D3364"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71D3365"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1D3366"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1D3367"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371D3368"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371D3370" w14:textId="77777777" w:rsidTr="00C16C1B">
        <w:trPr>
          <w:trHeight w:val="255"/>
        </w:trPr>
        <w:tc>
          <w:tcPr>
            <w:tcW w:w="7070" w:type="dxa"/>
            <w:tcBorders>
              <w:top w:val="nil"/>
              <w:left w:val="single" w:sz="4" w:space="0" w:color="auto"/>
              <w:bottom w:val="single" w:sz="4" w:space="0" w:color="auto"/>
              <w:right w:val="single" w:sz="4" w:space="0" w:color="auto"/>
            </w:tcBorders>
          </w:tcPr>
          <w:p w14:paraId="371D336A"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Bežné transfery (640)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371D336B"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71D336C"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1D336D"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1D336E"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371D336F"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371D3377" w14:textId="77777777" w:rsidTr="00C16C1B">
        <w:trPr>
          <w:trHeight w:val="255"/>
        </w:trPr>
        <w:tc>
          <w:tcPr>
            <w:tcW w:w="7070" w:type="dxa"/>
            <w:tcBorders>
              <w:top w:val="nil"/>
              <w:left w:val="single" w:sz="4" w:space="0" w:color="auto"/>
              <w:bottom w:val="single" w:sz="4" w:space="0" w:color="auto"/>
              <w:right w:val="single" w:sz="4" w:space="0" w:color="auto"/>
            </w:tcBorders>
            <w:vAlign w:val="center"/>
          </w:tcPr>
          <w:p w14:paraId="371D3371"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Splácanie úrokov a ostatné platby súvisiace s </w:t>
            </w:r>
            <w:r w:rsidRPr="007B7470">
              <w:rPr>
                <w:color w:val="000000" w:themeColor="text1"/>
              </w:rPr>
              <w:t xml:space="preserve"> </w:t>
            </w:r>
            <w:r w:rsidRPr="007B747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371D3372"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71D3373"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1D3374"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1D3375"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371D3376"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p>
        </w:tc>
      </w:tr>
      <w:tr w:rsidR="00A738C0" w:rsidRPr="007B7470" w14:paraId="371D337E" w14:textId="77777777" w:rsidTr="00C16C1B">
        <w:trPr>
          <w:trHeight w:val="255"/>
        </w:trPr>
        <w:tc>
          <w:tcPr>
            <w:tcW w:w="7070" w:type="dxa"/>
            <w:tcBorders>
              <w:top w:val="nil"/>
              <w:left w:val="single" w:sz="4" w:space="0" w:color="auto"/>
              <w:bottom w:val="single" w:sz="4" w:space="0" w:color="auto"/>
              <w:right w:val="single" w:sz="4" w:space="0" w:color="auto"/>
            </w:tcBorders>
          </w:tcPr>
          <w:p w14:paraId="371D3378" w14:textId="77777777"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14:paraId="371D3379"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71D337A"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1D337B"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1D337C"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371D337D"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371D3385" w14:textId="77777777" w:rsidTr="00C16C1B">
        <w:trPr>
          <w:trHeight w:val="255"/>
        </w:trPr>
        <w:tc>
          <w:tcPr>
            <w:tcW w:w="7070" w:type="dxa"/>
            <w:tcBorders>
              <w:top w:val="nil"/>
              <w:left w:val="single" w:sz="4" w:space="0" w:color="auto"/>
              <w:bottom w:val="single" w:sz="4" w:space="0" w:color="auto"/>
              <w:right w:val="single" w:sz="4" w:space="0" w:color="auto"/>
            </w:tcBorders>
          </w:tcPr>
          <w:p w14:paraId="371D337F"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371D3380"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71D3381"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1D3382"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1D3383"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371D3384"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371D338C" w14:textId="77777777" w:rsidTr="00C16C1B">
        <w:trPr>
          <w:trHeight w:val="255"/>
        </w:trPr>
        <w:tc>
          <w:tcPr>
            <w:tcW w:w="7070" w:type="dxa"/>
            <w:tcBorders>
              <w:top w:val="nil"/>
              <w:left w:val="single" w:sz="4" w:space="0" w:color="auto"/>
              <w:bottom w:val="single" w:sz="4" w:space="0" w:color="auto"/>
              <w:right w:val="single" w:sz="4" w:space="0" w:color="auto"/>
            </w:tcBorders>
          </w:tcPr>
          <w:p w14:paraId="371D3386"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371D3387"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71D3388"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1D3389"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71D338A"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371D338B"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371D3393" w14:textId="77777777" w:rsidTr="00C16C1B">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71D338D" w14:textId="77777777" w:rsidR="00440A16" w:rsidRPr="007B7470" w:rsidRDefault="003408F5"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w:t>
            </w:r>
            <w:r w:rsidR="00440A16" w:rsidRPr="007B7470">
              <w:rPr>
                <w:rFonts w:ascii="Times New Roman" w:eastAsia="Times New Roman" w:hAnsi="Times New Roman" w:cs="Times New Roman"/>
                <w:b/>
                <w:bCs/>
                <w:color w:val="000000" w:themeColor="text1"/>
                <w:sz w:val="20"/>
                <w:szCs w:val="20"/>
                <w:lang w:eastAsia="sk-SK"/>
              </w:rPr>
              <w:t xml:space="preserve"> n</w:t>
            </w:r>
            <w:r w:rsidRPr="007B7470">
              <w:rPr>
                <w:rFonts w:ascii="Times New Roman" w:eastAsia="Times New Roman" w:hAnsi="Times New Roman" w:cs="Times New Roman"/>
                <w:b/>
                <w:bCs/>
                <w:color w:val="000000" w:themeColor="text1"/>
                <w:sz w:val="20"/>
                <w:szCs w:val="20"/>
                <w:lang w:eastAsia="sk-SK"/>
              </w:rPr>
              <w:t>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371D338E"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371D338F"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371D3390"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371D3391"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0"/>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371D3392"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bl>
    <w:p w14:paraId="371D3394"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color w:val="000000" w:themeColor="text1"/>
          <w:sz w:val="20"/>
          <w:szCs w:val="20"/>
          <w:lang w:eastAsia="sk-SK"/>
        </w:rPr>
        <w:t xml:space="preserve">  2 –  výdavky rozpísať až do </w:t>
      </w:r>
      <w:r w:rsidR="00F20986" w:rsidRPr="007B7470">
        <w:rPr>
          <w:rFonts w:ascii="Times New Roman" w:eastAsia="Times New Roman" w:hAnsi="Times New Roman" w:cs="Times New Roman"/>
          <w:bCs/>
          <w:color w:val="000000" w:themeColor="text1"/>
          <w:sz w:val="20"/>
          <w:szCs w:val="20"/>
          <w:lang w:eastAsia="sk-SK"/>
        </w:rPr>
        <w:t>pod</w:t>
      </w:r>
      <w:r w:rsidRPr="007B7470">
        <w:rPr>
          <w:rFonts w:ascii="Times New Roman" w:eastAsia="Times New Roman" w:hAnsi="Times New Roman" w:cs="Times New Roman"/>
          <w:bCs/>
          <w:color w:val="000000" w:themeColor="text1"/>
          <w:sz w:val="20"/>
          <w:szCs w:val="20"/>
          <w:lang w:eastAsia="sk-SK"/>
        </w:rPr>
        <w:t>po</w:t>
      </w:r>
      <w:r w:rsidRPr="007B7470">
        <w:rPr>
          <w:rFonts w:ascii="Times New Roman" w:eastAsia="Times New Roman" w:hAnsi="Times New Roman" w:cs="Times New Roman"/>
          <w:bCs/>
          <w:sz w:val="20"/>
          <w:szCs w:val="20"/>
          <w:lang w:eastAsia="sk-SK"/>
        </w:rPr>
        <w:t>ložiek platnej ekonomickej klasifikácie</w:t>
      </w:r>
    </w:p>
    <w:p w14:paraId="371D3395"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371D3396"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14:paraId="371D3397"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14:paraId="371D3398"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99"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9A"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9B"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9C"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9D"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9E"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9F"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A0"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A1"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A2"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A3"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A4"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A5"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A6"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A7" w14:textId="77777777" w:rsidR="007D5748" w:rsidRPr="007B7470" w:rsidRDefault="007D5748" w:rsidP="002177DB">
      <w:pPr>
        <w:tabs>
          <w:tab w:val="num" w:pos="1080"/>
        </w:tabs>
        <w:spacing w:after="0" w:line="240" w:lineRule="auto"/>
        <w:jc w:val="both"/>
        <w:rPr>
          <w:rFonts w:ascii="Times New Roman" w:eastAsia="Times New Roman" w:hAnsi="Times New Roman" w:cs="Times New Roman"/>
          <w:bCs/>
          <w:sz w:val="20"/>
          <w:szCs w:val="20"/>
          <w:lang w:eastAsia="sk-SK"/>
        </w:rPr>
      </w:pPr>
    </w:p>
    <w:p w14:paraId="371D33A8"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1D33A9" w14:textId="77777777" w:rsidR="007D5748" w:rsidRPr="007B7470" w:rsidRDefault="007D5748" w:rsidP="007D5748">
      <w:pPr>
        <w:tabs>
          <w:tab w:val="num" w:pos="1080"/>
        </w:tabs>
        <w:spacing w:after="0" w:line="240" w:lineRule="auto"/>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371D33AA" w14:textId="77777777"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7D5748" w:rsidRPr="007B7470" w14:paraId="371D33AE" w14:textId="77777777" w:rsidTr="005E3699">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1D33AB"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14:paraId="371D33AC"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371D33AD"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14:paraId="371D33B5" w14:textId="77777777" w:rsidTr="005E3699">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1D33AF"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14:paraId="371D33B0"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788" w:type="dxa"/>
            <w:tcBorders>
              <w:top w:val="nil"/>
              <w:left w:val="nil"/>
              <w:bottom w:val="single" w:sz="4" w:space="0" w:color="auto"/>
              <w:right w:val="single" w:sz="4" w:space="0" w:color="auto"/>
            </w:tcBorders>
            <w:shd w:val="clear" w:color="auto" w:fill="BFBFBF" w:themeFill="background1" w:themeFillShade="BF"/>
          </w:tcPr>
          <w:p w14:paraId="371D33B1"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371D33B2"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560" w:type="dxa"/>
            <w:tcBorders>
              <w:top w:val="nil"/>
              <w:left w:val="nil"/>
              <w:bottom w:val="single" w:sz="4" w:space="0" w:color="auto"/>
              <w:right w:val="single" w:sz="4" w:space="0" w:color="auto"/>
            </w:tcBorders>
            <w:shd w:val="clear" w:color="auto" w:fill="BFBFBF" w:themeFill="background1" w:themeFillShade="BF"/>
          </w:tcPr>
          <w:p w14:paraId="371D33B3"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1D33B4" w14:textId="77777777"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D5748" w:rsidRPr="007B7470" w14:paraId="371D33BC" w14:textId="77777777" w:rsidTr="005E3699">
        <w:trPr>
          <w:trHeight w:val="255"/>
        </w:trPr>
        <w:tc>
          <w:tcPr>
            <w:tcW w:w="6188" w:type="dxa"/>
            <w:tcBorders>
              <w:top w:val="nil"/>
              <w:left w:val="single" w:sz="4" w:space="0" w:color="auto"/>
              <w:bottom w:val="single" w:sz="4" w:space="0" w:color="auto"/>
              <w:right w:val="single" w:sz="4" w:space="0" w:color="auto"/>
            </w:tcBorders>
          </w:tcPr>
          <w:p w14:paraId="371D33B6"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14:paraId="371D33B7"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371D33B8"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371D33B9"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371D33BA"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371D33B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371D33C3" w14:textId="77777777" w:rsidTr="005E3699">
        <w:trPr>
          <w:trHeight w:val="255"/>
        </w:trPr>
        <w:tc>
          <w:tcPr>
            <w:tcW w:w="6188" w:type="dxa"/>
            <w:tcBorders>
              <w:top w:val="nil"/>
              <w:left w:val="single" w:sz="4" w:space="0" w:color="auto"/>
              <w:bottom w:val="single" w:sz="4" w:space="0" w:color="auto"/>
              <w:right w:val="single" w:sz="4" w:space="0" w:color="auto"/>
            </w:tcBorders>
          </w:tcPr>
          <w:p w14:paraId="371D33BD"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371D33BE"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371D33BF"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14:paraId="371D33C0"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14:paraId="371D33C1"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371D33C2"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371D33CA" w14:textId="77777777" w:rsidTr="005E3699">
        <w:trPr>
          <w:trHeight w:val="255"/>
        </w:trPr>
        <w:tc>
          <w:tcPr>
            <w:tcW w:w="6188" w:type="dxa"/>
            <w:tcBorders>
              <w:top w:val="nil"/>
              <w:left w:val="single" w:sz="4" w:space="0" w:color="auto"/>
              <w:bottom w:val="single" w:sz="4" w:space="0" w:color="auto"/>
              <w:right w:val="single" w:sz="4" w:space="0" w:color="auto"/>
            </w:tcBorders>
          </w:tcPr>
          <w:p w14:paraId="371D33C4"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14:paraId="371D33C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371D33C6"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14:paraId="371D33C7"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14:paraId="371D33C8"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371D33C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371D33D1" w14:textId="77777777" w:rsidTr="005E3699">
        <w:trPr>
          <w:trHeight w:val="255"/>
        </w:trPr>
        <w:tc>
          <w:tcPr>
            <w:tcW w:w="6188" w:type="dxa"/>
            <w:tcBorders>
              <w:top w:val="nil"/>
              <w:left w:val="single" w:sz="4" w:space="0" w:color="auto"/>
              <w:bottom w:val="single" w:sz="4" w:space="0" w:color="auto"/>
              <w:right w:val="single" w:sz="4" w:space="0" w:color="auto"/>
            </w:tcBorders>
          </w:tcPr>
          <w:p w14:paraId="371D33CB"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371D33CC"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788" w:type="dxa"/>
            <w:tcBorders>
              <w:top w:val="single" w:sz="4" w:space="0" w:color="auto"/>
              <w:left w:val="nil"/>
              <w:bottom w:val="single" w:sz="4" w:space="0" w:color="auto"/>
              <w:right w:val="single" w:sz="4" w:space="0" w:color="auto"/>
            </w:tcBorders>
          </w:tcPr>
          <w:p w14:paraId="371D33CD"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78" w:type="dxa"/>
            <w:gridSpan w:val="2"/>
            <w:tcBorders>
              <w:top w:val="single" w:sz="4" w:space="0" w:color="auto"/>
              <w:left w:val="nil"/>
              <w:bottom w:val="single" w:sz="4" w:space="0" w:color="auto"/>
              <w:right w:val="single" w:sz="4" w:space="0" w:color="auto"/>
            </w:tcBorders>
          </w:tcPr>
          <w:p w14:paraId="371D33CE"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560" w:type="dxa"/>
            <w:tcBorders>
              <w:top w:val="single" w:sz="4" w:space="0" w:color="auto"/>
              <w:left w:val="nil"/>
              <w:bottom w:val="single" w:sz="4" w:space="0" w:color="auto"/>
              <w:right w:val="single" w:sz="4" w:space="0" w:color="auto"/>
            </w:tcBorders>
          </w:tcPr>
          <w:p w14:paraId="371D33CF"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42" w:type="dxa"/>
            <w:gridSpan w:val="2"/>
            <w:tcBorders>
              <w:top w:val="nil"/>
              <w:left w:val="nil"/>
              <w:bottom w:val="single" w:sz="4" w:space="0" w:color="auto"/>
              <w:right w:val="single" w:sz="4" w:space="0" w:color="auto"/>
            </w:tcBorders>
            <w:noWrap/>
            <w:vAlign w:val="bottom"/>
          </w:tcPr>
          <w:p w14:paraId="371D33D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371D33D8" w14:textId="77777777" w:rsidTr="005E3699">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371D33D2"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14:paraId="371D33D3"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14:paraId="371D33D4"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371D33D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60" w:type="dxa"/>
            <w:tcBorders>
              <w:top w:val="nil"/>
              <w:left w:val="nil"/>
              <w:bottom w:val="single" w:sz="4" w:space="0" w:color="auto"/>
              <w:right w:val="single" w:sz="4" w:space="0" w:color="auto"/>
            </w:tcBorders>
            <w:shd w:val="clear" w:color="auto" w:fill="BFBFBF" w:themeFill="background1" w:themeFillShade="BF"/>
          </w:tcPr>
          <w:p w14:paraId="371D33D6"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14:paraId="371D33D7"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14:paraId="371D33DF" w14:textId="77777777" w:rsidTr="005E3699">
        <w:trPr>
          <w:trHeight w:val="255"/>
        </w:trPr>
        <w:tc>
          <w:tcPr>
            <w:tcW w:w="6188" w:type="dxa"/>
            <w:tcBorders>
              <w:top w:val="nil"/>
              <w:left w:val="single" w:sz="4" w:space="0" w:color="auto"/>
              <w:bottom w:val="single" w:sz="4" w:space="0" w:color="auto"/>
              <w:right w:val="single" w:sz="4" w:space="0" w:color="auto"/>
            </w:tcBorders>
          </w:tcPr>
          <w:p w14:paraId="371D33D9"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14:paraId="371D33DA"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371D33DB"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371D33DC"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371D33DD"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371D33DE"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14:paraId="371D33E6" w14:textId="77777777" w:rsidTr="005E3699">
        <w:trPr>
          <w:trHeight w:val="255"/>
        </w:trPr>
        <w:tc>
          <w:tcPr>
            <w:tcW w:w="6188" w:type="dxa"/>
            <w:tcBorders>
              <w:top w:val="nil"/>
              <w:left w:val="single" w:sz="4" w:space="0" w:color="auto"/>
              <w:bottom w:val="single" w:sz="4" w:space="0" w:color="auto"/>
              <w:right w:val="single" w:sz="4" w:space="0" w:color="auto"/>
            </w:tcBorders>
          </w:tcPr>
          <w:p w14:paraId="371D33E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371D33E1"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371D33E2"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14:paraId="371D33E3"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14:paraId="371D33E4"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371D33E5"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371D33ED" w14:textId="77777777" w:rsidTr="005E3699">
        <w:trPr>
          <w:trHeight w:val="255"/>
        </w:trPr>
        <w:tc>
          <w:tcPr>
            <w:tcW w:w="6188" w:type="dxa"/>
            <w:tcBorders>
              <w:top w:val="nil"/>
              <w:left w:val="single" w:sz="4" w:space="0" w:color="auto"/>
              <w:bottom w:val="single" w:sz="4" w:space="0" w:color="auto"/>
              <w:right w:val="single" w:sz="4" w:space="0" w:color="auto"/>
            </w:tcBorders>
          </w:tcPr>
          <w:p w14:paraId="371D33E7"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14:paraId="371D33E8"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371D33E9"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371D33EA"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371D33EB"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371D33EC"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14:paraId="371D33F4" w14:textId="77777777" w:rsidTr="005E3699">
        <w:trPr>
          <w:trHeight w:val="255"/>
        </w:trPr>
        <w:tc>
          <w:tcPr>
            <w:tcW w:w="6188" w:type="dxa"/>
            <w:tcBorders>
              <w:top w:val="nil"/>
              <w:left w:val="single" w:sz="4" w:space="0" w:color="auto"/>
              <w:bottom w:val="single" w:sz="4" w:space="0" w:color="auto"/>
              <w:right w:val="single" w:sz="4" w:space="0" w:color="auto"/>
            </w:tcBorders>
          </w:tcPr>
          <w:p w14:paraId="371D33E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371D33EF"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371D33F0"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14:paraId="371D33F1"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14:paraId="371D33F2"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371D33F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371D33FB" w14:textId="77777777" w:rsidTr="005E3699">
        <w:trPr>
          <w:trHeight w:val="255"/>
        </w:trPr>
        <w:tc>
          <w:tcPr>
            <w:tcW w:w="6188" w:type="dxa"/>
            <w:tcBorders>
              <w:top w:val="nil"/>
              <w:left w:val="nil"/>
              <w:bottom w:val="nil"/>
              <w:right w:val="nil"/>
            </w:tcBorders>
            <w:noWrap/>
            <w:vAlign w:val="bottom"/>
          </w:tcPr>
          <w:p w14:paraId="371D33F5"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14:paraId="371D33F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371D33F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371D33F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371D33F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371D33F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371D3402" w14:textId="77777777" w:rsidTr="005E3699">
        <w:trPr>
          <w:trHeight w:val="255"/>
        </w:trPr>
        <w:tc>
          <w:tcPr>
            <w:tcW w:w="6188" w:type="dxa"/>
            <w:tcBorders>
              <w:top w:val="nil"/>
              <w:left w:val="nil"/>
              <w:bottom w:val="nil"/>
              <w:right w:val="nil"/>
            </w:tcBorders>
          </w:tcPr>
          <w:p w14:paraId="371D33FC" w14:textId="77777777" w:rsidR="007D5748"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r w:rsidR="007D5748" w:rsidRPr="007B7470">
              <w:rPr>
                <w:rFonts w:ascii="Times New Roman" w:eastAsia="Times New Roman" w:hAnsi="Times New Roman" w:cs="Times New Roman"/>
                <w:b/>
                <w:bCs/>
                <w:sz w:val="24"/>
                <w:szCs w:val="24"/>
                <w:lang w:eastAsia="sk-SK"/>
              </w:rPr>
              <w:t>:</w:t>
            </w:r>
          </w:p>
        </w:tc>
        <w:tc>
          <w:tcPr>
            <w:tcW w:w="1698" w:type="dxa"/>
            <w:tcBorders>
              <w:top w:val="nil"/>
              <w:left w:val="nil"/>
              <w:bottom w:val="nil"/>
              <w:right w:val="nil"/>
            </w:tcBorders>
            <w:noWrap/>
            <w:vAlign w:val="bottom"/>
          </w:tcPr>
          <w:p w14:paraId="371D33F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371D33F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371D33FF"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371D340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371D340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371D3406" w14:textId="77777777" w:rsidTr="005E3699">
        <w:trPr>
          <w:trHeight w:val="255"/>
        </w:trPr>
        <w:tc>
          <w:tcPr>
            <w:tcW w:w="13112" w:type="dxa"/>
            <w:gridSpan w:val="6"/>
            <w:tcBorders>
              <w:top w:val="nil"/>
              <w:left w:val="nil"/>
              <w:bottom w:val="nil"/>
              <w:right w:val="nil"/>
            </w:tcBorders>
            <w:noWrap/>
          </w:tcPr>
          <w:p w14:paraId="371D3403"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371D3404"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14:paraId="371D3405"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371D340B" w14:textId="77777777" w:rsidTr="005E3699">
        <w:trPr>
          <w:trHeight w:val="255"/>
        </w:trPr>
        <w:tc>
          <w:tcPr>
            <w:tcW w:w="10394" w:type="dxa"/>
            <w:gridSpan w:val="4"/>
            <w:tcBorders>
              <w:top w:val="nil"/>
              <w:left w:val="nil"/>
              <w:bottom w:val="nil"/>
              <w:right w:val="nil"/>
            </w:tcBorders>
            <w:noWrap/>
            <w:vAlign w:val="bottom"/>
          </w:tcPr>
          <w:p w14:paraId="371D340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14:paraId="371D340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14:paraId="371D340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14:paraId="371D340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bl>
    <w:p w14:paraId="371D340C"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p w14:paraId="371D340D"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371D340E"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371D340F"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371D3410"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371D3411"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371D3412"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371D3413"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371D3414"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371D3417" w14:textId="77777777" w:rsidR="002B63FD"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w:t>
      </w:r>
    </w:p>
    <w:p w14:paraId="371D3418" w14:textId="77777777" w:rsidR="002B63FD" w:rsidRPr="007B7470" w:rsidRDefault="002B63FD"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lastRenderedPageBreak/>
        <w:t xml:space="preserve">2.2.5. Výpočet vplyvov na dlhodobú udržateľnosť verejných financií </w:t>
      </w:r>
    </w:p>
    <w:p w14:paraId="371D3419"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371D341A" w14:textId="77777777" w:rsidR="002B63FD" w:rsidRPr="007B7470"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371D341B"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371D341C"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00D922E5" w:rsidRPr="007B7470">
        <w:rPr>
          <w:rFonts w:ascii="Times New Roman" w:eastAsia="Times New Roman" w:hAnsi="Times New Roman" w:cs="Times New Roman"/>
          <w:sz w:val="24"/>
          <w:szCs w:val="24"/>
          <w:lang w:eastAsia="sk-SK"/>
        </w:rPr>
        <w:t xml:space="preserve">        </w:t>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p>
    <w:p w14:paraId="371D341D" w14:textId="77777777" w:rsidR="00943733" w:rsidRPr="007B7470" w:rsidRDefault="005B051A" w:rsidP="002B63FD">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w:t>
      </w:r>
      <w:r w:rsidR="00024E31" w:rsidRPr="007B7470">
        <w:rPr>
          <w:rFonts w:ascii="Times New Roman" w:eastAsia="Times New Roman" w:hAnsi="Times New Roman" w:cs="Times New Roman"/>
          <w:sz w:val="20"/>
          <w:szCs w:val="20"/>
          <w:lang w:eastAsia="sk-SK"/>
        </w:rPr>
        <w:t xml:space="preserve">                                                                                                                                                                                                                                                </w:t>
      </w: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7B7470" w14:paraId="371D3421" w14:textId="77777777" w:rsidTr="005E3699">
        <w:trPr>
          <w:trHeight w:val="284"/>
        </w:trPr>
        <w:tc>
          <w:tcPr>
            <w:tcW w:w="2943" w:type="dxa"/>
            <w:vMerge w:val="restart"/>
            <w:shd w:val="clear" w:color="auto" w:fill="BFBFBF" w:themeFill="background1" w:themeFillShade="BF"/>
            <w:vAlign w:val="center"/>
          </w:tcPr>
          <w:p w14:paraId="371D341E"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14:paraId="371D341F"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14:paraId="371D3420"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2B63FD" w:rsidRPr="007B7470" w14:paraId="371D3429" w14:textId="77777777" w:rsidTr="005E3699">
        <w:trPr>
          <w:trHeight w:val="284"/>
        </w:trPr>
        <w:tc>
          <w:tcPr>
            <w:tcW w:w="2943" w:type="dxa"/>
            <w:vMerge/>
            <w:shd w:val="clear" w:color="auto" w:fill="BFBFBF" w:themeFill="background1" w:themeFillShade="BF"/>
          </w:tcPr>
          <w:p w14:paraId="371D3422"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371D3423"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371D3424"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14:paraId="371D3425"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14:paraId="371D3426"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14:paraId="371D3427"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14:paraId="371D3428"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371D3431" w14:textId="77777777" w:rsidTr="005E3699">
        <w:trPr>
          <w:trHeight w:val="284"/>
        </w:trPr>
        <w:tc>
          <w:tcPr>
            <w:tcW w:w="2943" w:type="dxa"/>
            <w:vAlign w:val="bottom"/>
          </w:tcPr>
          <w:p w14:paraId="371D342A"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tcPr>
          <w:p w14:paraId="371D342B"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371D342C"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371D342D"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371D342E"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371D342F"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371D3430"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371D3439" w14:textId="77777777" w:rsidTr="005E3699">
        <w:trPr>
          <w:trHeight w:val="284"/>
        </w:trPr>
        <w:tc>
          <w:tcPr>
            <w:tcW w:w="2943" w:type="dxa"/>
          </w:tcPr>
          <w:p w14:paraId="371D3432"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príjmy v p. b. HDP</w:t>
            </w:r>
          </w:p>
        </w:tc>
        <w:tc>
          <w:tcPr>
            <w:tcW w:w="1447" w:type="dxa"/>
          </w:tcPr>
          <w:p w14:paraId="371D3433"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371D3434"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371D3435"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371D3436"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371D3437"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371D3438"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371D3441" w14:textId="77777777" w:rsidTr="005E3699">
        <w:trPr>
          <w:trHeight w:val="284"/>
        </w:trPr>
        <w:tc>
          <w:tcPr>
            <w:tcW w:w="2943" w:type="dxa"/>
          </w:tcPr>
          <w:p w14:paraId="371D343A"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tcPr>
          <w:p w14:paraId="371D343B"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371D343C"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371D343D"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371D343E"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371D343F"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371D3440"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14:paraId="371D3442"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371D3443" w14:textId="77777777" w:rsidR="002B63FD" w:rsidRPr="007B7470" w:rsidRDefault="00D922E5"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r w:rsidR="002B63FD" w:rsidRPr="007B7470">
        <w:rPr>
          <w:rFonts w:ascii="Times New Roman" w:eastAsia="Times New Roman" w:hAnsi="Times New Roman" w:cs="Times New Roman"/>
          <w:b/>
          <w:sz w:val="24"/>
          <w:szCs w:val="24"/>
          <w:lang w:eastAsia="sk-SK"/>
        </w:rPr>
        <w:t xml:space="preserve">: </w:t>
      </w:r>
    </w:p>
    <w:p w14:paraId="371D3444"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14:paraId="371D3445"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Tabuľka sa vypĺňa pre každé opatrenie samostatne. V prípade zavádzania viacerých opatrení sa vyplní aj tabuľka obsahujúca aj kumulatívny efekt zavedenia všetkých opatrení súčasne.“  </w:t>
      </w:r>
    </w:p>
    <w:p w14:paraId="371D3446"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sectPr w:rsidR="002B63FD" w:rsidRPr="007B7470">
          <w:pgSz w:w="16838" w:h="11906" w:orient="landscape"/>
          <w:pgMar w:top="1418" w:right="1418" w:bottom="1418" w:left="1418" w:header="709" w:footer="709" w:gutter="0"/>
          <w:cols w:space="708"/>
          <w:docGrid w:linePitch="360"/>
        </w:sectPr>
      </w:pPr>
    </w:p>
    <w:p w14:paraId="371D3447" w14:textId="77777777" w:rsidR="007D5748" w:rsidRPr="007B7470" w:rsidRDefault="007D5748" w:rsidP="007D5748">
      <w:pPr>
        <w:spacing w:after="0" w:line="240" w:lineRule="auto"/>
        <w:jc w:val="center"/>
        <w:rPr>
          <w:rFonts w:ascii="Times New Roman" w:eastAsia="Times New Roman" w:hAnsi="Times New Roman" w:cs="Times New Roman"/>
          <w:b/>
          <w:color w:val="000000" w:themeColor="text1"/>
          <w:sz w:val="28"/>
          <w:szCs w:val="28"/>
          <w:lang w:eastAsia="sk-SK"/>
        </w:rPr>
      </w:pPr>
      <w:r w:rsidRPr="007B7470">
        <w:rPr>
          <w:rFonts w:ascii="Times New Roman" w:eastAsia="Times New Roman" w:hAnsi="Times New Roman" w:cs="Times New Roman"/>
          <w:b/>
          <w:sz w:val="28"/>
          <w:szCs w:val="28"/>
          <w:lang w:eastAsia="sk-SK"/>
        </w:rPr>
        <w:lastRenderedPageBreak/>
        <w:t xml:space="preserve">Metodický postup pre analýzu </w:t>
      </w:r>
      <w:r w:rsidRPr="007B7470">
        <w:rPr>
          <w:rFonts w:ascii="Times New Roman" w:eastAsia="Times New Roman" w:hAnsi="Times New Roman" w:cs="Times New Roman"/>
          <w:b/>
          <w:color w:val="000000" w:themeColor="text1"/>
          <w:sz w:val="28"/>
          <w:szCs w:val="28"/>
          <w:lang w:eastAsia="sk-SK"/>
        </w:rPr>
        <w:t>vplyvov na rozpočet verejnej správy,</w:t>
      </w:r>
      <w:r w:rsidRPr="007B7470">
        <w:rPr>
          <w:rFonts w:ascii="Times New Roman" w:eastAsia="Times New Roman" w:hAnsi="Times New Roman" w:cs="Times New Roman"/>
          <w:b/>
          <w:color w:val="000000" w:themeColor="text1"/>
          <w:sz w:val="28"/>
          <w:szCs w:val="28"/>
          <w:lang w:eastAsia="sk-SK"/>
        </w:rPr>
        <w:br/>
        <w:t>na zamestnanosť vo verejnej správe a financovanie návrhu</w:t>
      </w:r>
    </w:p>
    <w:p w14:paraId="371D3448" w14:textId="77777777" w:rsidR="007D5748" w:rsidRPr="007B7470" w:rsidRDefault="007D5748" w:rsidP="007D5748">
      <w:pPr>
        <w:spacing w:after="0" w:line="240" w:lineRule="auto"/>
        <w:ind w:firstLine="720"/>
        <w:jc w:val="center"/>
        <w:rPr>
          <w:rFonts w:ascii="Times New Roman" w:eastAsia="Times New Roman" w:hAnsi="Times New Roman" w:cs="Times New Roman"/>
          <w:color w:val="000000" w:themeColor="text1"/>
          <w:sz w:val="24"/>
          <w:szCs w:val="24"/>
          <w:lang w:eastAsia="sk-SK"/>
        </w:rPr>
      </w:pPr>
    </w:p>
    <w:p w14:paraId="371D3449" w14:textId="77777777" w:rsidR="007D5748" w:rsidRPr="007B7470" w:rsidRDefault="007D5748" w:rsidP="007D5748">
      <w:pPr>
        <w:spacing w:after="0" w:line="240" w:lineRule="auto"/>
        <w:rPr>
          <w:rFonts w:ascii="Times New Roman" w:eastAsia="Times New Roman" w:hAnsi="Times New Roman" w:cs="Times New Roman"/>
          <w:bCs/>
          <w:color w:val="000000" w:themeColor="text1"/>
          <w:sz w:val="24"/>
          <w:szCs w:val="24"/>
          <w:lang w:eastAsia="sk-SK"/>
        </w:rPr>
      </w:pPr>
    </w:p>
    <w:p w14:paraId="371D344A" w14:textId="77777777" w:rsidR="00E963A3" w:rsidRPr="007B7470" w:rsidRDefault="007D5748" w:rsidP="007D5748">
      <w:pPr>
        <w:spacing w:after="0" w:line="240" w:lineRule="auto"/>
        <w:rPr>
          <w:rFonts w:ascii="Times New Roman" w:eastAsia="Times New Roman" w:hAnsi="Times New Roman" w:cs="Times New Roman"/>
          <w:b/>
          <w:bCs/>
          <w:iCs/>
          <w:color w:val="000000" w:themeColor="text1"/>
          <w:sz w:val="28"/>
          <w:szCs w:val="24"/>
          <w:u w:val="single"/>
          <w:lang w:eastAsia="sk-SK"/>
        </w:rPr>
      </w:pPr>
      <w:r w:rsidRPr="007B7470">
        <w:rPr>
          <w:rFonts w:ascii="Times New Roman" w:eastAsia="Times New Roman" w:hAnsi="Times New Roman" w:cs="Times New Roman"/>
          <w:b/>
          <w:bCs/>
          <w:iCs/>
          <w:color w:val="000000" w:themeColor="text1"/>
          <w:sz w:val="28"/>
          <w:szCs w:val="24"/>
          <w:u w:val="single"/>
          <w:lang w:eastAsia="sk-SK"/>
        </w:rPr>
        <w:t>2.1. Zhrnutie vplyvov na rozpočet verejnej správy v</w:t>
      </w:r>
      <w:r w:rsidR="00E963A3" w:rsidRPr="007B7470">
        <w:rPr>
          <w:rFonts w:ascii="Times New Roman" w:eastAsia="Times New Roman" w:hAnsi="Times New Roman" w:cs="Times New Roman"/>
          <w:b/>
          <w:bCs/>
          <w:iCs/>
          <w:color w:val="000000" w:themeColor="text1"/>
          <w:sz w:val="28"/>
          <w:szCs w:val="24"/>
          <w:u w:val="single"/>
          <w:lang w:eastAsia="sk-SK"/>
        </w:rPr>
        <w:t> </w:t>
      </w:r>
      <w:r w:rsidRPr="007B7470">
        <w:rPr>
          <w:rFonts w:ascii="Times New Roman" w:eastAsia="Times New Roman" w:hAnsi="Times New Roman" w:cs="Times New Roman"/>
          <w:b/>
          <w:bCs/>
          <w:iCs/>
          <w:color w:val="000000" w:themeColor="text1"/>
          <w:sz w:val="28"/>
          <w:szCs w:val="24"/>
          <w:u w:val="single"/>
          <w:lang w:eastAsia="sk-SK"/>
        </w:rPr>
        <w:t>návrhu</w:t>
      </w:r>
    </w:p>
    <w:p w14:paraId="371D344B" w14:textId="77777777" w:rsidR="007D5748" w:rsidRPr="007B7470" w:rsidRDefault="007D5748" w:rsidP="007D5748">
      <w:pPr>
        <w:spacing w:after="0" w:line="240" w:lineRule="auto"/>
        <w:rPr>
          <w:rFonts w:ascii="Times New Roman" w:eastAsia="Times New Roman" w:hAnsi="Times New Roman" w:cs="Times New Roman"/>
          <w:b/>
          <w:bCs/>
          <w:iCs/>
          <w:color w:val="000000" w:themeColor="text1"/>
          <w:sz w:val="28"/>
          <w:szCs w:val="24"/>
          <w:u w:val="single"/>
          <w:lang w:eastAsia="sk-SK"/>
        </w:rPr>
      </w:pPr>
      <w:r w:rsidRPr="007B7470">
        <w:rPr>
          <w:rFonts w:ascii="Times New Roman" w:eastAsia="Times New Roman" w:hAnsi="Times New Roman" w:cs="Times New Roman"/>
          <w:b/>
          <w:bCs/>
          <w:iCs/>
          <w:color w:val="000000" w:themeColor="text1"/>
          <w:sz w:val="28"/>
          <w:szCs w:val="24"/>
          <w:u w:val="single"/>
          <w:lang w:eastAsia="sk-SK"/>
        </w:rPr>
        <w:t xml:space="preserve"> </w:t>
      </w:r>
    </w:p>
    <w:p w14:paraId="371D344C" w14:textId="77777777" w:rsidR="007D5748" w:rsidRPr="007B7470"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7B7470">
        <w:rPr>
          <w:rFonts w:ascii="Times New Roman" w:eastAsia="Times New Roman" w:hAnsi="Times New Roman" w:cs="Times New Roman"/>
          <w:b/>
          <w:bCs/>
          <w:iCs/>
          <w:color w:val="000000" w:themeColor="text1"/>
          <w:sz w:val="24"/>
          <w:szCs w:val="24"/>
          <w:lang w:eastAsia="sk-SK"/>
        </w:rPr>
        <w:t>2.1.1. Financovanie návrhu</w:t>
      </w:r>
    </w:p>
    <w:p w14:paraId="371D344D" w14:textId="77777777"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371D344E" w14:textId="77777777" w:rsidR="007D5748" w:rsidRPr="007B7470" w:rsidRDefault="007D5748" w:rsidP="00D200BE">
      <w:pPr>
        <w:spacing w:after="0" w:line="240" w:lineRule="auto"/>
        <w:ind w:firstLine="708"/>
        <w:jc w:val="both"/>
        <w:rPr>
          <w:rFonts w:ascii="Times New Roman" w:hAnsi="Times New Roman" w:cs="Times New Roman"/>
          <w:color w:val="000000" w:themeColor="text1"/>
          <w:sz w:val="24"/>
          <w:szCs w:val="24"/>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color w:val="000000" w:themeColor="text1"/>
          <w:sz w:val="24"/>
          <w:szCs w:val="24"/>
          <w:lang w:eastAsia="sk-SK"/>
        </w:rPr>
        <w:t xml:space="preserve"> Vypĺňa informácie v tabuľke č</w:t>
      </w:r>
      <w:r w:rsidRPr="00F2530E">
        <w:rPr>
          <w:rFonts w:ascii="Times New Roman" w:eastAsia="Times New Roman" w:hAnsi="Times New Roman" w:cs="Times New Roman"/>
          <w:color w:val="000000" w:themeColor="text1"/>
          <w:sz w:val="24"/>
          <w:szCs w:val="24"/>
          <w:lang w:eastAsia="sk-SK"/>
        </w:rPr>
        <w:t>. 1</w:t>
      </w:r>
      <w:r w:rsidR="00C16C1B" w:rsidRPr="00F2530E">
        <w:rPr>
          <w:rFonts w:ascii="Times New Roman" w:eastAsia="Times New Roman" w:hAnsi="Times New Roman" w:cs="Times New Roman"/>
          <w:color w:val="000000" w:themeColor="text1"/>
          <w:sz w:val="24"/>
          <w:szCs w:val="24"/>
          <w:lang w:eastAsia="sk-SK"/>
        </w:rPr>
        <w:t>/A</w:t>
      </w:r>
      <w:r w:rsidRPr="00F2530E">
        <w:rPr>
          <w:rFonts w:ascii="Times New Roman" w:eastAsia="Times New Roman" w:hAnsi="Times New Roman" w:cs="Times New Roman"/>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na základe detailných informácií o príjmoch, výdavkoch a financovaní uvedených v tabuľkách č. 3</w:t>
      </w:r>
      <w:r w:rsidR="00CE359E" w:rsidRPr="007B7470">
        <w:rPr>
          <w:rFonts w:ascii="Times New Roman" w:eastAsia="Times New Roman" w:hAnsi="Times New Roman" w:cs="Times New Roman"/>
          <w:color w:val="000000" w:themeColor="text1"/>
          <w:sz w:val="24"/>
          <w:szCs w:val="24"/>
          <w:lang w:eastAsia="sk-SK"/>
        </w:rPr>
        <w:t xml:space="preserve">, </w:t>
      </w:r>
      <w:r w:rsidR="00CE359E" w:rsidRPr="00F2530E">
        <w:rPr>
          <w:rFonts w:ascii="Times New Roman" w:eastAsia="Times New Roman" w:hAnsi="Times New Roman" w:cs="Times New Roman"/>
          <w:color w:val="000000" w:themeColor="text1"/>
          <w:sz w:val="24"/>
          <w:szCs w:val="24"/>
          <w:lang w:eastAsia="sk-SK"/>
        </w:rPr>
        <w:t>č. 4/A</w:t>
      </w:r>
      <w:r w:rsidRPr="00F2530E">
        <w:rPr>
          <w:rFonts w:ascii="Times New Roman" w:eastAsia="Times New Roman" w:hAnsi="Times New Roman" w:cs="Times New Roman"/>
          <w:color w:val="000000" w:themeColor="text1"/>
          <w:sz w:val="24"/>
          <w:szCs w:val="24"/>
          <w:lang w:eastAsia="sk-SK"/>
        </w:rPr>
        <w:t xml:space="preserve"> </w:t>
      </w:r>
      <w:proofErr w:type="spellStart"/>
      <w:r w:rsidRPr="007B7470">
        <w:rPr>
          <w:rFonts w:ascii="Times New Roman" w:eastAsia="Times New Roman" w:hAnsi="Times New Roman" w:cs="Times New Roman"/>
          <w:color w:val="000000" w:themeColor="text1"/>
          <w:sz w:val="24"/>
          <w:szCs w:val="24"/>
          <w:lang w:eastAsia="sk-SK"/>
        </w:rPr>
        <w:t>a</w:t>
      </w:r>
      <w:proofErr w:type="spellEnd"/>
      <w:r w:rsidRPr="007B7470">
        <w:rPr>
          <w:rFonts w:ascii="Times New Roman" w:eastAsia="Times New Roman" w:hAnsi="Times New Roman" w:cs="Times New Roman"/>
          <w:color w:val="000000" w:themeColor="text1"/>
          <w:sz w:val="24"/>
          <w:szCs w:val="24"/>
          <w:lang w:eastAsia="sk-SK"/>
        </w:rPr>
        <w:t xml:space="preserve"> č. 5. V prípade potreby je možné vložiť ďalšie riadky do tabuľky č. </w:t>
      </w:r>
      <w:r w:rsidRPr="00F2530E">
        <w:rPr>
          <w:rFonts w:ascii="Times New Roman" w:eastAsia="Times New Roman" w:hAnsi="Times New Roman" w:cs="Times New Roman"/>
          <w:color w:val="000000" w:themeColor="text1"/>
          <w:sz w:val="24"/>
          <w:szCs w:val="24"/>
          <w:lang w:eastAsia="sk-SK"/>
        </w:rPr>
        <w:t>1</w:t>
      </w:r>
      <w:r w:rsidR="00C16C1B" w:rsidRPr="00F2530E">
        <w:rPr>
          <w:rFonts w:ascii="Times New Roman" w:eastAsia="Times New Roman" w:hAnsi="Times New Roman" w:cs="Times New Roman"/>
          <w:color w:val="000000" w:themeColor="text1"/>
          <w:sz w:val="24"/>
          <w:szCs w:val="24"/>
          <w:lang w:eastAsia="sk-SK"/>
        </w:rPr>
        <w:t>/A</w:t>
      </w:r>
      <w:r w:rsidRPr="007B7470">
        <w:rPr>
          <w:rFonts w:ascii="Times New Roman" w:eastAsia="Times New Roman" w:hAnsi="Times New Roman" w:cs="Times New Roman"/>
          <w:color w:val="000000" w:themeColor="text1"/>
          <w:sz w:val="24"/>
          <w:szCs w:val="24"/>
          <w:lang w:eastAsia="sk-SK"/>
        </w:rPr>
        <w:t xml:space="preserve">, aby boli zaradené všetky subjekty verejnej správy, na ktoré má návrh vplyv. Ak sa vplyvom predkladaného materiálu príjmy/výdavky subjektu verejnej správy znížia, použije sa znamienko mínus (-), ak sa príjmy/výdavky subjektu verejnej správy zvýšia použije sa znamienko plus (+). </w:t>
      </w:r>
      <w:r w:rsidR="00D200BE" w:rsidRPr="007B7470">
        <w:rPr>
          <w:rFonts w:ascii="Times New Roman" w:eastAsia="Times New Roman" w:hAnsi="Times New Roman" w:cs="Times New Roman"/>
          <w:color w:val="000000" w:themeColor="text1"/>
          <w:sz w:val="24"/>
          <w:szCs w:val="24"/>
          <w:lang w:eastAsia="sk-SK"/>
        </w:rPr>
        <w:t xml:space="preserve">Vplyv na obce a VÚC v riadku „z toho vplyv nových úloh v zmysle ods. 2 Čl. 6 ústavného zákona č. 493/2011 Z. z. o rozpočtovej zodpovednosti“ sa vypĺňa v prípade zavedenia nových úloh </w:t>
      </w:r>
      <w:r w:rsidR="000B509B" w:rsidRPr="007B7470">
        <w:rPr>
          <w:rFonts w:ascii="Times New Roman" w:eastAsia="Times New Roman" w:hAnsi="Times New Roman" w:cs="Times New Roman"/>
          <w:color w:val="000000" w:themeColor="text1"/>
          <w:sz w:val="24"/>
          <w:szCs w:val="24"/>
          <w:lang w:eastAsia="sk-SK"/>
        </w:rPr>
        <w:t xml:space="preserve">pri úprave pôsobnosti </w:t>
      </w:r>
      <w:r w:rsidR="00D200BE" w:rsidRPr="007B7470">
        <w:rPr>
          <w:rFonts w:ascii="Times New Roman" w:eastAsia="Times New Roman" w:hAnsi="Times New Roman" w:cs="Times New Roman"/>
          <w:color w:val="000000" w:themeColor="text1"/>
          <w:sz w:val="24"/>
          <w:szCs w:val="24"/>
          <w:lang w:eastAsia="sk-SK"/>
        </w:rPr>
        <w:t xml:space="preserve">pre obce alebo vyššie územné celky, pričom štát na ich plnenie súčasne zabezpečí obci alebo vyššiemu územnému celku zodpovedajúce finančné prostriedky. </w:t>
      </w:r>
      <w:r w:rsidRPr="007B7470">
        <w:rPr>
          <w:rFonts w:ascii="Times New Roman" w:eastAsia="Times New Roman" w:hAnsi="Times New Roman" w:cs="Times New Roman"/>
          <w:color w:val="000000" w:themeColor="text1"/>
          <w:sz w:val="24"/>
          <w:szCs w:val="24"/>
          <w:lang w:eastAsia="sk-SK"/>
        </w:rPr>
        <w:t>V prípade, ak materiál má vplyv na rozpočet verejnej správy vyjadrený v metodike ESA 2010 (pričom na hotovostnom princípe k vplyvu nedochádza</w:t>
      </w:r>
      <w:r w:rsidR="004A4209" w:rsidRPr="004A4209">
        <w:t xml:space="preserve"> </w:t>
      </w:r>
      <w:r w:rsidR="004A4209" w:rsidRPr="004A4209">
        <w:rPr>
          <w:rFonts w:ascii="Times New Roman" w:eastAsia="Times New Roman" w:hAnsi="Times New Roman" w:cs="Times New Roman"/>
          <w:color w:val="000000" w:themeColor="text1"/>
          <w:sz w:val="24"/>
          <w:szCs w:val="24"/>
          <w:lang w:eastAsia="sk-SK"/>
        </w:rPr>
        <w:t>alebo sa hotovostný vplyv od vplyvu vyjadreného v metodike ESA 2010 odlišuje</w:t>
      </w:r>
      <w:r w:rsidRPr="007B7470">
        <w:rPr>
          <w:rFonts w:ascii="Times New Roman" w:eastAsia="Times New Roman" w:hAnsi="Times New Roman" w:cs="Times New Roman"/>
          <w:color w:val="000000" w:themeColor="text1"/>
          <w:sz w:val="24"/>
          <w:szCs w:val="24"/>
          <w:lang w:eastAsia="sk-SK"/>
        </w:rPr>
        <w:t>), je potrebné, aby predkladateľ v takýchto prípadoch uviedol v komentári aj vplyv na rozpočet vyjadrený v metodike ESA 2010.</w:t>
      </w:r>
      <w:r w:rsidR="00CE299A" w:rsidRPr="007B7470">
        <w:rPr>
          <w:rFonts w:ascii="Times New Roman" w:eastAsia="Times New Roman" w:hAnsi="Times New Roman" w:cs="Times New Roman"/>
          <w:color w:val="000000" w:themeColor="text1"/>
          <w:sz w:val="24"/>
          <w:szCs w:val="24"/>
          <w:lang w:eastAsia="sk-SK"/>
        </w:rPr>
        <w:t xml:space="preserve"> </w:t>
      </w:r>
      <w:r w:rsidR="00CE299A" w:rsidRPr="007B7470">
        <w:rPr>
          <w:rFonts w:ascii="Times New Roman" w:hAnsi="Times New Roman" w:cs="Times New Roman"/>
          <w:color w:val="000000" w:themeColor="text1"/>
          <w:sz w:val="24"/>
          <w:szCs w:val="24"/>
        </w:rPr>
        <w:t>Údaje sa uvádzajú za bežný rok a tri nasledujúce roky.</w:t>
      </w:r>
    </w:p>
    <w:p w14:paraId="371D344F" w14:textId="77777777" w:rsidR="00C16C1B" w:rsidRPr="007B7470" w:rsidRDefault="00C16C1B" w:rsidP="00D200BE">
      <w:pPr>
        <w:spacing w:after="0" w:line="240" w:lineRule="auto"/>
        <w:ind w:firstLine="708"/>
        <w:jc w:val="both"/>
        <w:rPr>
          <w:rFonts w:ascii="Times New Roman" w:hAnsi="Times New Roman" w:cs="Times New Roman"/>
          <w:color w:val="000000" w:themeColor="text1"/>
          <w:sz w:val="24"/>
          <w:szCs w:val="24"/>
        </w:rPr>
      </w:pPr>
    </w:p>
    <w:p w14:paraId="371D3450" w14:textId="77777777" w:rsidR="00C16C1B" w:rsidRPr="00F2530E" w:rsidRDefault="00C16C1B" w:rsidP="00D200BE">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F2530E">
        <w:rPr>
          <w:rFonts w:ascii="Times New Roman" w:eastAsia="Times New Roman" w:hAnsi="Times New Roman" w:cs="Times New Roman"/>
          <w:color w:val="000000" w:themeColor="text1"/>
          <w:sz w:val="24"/>
          <w:szCs w:val="24"/>
          <w:lang w:eastAsia="sk-SK"/>
        </w:rPr>
        <w:t xml:space="preserve">Vypĺňa informácie v tabuľke č. 1/B na základe </w:t>
      </w:r>
      <w:r w:rsidR="00CB04E9" w:rsidRPr="00F2530E">
        <w:rPr>
          <w:rFonts w:ascii="Times New Roman" w:eastAsia="Times New Roman" w:hAnsi="Times New Roman" w:cs="Times New Roman"/>
          <w:color w:val="000000" w:themeColor="text1"/>
          <w:sz w:val="24"/>
          <w:szCs w:val="24"/>
          <w:lang w:eastAsia="sk-SK"/>
        </w:rPr>
        <w:t>detailných informácií o</w:t>
      </w:r>
      <w:r w:rsidR="005C1A2B" w:rsidRPr="00F2530E">
        <w:rPr>
          <w:rFonts w:ascii="Times New Roman" w:eastAsia="Times New Roman" w:hAnsi="Times New Roman" w:cs="Times New Roman"/>
          <w:color w:val="000000" w:themeColor="text1"/>
          <w:sz w:val="24"/>
          <w:szCs w:val="24"/>
          <w:lang w:eastAsia="sk-SK"/>
        </w:rPr>
        <w:t> </w:t>
      </w:r>
      <w:r w:rsidR="00447C49" w:rsidRPr="00F2530E">
        <w:rPr>
          <w:rFonts w:ascii="Times New Roman" w:eastAsia="Times New Roman" w:hAnsi="Times New Roman" w:cs="Times New Roman"/>
          <w:color w:val="000000" w:themeColor="text1"/>
          <w:sz w:val="24"/>
          <w:szCs w:val="24"/>
          <w:lang w:eastAsia="sk-SK"/>
        </w:rPr>
        <w:t>vplyvoch</w:t>
      </w:r>
      <w:r w:rsidR="005C1A2B" w:rsidRPr="00F2530E">
        <w:rPr>
          <w:rFonts w:ascii="Times New Roman" w:eastAsia="Times New Roman" w:hAnsi="Times New Roman" w:cs="Times New Roman"/>
          <w:color w:val="000000" w:themeColor="text1"/>
          <w:sz w:val="24"/>
          <w:szCs w:val="24"/>
          <w:lang w:eastAsia="sk-SK"/>
        </w:rPr>
        <w:t xml:space="preserve"> v metodike ESA 2010</w:t>
      </w:r>
      <w:r w:rsidRPr="00F2530E">
        <w:rPr>
          <w:rFonts w:ascii="Times New Roman" w:eastAsia="Times New Roman" w:hAnsi="Times New Roman" w:cs="Times New Roman"/>
          <w:color w:val="000000" w:themeColor="text1"/>
          <w:sz w:val="24"/>
          <w:szCs w:val="24"/>
          <w:lang w:eastAsia="sk-SK"/>
        </w:rPr>
        <w:t xml:space="preserve"> a financ</w:t>
      </w:r>
      <w:r w:rsidR="00CB04E9" w:rsidRPr="00F2530E">
        <w:rPr>
          <w:rFonts w:ascii="Times New Roman" w:eastAsia="Times New Roman" w:hAnsi="Times New Roman" w:cs="Times New Roman"/>
          <w:color w:val="000000" w:themeColor="text1"/>
          <w:sz w:val="24"/>
          <w:szCs w:val="24"/>
          <w:lang w:eastAsia="sk-SK"/>
        </w:rPr>
        <w:t>ovaní uvedených v tabuľkách č. 4</w:t>
      </w:r>
      <w:r w:rsidR="00CE359E" w:rsidRPr="00F2530E">
        <w:rPr>
          <w:rFonts w:ascii="Times New Roman" w:eastAsia="Times New Roman" w:hAnsi="Times New Roman" w:cs="Times New Roman"/>
          <w:color w:val="000000" w:themeColor="text1"/>
          <w:sz w:val="24"/>
          <w:szCs w:val="24"/>
          <w:lang w:eastAsia="sk-SK"/>
        </w:rPr>
        <w:t>/B a</w:t>
      </w:r>
      <w:r w:rsidRPr="00F2530E">
        <w:rPr>
          <w:rFonts w:ascii="Times New Roman" w:eastAsia="Times New Roman" w:hAnsi="Times New Roman" w:cs="Times New Roman"/>
          <w:color w:val="000000" w:themeColor="text1"/>
          <w:sz w:val="24"/>
          <w:szCs w:val="24"/>
          <w:lang w:eastAsia="sk-SK"/>
        </w:rPr>
        <w:t xml:space="preserve"> č. 5. V prípade potreby je možné vložiť</w:t>
      </w:r>
      <w:r w:rsidR="00893B20" w:rsidRPr="00F2530E">
        <w:rPr>
          <w:rFonts w:ascii="Times New Roman" w:eastAsia="Times New Roman" w:hAnsi="Times New Roman" w:cs="Times New Roman"/>
          <w:color w:val="000000" w:themeColor="text1"/>
          <w:sz w:val="24"/>
          <w:szCs w:val="24"/>
          <w:lang w:eastAsia="sk-SK"/>
        </w:rPr>
        <w:t xml:space="preserve"> ďalšie riadky do tabuľky č. 1/B</w:t>
      </w:r>
      <w:r w:rsidRPr="00F2530E">
        <w:rPr>
          <w:rFonts w:ascii="Times New Roman" w:eastAsia="Times New Roman" w:hAnsi="Times New Roman" w:cs="Times New Roman"/>
          <w:color w:val="000000" w:themeColor="text1"/>
          <w:sz w:val="24"/>
          <w:szCs w:val="24"/>
          <w:lang w:eastAsia="sk-SK"/>
        </w:rPr>
        <w:t>, aby boli zaradené všetky subjekty verejnej správy, na ktoré má návrh vplyv.</w:t>
      </w:r>
      <w:r w:rsidR="00893B20" w:rsidRPr="00F2530E">
        <w:rPr>
          <w:rFonts w:ascii="Times New Roman" w:hAnsi="Times New Roman" w:cs="Times New Roman"/>
          <w:color w:val="000000" w:themeColor="text1"/>
          <w:sz w:val="24"/>
          <w:szCs w:val="24"/>
        </w:rPr>
        <w:t xml:space="preserve"> </w:t>
      </w:r>
      <w:r w:rsidR="004D169C" w:rsidRPr="00F2530E">
        <w:rPr>
          <w:rFonts w:ascii="Times New Roman" w:hAnsi="Times New Roman" w:cs="Times New Roman"/>
          <w:color w:val="000000" w:themeColor="text1"/>
          <w:sz w:val="24"/>
          <w:szCs w:val="24"/>
        </w:rPr>
        <w:t xml:space="preserve">V riadku „vplyv na limit verejných výdavkov ďalších súčastí rozpočtu verejnej správy“ sa uvádzajú napr. vplyvy </w:t>
      </w:r>
      <w:r w:rsidR="00A82EFF" w:rsidRPr="00F2530E">
        <w:rPr>
          <w:rFonts w:ascii="Times New Roman" w:hAnsi="Times New Roman" w:cs="Times New Roman"/>
          <w:color w:val="000000" w:themeColor="text1"/>
          <w:sz w:val="24"/>
          <w:szCs w:val="24"/>
        </w:rPr>
        <w:t xml:space="preserve">na </w:t>
      </w:r>
      <w:r w:rsidR="004D169C" w:rsidRPr="00F2530E">
        <w:rPr>
          <w:rFonts w:ascii="Times New Roman" w:hAnsi="Times New Roman" w:cs="Times New Roman"/>
          <w:color w:val="000000" w:themeColor="text1"/>
          <w:sz w:val="24"/>
          <w:szCs w:val="24"/>
        </w:rPr>
        <w:t xml:space="preserve">verejné zdravotné poistenie, zdravotnícke zariadenia, verejné vysoké školy a verejné výskumné inštitúcie. </w:t>
      </w:r>
      <w:r w:rsidR="00893B20" w:rsidRPr="00F2530E">
        <w:rPr>
          <w:rFonts w:ascii="Times New Roman" w:hAnsi="Times New Roman" w:cs="Times New Roman"/>
          <w:color w:val="000000" w:themeColor="text1"/>
          <w:sz w:val="24"/>
          <w:szCs w:val="24"/>
        </w:rPr>
        <w:t>L</w:t>
      </w:r>
      <w:r w:rsidR="00893B20" w:rsidRPr="00F2530E">
        <w:rPr>
          <w:rFonts w:ascii="Times New Roman" w:eastAsia="Times New Roman" w:hAnsi="Times New Roman" w:cs="Times New Roman"/>
          <w:color w:val="000000" w:themeColor="text1"/>
          <w:sz w:val="24"/>
          <w:szCs w:val="24"/>
          <w:lang w:eastAsia="sk-SK"/>
        </w:rPr>
        <w:t xml:space="preserve">imit verejných výdavkov sa nevzťahuje na výdavky územnej samosprávy, prostriedky z rozpočtu Európskej únie a prostriedky štátneho rozpočtu určené na financovanie spoločných programov Slovenskej republiky a Európskej únie, odvody Európskej únii, výdavky na správu dlhu verejnej správy, jednorazové výdavky a vplyv hospodárskeho cyklu na výdavky verejnej správy. Za prostriedky z rozpočtu Európskej únie sa považujú aj prostriedky mechanizmu na podporu obnovy </w:t>
      </w:r>
      <w:r w:rsidR="001F5D86" w:rsidRPr="00F2530E">
        <w:rPr>
          <w:rFonts w:ascii="Times New Roman" w:eastAsia="Times New Roman" w:hAnsi="Times New Roman" w:cs="Times New Roman"/>
          <w:color w:val="000000" w:themeColor="text1"/>
          <w:sz w:val="24"/>
          <w:szCs w:val="24"/>
          <w:lang w:eastAsia="sk-SK"/>
        </w:rPr>
        <w:t>a </w:t>
      </w:r>
      <w:r w:rsidR="00893B20" w:rsidRPr="00F2530E">
        <w:rPr>
          <w:rFonts w:ascii="Times New Roman" w:eastAsia="Times New Roman" w:hAnsi="Times New Roman" w:cs="Times New Roman"/>
          <w:color w:val="000000" w:themeColor="text1"/>
          <w:sz w:val="24"/>
          <w:szCs w:val="24"/>
          <w:lang w:eastAsia="sk-SK"/>
        </w:rPr>
        <w:t>odolnosti.</w:t>
      </w:r>
      <w:r w:rsidRPr="00F2530E">
        <w:rPr>
          <w:rFonts w:ascii="Times New Roman" w:eastAsia="Times New Roman" w:hAnsi="Times New Roman" w:cs="Times New Roman"/>
          <w:color w:val="000000" w:themeColor="text1"/>
          <w:sz w:val="24"/>
          <w:szCs w:val="24"/>
          <w:lang w:eastAsia="sk-SK"/>
        </w:rPr>
        <w:t xml:space="preserve"> Ak sa vplyvom</w:t>
      </w:r>
      <w:r w:rsidR="00CB04E9" w:rsidRPr="00F2530E">
        <w:rPr>
          <w:rFonts w:ascii="Times New Roman" w:eastAsia="Times New Roman" w:hAnsi="Times New Roman" w:cs="Times New Roman"/>
          <w:color w:val="000000" w:themeColor="text1"/>
          <w:sz w:val="24"/>
          <w:szCs w:val="24"/>
          <w:lang w:eastAsia="sk-SK"/>
        </w:rPr>
        <w:t xml:space="preserve"> predkladaného materiálu </w:t>
      </w:r>
      <w:r w:rsidR="00C64BDB" w:rsidRPr="00F2530E">
        <w:rPr>
          <w:rFonts w:ascii="Times New Roman" w:eastAsia="Times New Roman" w:hAnsi="Times New Roman" w:cs="Times New Roman"/>
          <w:color w:val="000000" w:themeColor="text1"/>
          <w:sz w:val="24"/>
          <w:szCs w:val="24"/>
          <w:lang w:eastAsia="sk-SK"/>
        </w:rPr>
        <w:t>vplyvy na limit verejných výdavkov</w:t>
      </w:r>
      <w:r w:rsidRPr="00F2530E">
        <w:rPr>
          <w:rFonts w:ascii="Times New Roman" w:eastAsia="Times New Roman" w:hAnsi="Times New Roman" w:cs="Times New Roman"/>
          <w:color w:val="000000" w:themeColor="text1"/>
          <w:sz w:val="24"/>
          <w:szCs w:val="24"/>
          <w:lang w:eastAsia="sk-SK"/>
        </w:rPr>
        <w:t xml:space="preserve"> znížia, použije sa zn</w:t>
      </w:r>
      <w:r w:rsidR="00CB04E9" w:rsidRPr="00F2530E">
        <w:rPr>
          <w:rFonts w:ascii="Times New Roman" w:eastAsia="Times New Roman" w:hAnsi="Times New Roman" w:cs="Times New Roman"/>
          <w:color w:val="000000" w:themeColor="text1"/>
          <w:sz w:val="24"/>
          <w:szCs w:val="24"/>
          <w:lang w:eastAsia="sk-SK"/>
        </w:rPr>
        <w:t xml:space="preserve">amienko mínus (-), ak sa </w:t>
      </w:r>
      <w:r w:rsidRPr="00F2530E">
        <w:rPr>
          <w:rFonts w:ascii="Times New Roman" w:eastAsia="Times New Roman" w:hAnsi="Times New Roman" w:cs="Times New Roman"/>
          <w:color w:val="000000" w:themeColor="text1"/>
          <w:sz w:val="24"/>
          <w:szCs w:val="24"/>
          <w:lang w:eastAsia="sk-SK"/>
        </w:rPr>
        <w:t>výdavky subjektu verejnej správy zvýšia použije sa znamienko plus (+).</w:t>
      </w:r>
    </w:p>
    <w:p w14:paraId="371D3451"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u w:val="single"/>
          <w:lang w:eastAsia="sk-SK"/>
        </w:rPr>
      </w:pPr>
    </w:p>
    <w:p w14:paraId="371D3452"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Posledným krokom v procese posudzovania vplyvov na rozpočet verejnej správy je uviesť, aká časť tohto vplyvu si vyžiada zmeny rozpočtu verejnej správy. V niektorých prípadoch by bolo možné výdavky návrhu zvažovať v priebehu rozpočtového procesu a zahrnúť potrebné výdavky (aspoň čiastočne) do rozpočtu alebo strednodobého rozpočtového rámca. Rovnako sa môžu na financovanie politík použiť iné ako rozpočtové zdroje, napr. dary, zdroje z podnikateľskej sféry alebo osobitné schémy financovania. V takýchto prípadoch nebude mať realizácia daného návrhu žiadne vplyvy na schválené rozpočtové limity. Časť vplyvu bude môcť dotknutý subjekt vykryť aj racionalizačnými opatreniami vedúcimi k úspore v iných výdavkoch.</w:t>
      </w:r>
    </w:p>
    <w:p w14:paraId="371D3453" w14:textId="77777777" w:rsidR="00EE28EB" w:rsidRPr="007B7470" w:rsidRDefault="00EE28EB"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14:paraId="371D3454" w14:textId="77777777" w:rsidR="00EE28EB" w:rsidRPr="007B7470" w:rsidRDefault="00EE28EB"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lastRenderedPageBreak/>
        <w:t>V prípade identifikovaného vplyvu na dlhodobú udržateľnosť verejných financií sa vypĺňajú informácie o vplyve na príjmy, výdavky a bilanciu verejných financií v p. b. HDP uvedené v tabuľke č. 6. Ak sa vplyvom predkladaného materiálu príjmy/výdavky znížia, použije sa znamienko mínus (-), ak sa príjmy/výdavky zvýšia, použije sa znamienko plus (+). Vypĺňa sa len v prípade zmien v I. a II. pilieri univerzálneho systému dôchodkového zabezpečenia s identifikovaným vplyvom od 0,1 % HDP (vrátane) na dlhodobom horizonte.</w:t>
      </w:r>
    </w:p>
    <w:p w14:paraId="371D3455"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u w:val="single"/>
          <w:lang w:eastAsia="sk-SK"/>
        </w:rPr>
      </w:pPr>
    </w:p>
    <w:p w14:paraId="371D3456"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Preskúma všetky uvedené návrhy financovania z hľadiska ich primeranosti vrátane posúdenia návrhu na vplyv na rozpočet verejnej správy</w:t>
      </w:r>
      <w:r w:rsidR="00EE28EB" w:rsidRPr="007B7470">
        <w:rPr>
          <w:rFonts w:ascii="Times New Roman" w:eastAsia="Times New Roman" w:hAnsi="Times New Roman" w:cs="Times New Roman"/>
          <w:color w:val="000000" w:themeColor="text1"/>
          <w:sz w:val="24"/>
          <w:szCs w:val="24"/>
          <w:lang w:eastAsia="sk-SK"/>
        </w:rPr>
        <w:t>, ako aj vplyv na dlhodobú udržateľnosť</w:t>
      </w:r>
      <w:r w:rsidRPr="007B7470">
        <w:rPr>
          <w:rFonts w:ascii="Times New Roman" w:eastAsia="Times New Roman" w:hAnsi="Times New Roman" w:cs="Times New Roman"/>
          <w:color w:val="000000" w:themeColor="text1"/>
          <w:sz w:val="24"/>
          <w:szCs w:val="24"/>
          <w:lang w:eastAsia="sk-SK"/>
        </w:rPr>
        <w:t>. Potvrdí, že sa uvádzajú všetky možné zdroje financovania návrhu. V prípade akýchkoľvek rozporov požiada predkladateľa, aby daný návrh upravil.</w:t>
      </w:r>
    </w:p>
    <w:p w14:paraId="371D3457" w14:textId="77777777" w:rsidR="007D5748" w:rsidRPr="007B7470" w:rsidRDefault="007D5748" w:rsidP="007D5748">
      <w:pPr>
        <w:spacing w:after="0" w:line="240" w:lineRule="auto"/>
        <w:jc w:val="both"/>
        <w:rPr>
          <w:rFonts w:ascii="Times New Roman" w:eastAsia="Times New Roman" w:hAnsi="Times New Roman" w:cs="Times New Roman"/>
          <w:b/>
          <w:bCs/>
          <w:color w:val="000000" w:themeColor="text1"/>
          <w:sz w:val="24"/>
          <w:szCs w:val="24"/>
          <w:lang w:eastAsia="sk-SK"/>
        </w:rPr>
      </w:pPr>
    </w:p>
    <w:p w14:paraId="371D3458" w14:textId="77777777" w:rsidR="00C16C1B" w:rsidRPr="007B7470" w:rsidRDefault="00C16C1B" w:rsidP="007D5748">
      <w:pPr>
        <w:spacing w:after="0" w:line="240" w:lineRule="auto"/>
        <w:jc w:val="both"/>
        <w:rPr>
          <w:rFonts w:ascii="Times New Roman" w:eastAsia="Times New Roman" w:hAnsi="Times New Roman" w:cs="Times New Roman"/>
          <w:b/>
          <w:bCs/>
          <w:color w:val="000000" w:themeColor="text1"/>
          <w:sz w:val="24"/>
          <w:szCs w:val="24"/>
          <w:lang w:eastAsia="sk-SK"/>
        </w:rPr>
      </w:pPr>
    </w:p>
    <w:p w14:paraId="371D3459" w14:textId="77777777" w:rsidR="007D5748" w:rsidRPr="007B7470" w:rsidRDefault="007D5748" w:rsidP="007D5748">
      <w:pPr>
        <w:spacing w:after="0" w:line="240" w:lineRule="auto"/>
        <w:jc w:val="both"/>
        <w:rPr>
          <w:rFonts w:ascii="Times New Roman" w:eastAsia="Times New Roman" w:hAnsi="Times New Roman" w:cs="Times New Roman"/>
          <w:b/>
          <w:bCs/>
          <w:iCs/>
          <w:color w:val="000000" w:themeColor="text1"/>
          <w:sz w:val="28"/>
          <w:szCs w:val="24"/>
          <w:u w:val="single"/>
          <w:lang w:eastAsia="sk-SK"/>
        </w:rPr>
      </w:pPr>
      <w:r w:rsidRPr="007B7470">
        <w:rPr>
          <w:rFonts w:ascii="Times New Roman" w:eastAsia="Times New Roman" w:hAnsi="Times New Roman" w:cs="Times New Roman"/>
          <w:b/>
          <w:bCs/>
          <w:iCs/>
          <w:color w:val="000000" w:themeColor="text1"/>
          <w:sz w:val="28"/>
          <w:szCs w:val="24"/>
          <w:u w:val="single"/>
          <w:lang w:eastAsia="sk-SK"/>
        </w:rPr>
        <w:t>Vyplnenie časti 2.2. Popis a charakteristika  návrhu</w:t>
      </w:r>
    </w:p>
    <w:p w14:paraId="371D345A" w14:textId="77777777" w:rsidR="007D5748" w:rsidRPr="007B7470" w:rsidRDefault="007D5748" w:rsidP="007D5748">
      <w:pPr>
        <w:spacing w:after="0" w:line="240" w:lineRule="auto"/>
        <w:rPr>
          <w:rFonts w:ascii="Times New Roman" w:eastAsia="Times New Roman" w:hAnsi="Times New Roman" w:cs="Times New Roman"/>
          <w:b/>
          <w:color w:val="000000" w:themeColor="text1"/>
          <w:sz w:val="24"/>
          <w:szCs w:val="24"/>
          <w:lang w:eastAsia="sk-SK"/>
        </w:rPr>
      </w:pPr>
    </w:p>
    <w:p w14:paraId="371D345B" w14:textId="77777777" w:rsidR="007D5748" w:rsidRPr="007B7470"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7B7470">
        <w:rPr>
          <w:rFonts w:ascii="Times New Roman" w:eastAsia="Times New Roman" w:hAnsi="Times New Roman" w:cs="Times New Roman"/>
          <w:b/>
          <w:bCs/>
          <w:iCs/>
          <w:color w:val="000000" w:themeColor="text1"/>
          <w:sz w:val="24"/>
          <w:szCs w:val="24"/>
          <w:lang w:eastAsia="sk-SK"/>
        </w:rPr>
        <w:t>2.2.1. Popis návrhu</w:t>
      </w:r>
    </w:p>
    <w:p w14:paraId="371D345C" w14:textId="77777777"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371D345D"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ab/>
        <w:t xml:space="preserve">Pre úplnosť sa táto časť </w:t>
      </w:r>
      <w:r w:rsidR="00C15212" w:rsidRPr="007B7470">
        <w:rPr>
          <w:rFonts w:ascii="Times New Roman" w:eastAsia="Times New Roman" w:hAnsi="Times New Roman" w:cs="Times New Roman"/>
          <w:color w:val="000000" w:themeColor="text1"/>
          <w:sz w:val="24"/>
          <w:szCs w:val="24"/>
          <w:lang w:eastAsia="sk-SK"/>
        </w:rPr>
        <w:t xml:space="preserve">uvádza </w:t>
      </w:r>
      <w:r w:rsidRPr="007B7470">
        <w:rPr>
          <w:rFonts w:ascii="Times New Roman" w:eastAsia="Times New Roman" w:hAnsi="Times New Roman" w:cs="Times New Roman"/>
          <w:color w:val="000000" w:themeColor="text1"/>
          <w:sz w:val="24"/>
          <w:szCs w:val="24"/>
          <w:lang w:eastAsia="sk-SK"/>
        </w:rPr>
        <w:t xml:space="preserve">aj </w:t>
      </w:r>
      <w:r w:rsidR="00C15212" w:rsidRPr="007B7470">
        <w:rPr>
          <w:rFonts w:ascii="Times New Roman" w:eastAsia="Times New Roman" w:hAnsi="Times New Roman" w:cs="Times New Roman"/>
          <w:color w:val="000000" w:themeColor="text1"/>
          <w:sz w:val="24"/>
          <w:szCs w:val="24"/>
          <w:lang w:eastAsia="sk-SK"/>
        </w:rPr>
        <w:t xml:space="preserve">v </w:t>
      </w:r>
      <w:r w:rsidRPr="007B7470">
        <w:rPr>
          <w:rFonts w:ascii="Times New Roman" w:eastAsia="Times New Roman" w:hAnsi="Times New Roman" w:cs="Times New Roman"/>
          <w:color w:val="000000" w:themeColor="text1"/>
          <w:sz w:val="24"/>
          <w:szCs w:val="24"/>
          <w:lang w:eastAsia="sk-SK"/>
        </w:rPr>
        <w:t>príloh</w:t>
      </w:r>
      <w:r w:rsidR="00C15212" w:rsidRPr="007B7470">
        <w:rPr>
          <w:rFonts w:ascii="Times New Roman" w:eastAsia="Times New Roman" w:hAnsi="Times New Roman" w:cs="Times New Roman"/>
          <w:color w:val="000000" w:themeColor="text1"/>
          <w:sz w:val="24"/>
          <w:szCs w:val="24"/>
          <w:lang w:eastAsia="sk-SK"/>
        </w:rPr>
        <w:t>e</w:t>
      </w:r>
      <w:r w:rsidRPr="007B7470">
        <w:rPr>
          <w:rFonts w:ascii="Times New Roman" w:eastAsia="Times New Roman" w:hAnsi="Times New Roman" w:cs="Times New Roman"/>
          <w:color w:val="000000" w:themeColor="text1"/>
          <w:sz w:val="24"/>
          <w:szCs w:val="24"/>
          <w:lang w:eastAsia="sk-SK"/>
        </w:rPr>
        <w:t xml:space="preserve"> č. 2, aj keď proces pripomienkového konania si môže vyžadovať takýto popis uvádzať samostatne v niektorej z iných častí predkladaného návrhu.</w:t>
      </w:r>
      <w:r w:rsidR="00CE299A" w:rsidRPr="007B7470">
        <w:rPr>
          <w:rFonts w:ascii="Times New Roman" w:eastAsia="Times New Roman" w:hAnsi="Times New Roman" w:cs="Times New Roman"/>
          <w:color w:val="000000" w:themeColor="text1"/>
          <w:sz w:val="24"/>
          <w:szCs w:val="24"/>
          <w:lang w:eastAsia="sk-SK"/>
        </w:rPr>
        <w:t xml:space="preserve"> </w:t>
      </w:r>
    </w:p>
    <w:p w14:paraId="371D345E" w14:textId="77777777"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371D345F"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color w:val="000000" w:themeColor="text1"/>
          <w:sz w:val="24"/>
          <w:szCs w:val="24"/>
          <w:lang w:eastAsia="sk-SK"/>
        </w:rPr>
        <w:t>: V príslušnej časti popíše predkladateľ svoj návrh. Popis by mal umožniť dotknutým subjektom identifikáciu svojich konkrétnych aktivít a ich vplyvov na vlastný rozpočet</w:t>
      </w:r>
      <w:r w:rsidR="00F40136" w:rsidRPr="007B7470">
        <w:rPr>
          <w:rFonts w:ascii="Times New Roman" w:eastAsia="Times New Roman" w:hAnsi="Times New Roman" w:cs="Times New Roman"/>
          <w:color w:val="000000" w:themeColor="text1"/>
          <w:sz w:val="24"/>
          <w:szCs w:val="24"/>
          <w:lang w:eastAsia="sk-SK"/>
        </w:rPr>
        <w:t xml:space="preserve"> a mal by obsahovať najmä</w:t>
      </w:r>
      <w:r w:rsidRPr="007B7470">
        <w:rPr>
          <w:rFonts w:ascii="Times New Roman" w:eastAsia="Times New Roman" w:hAnsi="Times New Roman" w:cs="Times New Roman"/>
          <w:color w:val="000000" w:themeColor="text1"/>
          <w:sz w:val="24"/>
          <w:szCs w:val="24"/>
          <w:lang w:eastAsia="sk-SK"/>
        </w:rPr>
        <w:t>:</w:t>
      </w:r>
    </w:p>
    <w:p w14:paraId="371D3460" w14:textId="77777777" w:rsidR="007D5748" w:rsidRPr="007B7470" w:rsidRDefault="007D5748" w:rsidP="007D5748">
      <w:pPr>
        <w:spacing w:after="0" w:line="240" w:lineRule="auto"/>
        <w:rPr>
          <w:rFonts w:ascii="Times New Roman" w:eastAsia="Times New Roman" w:hAnsi="Times New Roman" w:cs="Times New Roman"/>
          <w:bCs/>
          <w:i/>
          <w:iCs/>
          <w:color w:val="000000" w:themeColor="text1"/>
          <w:sz w:val="24"/>
          <w:szCs w:val="24"/>
          <w:lang w:eastAsia="sk-SK"/>
        </w:rPr>
      </w:pPr>
    </w:p>
    <w:p w14:paraId="371D3461" w14:textId="77777777" w:rsidR="007D5748" w:rsidRPr="007B7470" w:rsidRDefault="007D5748" w:rsidP="007D5748">
      <w:pPr>
        <w:numPr>
          <w:ilvl w:val="0"/>
          <w:numId w:val="1"/>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
          <w:iCs/>
          <w:color w:val="000000" w:themeColor="text1"/>
          <w:sz w:val="24"/>
          <w:szCs w:val="24"/>
          <w:lang w:eastAsia="sk-SK"/>
        </w:rPr>
        <w:t>Akú problematiku návrh rieši?</w:t>
      </w:r>
      <w:r w:rsidRPr="007B7470">
        <w:rPr>
          <w:rFonts w:ascii="Times New Roman" w:eastAsia="Times New Roman" w:hAnsi="Times New Roman" w:cs="Times New Roman"/>
          <w:color w:val="000000" w:themeColor="text1"/>
          <w:sz w:val="24"/>
          <w:szCs w:val="24"/>
          <w:lang w:eastAsia="sk-SK"/>
        </w:rPr>
        <w:t xml:space="preserve"> Jasne definovať problematiku a vysvetliť, ako ju návrh rieši. Uviesť aj iné alternatívy, o ktorých sa uvažovalo a prečo boli vylúčené. </w:t>
      </w:r>
    </w:p>
    <w:p w14:paraId="371D3462" w14:textId="77777777" w:rsidR="007D5748" w:rsidRPr="007B7470" w:rsidRDefault="00EA1E90" w:rsidP="007D5748">
      <w:pPr>
        <w:numPr>
          <w:ilvl w:val="0"/>
          <w:numId w:val="1"/>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
          <w:iCs/>
          <w:color w:val="000000" w:themeColor="text1"/>
          <w:sz w:val="24"/>
          <w:szCs w:val="24"/>
          <w:lang w:eastAsia="sk-SK"/>
        </w:rPr>
        <w:t>Ktoré subjekty</w:t>
      </w:r>
      <w:r w:rsidR="007D5748" w:rsidRPr="007B7470">
        <w:rPr>
          <w:rFonts w:ascii="Times New Roman" w:eastAsia="Times New Roman" w:hAnsi="Times New Roman" w:cs="Times New Roman"/>
          <w:bCs/>
          <w:i/>
          <w:iCs/>
          <w:color w:val="000000" w:themeColor="text1"/>
          <w:sz w:val="24"/>
          <w:szCs w:val="24"/>
          <w:lang w:eastAsia="sk-SK"/>
        </w:rPr>
        <w:t xml:space="preserve"> bud</w:t>
      </w:r>
      <w:r w:rsidR="00C51FD4" w:rsidRPr="007B7470">
        <w:rPr>
          <w:rFonts w:ascii="Times New Roman" w:eastAsia="Times New Roman" w:hAnsi="Times New Roman" w:cs="Times New Roman"/>
          <w:bCs/>
          <w:i/>
          <w:iCs/>
          <w:color w:val="000000" w:themeColor="text1"/>
          <w:sz w:val="24"/>
          <w:szCs w:val="24"/>
          <w:lang w:eastAsia="sk-SK"/>
        </w:rPr>
        <w:t>ú</w:t>
      </w:r>
      <w:r w:rsidR="007D5748" w:rsidRPr="007B7470">
        <w:rPr>
          <w:rFonts w:ascii="Times New Roman" w:eastAsia="Times New Roman" w:hAnsi="Times New Roman" w:cs="Times New Roman"/>
          <w:bCs/>
          <w:i/>
          <w:iCs/>
          <w:color w:val="000000" w:themeColor="text1"/>
          <w:sz w:val="24"/>
          <w:szCs w:val="24"/>
          <w:lang w:eastAsia="sk-SK"/>
        </w:rPr>
        <w:t xml:space="preserve"> implementovať návrh?</w:t>
      </w:r>
      <w:r w:rsidR="007D5748" w:rsidRPr="007B7470">
        <w:rPr>
          <w:rFonts w:ascii="Times New Roman" w:eastAsia="Times New Roman" w:hAnsi="Times New Roman" w:cs="Times New Roman"/>
          <w:color w:val="000000" w:themeColor="text1"/>
          <w:sz w:val="24"/>
          <w:szCs w:val="24"/>
          <w:lang w:eastAsia="sk-SK"/>
        </w:rPr>
        <w:t xml:space="preserve"> Popíšte jednotlivé úlohy rôznych organizácií.</w:t>
      </w:r>
    </w:p>
    <w:p w14:paraId="371D3463" w14:textId="77777777" w:rsidR="007D5748" w:rsidRPr="007B7470" w:rsidRDefault="00057135" w:rsidP="007D5748">
      <w:pPr>
        <w:numPr>
          <w:ilvl w:val="0"/>
          <w:numId w:val="1"/>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
          <w:iCs/>
          <w:color w:val="000000" w:themeColor="text1"/>
          <w:sz w:val="24"/>
          <w:szCs w:val="24"/>
          <w:lang w:eastAsia="sk-SK"/>
        </w:rPr>
        <w:t xml:space="preserve">Na akej úrovni </w:t>
      </w:r>
      <w:r w:rsidR="007D5748" w:rsidRPr="007B7470">
        <w:rPr>
          <w:rFonts w:ascii="Times New Roman" w:eastAsia="Times New Roman" w:hAnsi="Times New Roman" w:cs="Times New Roman"/>
          <w:bCs/>
          <w:i/>
          <w:iCs/>
          <w:color w:val="000000" w:themeColor="text1"/>
          <w:sz w:val="24"/>
          <w:szCs w:val="24"/>
          <w:lang w:eastAsia="sk-SK"/>
        </w:rPr>
        <w:t>sa budú poskytovať výkony verejnej správy?</w:t>
      </w:r>
      <w:r w:rsidR="007D5748" w:rsidRPr="007B7470">
        <w:rPr>
          <w:rFonts w:ascii="Times New Roman" w:eastAsia="Times New Roman" w:hAnsi="Times New Roman" w:cs="Times New Roman"/>
          <w:color w:val="000000" w:themeColor="text1"/>
          <w:sz w:val="24"/>
          <w:szCs w:val="24"/>
          <w:lang w:eastAsia="sk-SK"/>
        </w:rPr>
        <w:t xml:space="preserve"> Budú sa poskytovať celonárodne alebo regionálne? Koľko subjektov môže poskytnúť daný tovar / službu?</w:t>
      </w:r>
    </w:p>
    <w:p w14:paraId="371D3464" w14:textId="77777777"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371D3465" w14:textId="77777777" w:rsidR="007D5748" w:rsidRPr="007B7470"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7B7470">
        <w:rPr>
          <w:rFonts w:ascii="Times New Roman" w:eastAsia="Times New Roman" w:hAnsi="Times New Roman" w:cs="Times New Roman"/>
          <w:b/>
          <w:bCs/>
          <w:iCs/>
          <w:color w:val="000000" w:themeColor="text1"/>
          <w:sz w:val="24"/>
          <w:szCs w:val="24"/>
          <w:lang w:eastAsia="sk-SK"/>
        </w:rPr>
        <w:t>2.2.2. Charakteristika návrhu</w:t>
      </w:r>
    </w:p>
    <w:p w14:paraId="371D3466" w14:textId="77777777"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371D3467"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color w:val="000000" w:themeColor="text1"/>
          <w:sz w:val="24"/>
          <w:szCs w:val="24"/>
          <w:lang w:eastAsia="sk-SK"/>
        </w:rPr>
        <w:t>: Charakterizuje návrh na základe uvedených kategórií. Táto charakteristika by mala napomôcť ostatným dotknutým subjektom pochopiť podstatu návrhu a uľahčiť tým pripomienkovanie doložky.  Jednotlivé druhy návrhov sú detailne popísané nižšie:</w:t>
      </w:r>
    </w:p>
    <w:p w14:paraId="371D3468"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371D3469" w14:textId="77777777" w:rsidR="007D5748" w:rsidRPr="007B7470" w:rsidRDefault="007D5748" w:rsidP="007D5748">
      <w:pPr>
        <w:numPr>
          <w:ilvl w:val="0"/>
          <w:numId w:val="2"/>
        </w:numPr>
        <w:spacing w:after="0" w:line="240" w:lineRule="auto"/>
        <w:jc w:val="both"/>
        <w:outlineLvl w:val="3"/>
        <w:rPr>
          <w:rFonts w:ascii="Times New Roman" w:eastAsia="Times New Roman" w:hAnsi="Times New Roman" w:cs="Times New Roman"/>
          <w:bCs/>
          <w:color w:val="000000" w:themeColor="text1"/>
          <w:sz w:val="24"/>
          <w:szCs w:val="24"/>
          <w:lang w:eastAsia="sk-SK"/>
        </w:rPr>
      </w:pPr>
      <w:r w:rsidRPr="007B7470">
        <w:rPr>
          <w:rFonts w:ascii="Times New Roman" w:eastAsia="Times New Roman" w:hAnsi="Times New Roman" w:cs="Times New Roman"/>
          <w:b/>
          <w:i/>
          <w:iCs/>
          <w:color w:val="000000" w:themeColor="text1"/>
          <w:kern w:val="20"/>
          <w:sz w:val="24"/>
          <w:szCs w:val="24"/>
        </w:rPr>
        <w:t>zmena sadzby</w:t>
      </w:r>
      <w:r w:rsidRPr="007B7470">
        <w:rPr>
          <w:rFonts w:ascii="Verdana" w:eastAsia="Times New Roman" w:hAnsi="Verdana" w:cs="Verdana"/>
          <w:bCs/>
          <w:color w:val="000000" w:themeColor="text1"/>
          <w:kern w:val="20"/>
          <w:sz w:val="24"/>
          <w:szCs w:val="24"/>
        </w:rPr>
        <w:t xml:space="preserve"> – </w:t>
      </w:r>
      <w:r w:rsidRPr="007B7470">
        <w:rPr>
          <w:rFonts w:ascii="Times New Roman" w:eastAsia="Times New Roman" w:hAnsi="Times New Roman" w:cs="Times New Roman"/>
          <w:bCs/>
          <w:color w:val="000000" w:themeColor="text1"/>
          <w:sz w:val="24"/>
          <w:szCs w:val="24"/>
          <w:lang w:eastAsia="sk-SK"/>
        </w:rPr>
        <w:t>návrh mení sadzbu dane alebo poplatkov alebo upravuje nominálnu (peňažnú) výšku dávky, napr. dávok štátnej sociálnej podpory. Určiť vplyv na rozpočet verejnej správy takéhoto návrhu je dosť jednoduché, keďže ide o priamy výpočet novej sadzby pre nezmenený objem aktivít (napr. počet osôb alebo transakcií), ktorých sa týka. Pravdepodobne nebudú potrebné žiadne ďalšie úpravy rozpočtu, napr. zníženie alebo zvýšenie počtu pracovníkov alebo vybavenia.</w:t>
      </w:r>
    </w:p>
    <w:p w14:paraId="371D346A" w14:textId="77777777" w:rsidR="007D5748" w:rsidRPr="007B7470" w:rsidRDefault="007D5748" w:rsidP="007D5748">
      <w:pPr>
        <w:spacing w:after="0" w:line="240" w:lineRule="auto"/>
        <w:ind w:left="708"/>
        <w:jc w:val="both"/>
        <w:outlineLvl w:val="3"/>
        <w:rPr>
          <w:rFonts w:ascii="Verdana" w:eastAsia="Times New Roman" w:hAnsi="Verdana" w:cs="Verdana"/>
          <w:bCs/>
          <w:color w:val="000000" w:themeColor="text1"/>
          <w:kern w:val="20"/>
          <w:sz w:val="24"/>
          <w:szCs w:val="24"/>
          <w:u w:val="single"/>
        </w:rPr>
      </w:pPr>
      <w:r w:rsidRPr="007B7470">
        <w:rPr>
          <w:rFonts w:ascii="Times New Roman" w:eastAsia="Times New Roman" w:hAnsi="Times New Roman" w:cs="Times New Roman"/>
          <w:bCs/>
          <w:color w:val="000000" w:themeColor="text1"/>
          <w:sz w:val="24"/>
          <w:szCs w:val="24"/>
          <w:lang w:eastAsia="sk-SK"/>
        </w:rPr>
        <w:t>Pri výpočte vplyvov zmeny sadzby treba brať do úvahy aj tzv. “elasticitu dopytu”, keď napr. nárast daňovej sadzby napríklad na pohonné hmoty nespôsobí lineárne zvýšenie celkových príjmov z tejto dane.</w:t>
      </w:r>
    </w:p>
    <w:p w14:paraId="371D346B" w14:textId="77777777" w:rsidR="007D5748" w:rsidRPr="007B7470" w:rsidRDefault="007D5748" w:rsidP="007D5748">
      <w:pPr>
        <w:numPr>
          <w:ilvl w:val="0"/>
          <w:numId w:val="2"/>
        </w:numPr>
        <w:spacing w:after="0" w:line="240" w:lineRule="auto"/>
        <w:jc w:val="both"/>
        <w:outlineLvl w:val="3"/>
        <w:rPr>
          <w:rFonts w:ascii="Times New Roman" w:eastAsia="Times New Roman" w:hAnsi="Times New Roman" w:cs="Times New Roman"/>
          <w:bCs/>
          <w:color w:val="000000" w:themeColor="text1"/>
          <w:sz w:val="24"/>
          <w:szCs w:val="24"/>
          <w:lang w:eastAsia="sk-SK"/>
        </w:rPr>
      </w:pPr>
      <w:r w:rsidRPr="007B7470">
        <w:rPr>
          <w:rFonts w:ascii="Times New Roman" w:eastAsia="Times New Roman" w:hAnsi="Times New Roman" w:cs="Times New Roman"/>
          <w:b/>
          <w:i/>
          <w:iCs/>
          <w:color w:val="000000" w:themeColor="text1"/>
          <w:kern w:val="20"/>
          <w:sz w:val="24"/>
          <w:szCs w:val="24"/>
        </w:rPr>
        <w:t>zmena v nároku</w:t>
      </w:r>
      <w:r w:rsidRPr="007B7470">
        <w:rPr>
          <w:rFonts w:ascii="Times New Roman" w:eastAsia="Times New Roman" w:hAnsi="Times New Roman" w:cs="Times New Roman"/>
          <w:b/>
          <w:bCs/>
          <w:color w:val="000000" w:themeColor="text1"/>
          <w:sz w:val="28"/>
          <w:szCs w:val="28"/>
          <w:lang w:eastAsia="sk-SK"/>
        </w:rPr>
        <w:t xml:space="preserve"> </w:t>
      </w:r>
      <w:r w:rsidRPr="007B7470">
        <w:rPr>
          <w:rFonts w:ascii="Times New Roman" w:eastAsia="Times New Roman" w:hAnsi="Times New Roman" w:cs="Times New Roman"/>
          <w:bCs/>
          <w:color w:val="000000" w:themeColor="text1"/>
          <w:sz w:val="24"/>
          <w:szCs w:val="24"/>
          <w:lang w:eastAsia="sk-SK"/>
        </w:rPr>
        <w:t>– návrh upravuje definíciu okruhu osôb, ktoré majú nárok na dávku alebo ktorých sa dotýka určité ustanovenia zákona, t.</w:t>
      </w:r>
      <w:r w:rsidR="001F5D86">
        <w:rPr>
          <w:rFonts w:ascii="Times New Roman" w:eastAsia="Times New Roman" w:hAnsi="Times New Roman" w:cs="Times New Roman"/>
          <w:bCs/>
          <w:color w:val="000000" w:themeColor="text1"/>
          <w:sz w:val="24"/>
          <w:szCs w:val="24"/>
          <w:lang w:eastAsia="sk-SK"/>
        </w:rPr>
        <w:t> </w:t>
      </w:r>
      <w:r w:rsidRPr="007B7470">
        <w:rPr>
          <w:rFonts w:ascii="Times New Roman" w:eastAsia="Times New Roman" w:hAnsi="Times New Roman" w:cs="Times New Roman"/>
          <w:bCs/>
          <w:color w:val="000000" w:themeColor="text1"/>
          <w:sz w:val="24"/>
          <w:szCs w:val="24"/>
          <w:lang w:eastAsia="sk-SK"/>
        </w:rPr>
        <w:t xml:space="preserve">j. znižuje alebo zvyšuje počet </w:t>
      </w:r>
      <w:r w:rsidRPr="007B7470">
        <w:rPr>
          <w:rFonts w:ascii="Times New Roman" w:eastAsia="Times New Roman" w:hAnsi="Times New Roman" w:cs="Times New Roman"/>
          <w:bCs/>
          <w:color w:val="000000" w:themeColor="text1"/>
          <w:sz w:val="24"/>
          <w:szCs w:val="24"/>
          <w:lang w:eastAsia="sk-SK"/>
        </w:rPr>
        <w:lastRenderedPageBreak/>
        <w:t>osôb, ktoré si môžu uplatniť nárok. Vypočítať vplyv na rozpočet verejnej správy pri tomto druhu návrhu je trochu komplikovanejšie, keďže implementujúca organizácia musí vziať do úvahy niekoľko faktorov. Organizácia musí odhadnúť zmeny, ktoré vyplývajú z návrhu na svoj rozpočet. Predpokladá sa, že nižší objem aktivít povedie k úsporám. Ak nie, je potrebné jednoznačne vysvetliť dôvody. K dispozícii by mali byť aj informácie o nákladoch v minulosti, na základe ktorých sa môže urobiť odhad.</w:t>
      </w:r>
    </w:p>
    <w:p w14:paraId="371D346C"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
          <w:bCs/>
          <w:i/>
          <w:iCs/>
          <w:color w:val="000000" w:themeColor="text1"/>
          <w:sz w:val="24"/>
          <w:szCs w:val="24"/>
          <w:lang w:eastAsia="sk-SK"/>
        </w:rPr>
        <w:t>nová služba alebo nariadenie (alebo ich zrušenie)</w:t>
      </w:r>
      <w:r w:rsidRPr="007B7470">
        <w:rPr>
          <w:rFonts w:ascii="Times New Roman" w:eastAsia="Times New Roman" w:hAnsi="Times New Roman" w:cs="Times New Roman"/>
          <w:color w:val="000000" w:themeColor="text1"/>
          <w:sz w:val="24"/>
          <w:szCs w:val="24"/>
          <w:lang w:eastAsia="sk-SK"/>
        </w:rPr>
        <w:t xml:space="preserve"> – návrh zavádza novú službu alebo nariadenie v oblasti, v ktorej tieto doposiaľ neexistovali, alebo sa navrhuje zníženie rozsahu alebo úplné zrušenie existujúcej služby či nariadenia.</w:t>
      </w:r>
    </w:p>
    <w:p w14:paraId="371D346D" w14:textId="77777777" w:rsidR="007D5748" w:rsidRPr="007B7470" w:rsidRDefault="007D5748" w:rsidP="007D5748">
      <w:pPr>
        <w:spacing w:after="0" w:line="240" w:lineRule="auto"/>
        <w:ind w:left="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Tento návrh predstavuje veľkú výzvu pri odhadovaní nákladov, nakoľko pre takéto činnosti nemusí byť k dispozícii dostatok údajov. V takom prípade bude dôležité podrobne vysvetliť predpoklady.</w:t>
      </w:r>
    </w:p>
    <w:p w14:paraId="371D346E"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
          <w:bCs/>
          <w:i/>
          <w:iCs/>
          <w:color w:val="000000" w:themeColor="text1"/>
          <w:sz w:val="24"/>
          <w:szCs w:val="24"/>
          <w:lang w:eastAsia="sk-SK"/>
        </w:rPr>
        <w:t>kombinovaný návrh</w:t>
      </w:r>
      <w:r w:rsidRPr="007B7470">
        <w:rPr>
          <w:rFonts w:ascii="Times New Roman" w:eastAsia="Times New Roman" w:hAnsi="Times New Roman" w:cs="Times New Roman"/>
          <w:color w:val="000000" w:themeColor="text1"/>
          <w:sz w:val="24"/>
          <w:szCs w:val="24"/>
          <w:lang w:eastAsia="sk-SK"/>
        </w:rPr>
        <w:t xml:space="preserve"> – tento druh návrhu môže kombinovať prvky vyššie uvedených druhov, čím sa zvyšuje komplexnosť prípravy návrhu doložky.</w:t>
      </w:r>
    </w:p>
    <w:p w14:paraId="371D346F"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
          <w:bCs/>
          <w:i/>
          <w:iCs/>
          <w:color w:val="000000" w:themeColor="text1"/>
          <w:sz w:val="24"/>
          <w:szCs w:val="24"/>
          <w:lang w:eastAsia="sk-SK"/>
        </w:rPr>
        <w:t>iné</w:t>
      </w:r>
      <w:r w:rsidRPr="007B7470">
        <w:rPr>
          <w:rFonts w:ascii="Times New Roman" w:eastAsia="Times New Roman" w:hAnsi="Times New Roman" w:cs="Times New Roman"/>
          <w:b/>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 používa sa na popis ostatných typov, ktoré nie sú pokryté v </w:t>
      </w:r>
      <w:r w:rsidR="008E2736" w:rsidRPr="007B7470">
        <w:rPr>
          <w:rFonts w:ascii="Times New Roman" w:eastAsia="Times New Roman" w:hAnsi="Times New Roman" w:cs="Times New Roman"/>
          <w:color w:val="000000" w:themeColor="text1"/>
          <w:sz w:val="24"/>
          <w:szCs w:val="24"/>
          <w:lang w:eastAsia="sk-SK"/>
        </w:rPr>
        <w:t>štyroch</w:t>
      </w:r>
      <w:r w:rsidRPr="007B7470">
        <w:rPr>
          <w:rFonts w:ascii="Times New Roman" w:eastAsia="Times New Roman" w:hAnsi="Times New Roman" w:cs="Times New Roman"/>
          <w:color w:val="000000" w:themeColor="text1"/>
          <w:sz w:val="24"/>
          <w:szCs w:val="24"/>
          <w:lang w:eastAsia="sk-SK"/>
        </w:rPr>
        <w:t xml:space="preserve"> druhoch uvedených vyššie.</w:t>
      </w:r>
    </w:p>
    <w:p w14:paraId="371D3470"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371D3471" w14:textId="77777777" w:rsidR="007D5748" w:rsidRPr="007B7470"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7B7470">
        <w:rPr>
          <w:rFonts w:ascii="Times New Roman" w:eastAsia="Times New Roman" w:hAnsi="Times New Roman" w:cs="Times New Roman"/>
          <w:b/>
          <w:bCs/>
          <w:iCs/>
          <w:color w:val="000000" w:themeColor="text1"/>
          <w:sz w:val="24"/>
          <w:szCs w:val="24"/>
          <w:lang w:eastAsia="sk-SK"/>
        </w:rPr>
        <w:t>2.2.3. Predpoklady zmien v objeme aktivít</w:t>
      </w:r>
    </w:p>
    <w:p w14:paraId="371D3472" w14:textId="77777777" w:rsidR="007D5748" w:rsidRPr="007B7470" w:rsidRDefault="007D5748" w:rsidP="007D5748">
      <w:pPr>
        <w:spacing w:after="0" w:line="240" w:lineRule="auto"/>
        <w:rPr>
          <w:rFonts w:ascii="Times New Roman" w:eastAsia="Times New Roman" w:hAnsi="Times New Roman" w:cs="Times New Roman"/>
          <w:b/>
          <w:color w:val="000000" w:themeColor="text1"/>
          <w:sz w:val="24"/>
          <w:szCs w:val="24"/>
          <w:lang w:eastAsia="sk-SK"/>
        </w:rPr>
      </w:pPr>
    </w:p>
    <w:p w14:paraId="371D3473"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color w:val="000000" w:themeColor="text1"/>
          <w:sz w:val="24"/>
          <w:szCs w:val="24"/>
          <w:lang w:eastAsia="sk-SK"/>
        </w:rPr>
        <w:t xml:space="preserve">: Od predkladateľa sa požaduje, aby určil zvýšenie alebo zníženie objemu aktivít, ktoré môže návrh vyvolať. Napríklad ak návrh požaduje každoročne preverovať kriminálne záznamy všetkých príslušníkov súkromných bezpečnostných služieb, je potrebné uviesť počet osôb (príslušníkov bezpečnostných služieb), ktorí by mali byť skontrolovaní. Ďalšími príkladmi objemu aktivít môže byť počet prihlášok, inšpekcií, prijímateľov dávok, alebo zatknutí. Pretože sa vyžadujú odhady na  bežný rok a 3 nasledujúce roky, je potrebné odhadnúť objem aktivít počas tohto </w:t>
      </w:r>
      <w:r w:rsidR="008E2736" w:rsidRPr="007B7470">
        <w:rPr>
          <w:rFonts w:ascii="Times New Roman" w:eastAsia="Times New Roman" w:hAnsi="Times New Roman" w:cs="Times New Roman"/>
          <w:color w:val="000000" w:themeColor="text1"/>
          <w:sz w:val="24"/>
          <w:szCs w:val="24"/>
          <w:lang w:eastAsia="sk-SK"/>
        </w:rPr>
        <w:t>štvor</w:t>
      </w:r>
      <w:r w:rsidRPr="007B7470">
        <w:rPr>
          <w:rFonts w:ascii="Times New Roman" w:eastAsia="Times New Roman" w:hAnsi="Times New Roman" w:cs="Times New Roman"/>
          <w:color w:val="000000" w:themeColor="text1"/>
          <w:sz w:val="24"/>
          <w:szCs w:val="24"/>
          <w:lang w:eastAsia="sk-SK"/>
        </w:rPr>
        <w:t>ročného obdobia. Príloha č. 2 preto obsahuje aj tabuľku č. 2 na ročné odhady objemu aktivít.</w:t>
      </w:r>
    </w:p>
    <w:p w14:paraId="371D3474"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14:paraId="371D3475"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Môže sa navrhovať aj zníženie objemu aktivít. Napríklad návrh zvýšiť limit pre verejné obstarávanie, kedy sa písomná ponuka bude požadovať iba pri obstarávacej cene dvojnásobne vyššej oproti súčasnému platnému právnemu stavu. </w:t>
      </w:r>
    </w:p>
    <w:p w14:paraId="371D3476"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V tomto prípade by mal byť uvedený aj odhad počtu takýchto nákupov ročne. Takáto úprava by obmedzila administratívnu záťaž subjektov verejnej správy a generovala by úspory v ich prevádzkových nákladoch.</w:t>
      </w:r>
    </w:p>
    <w:p w14:paraId="371D3477" w14:textId="77777777" w:rsidR="007D5748" w:rsidRPr="007B7470" w:rsidRDefault="007D5748" w:rsidP="007D5748">
      <w:pPr>
        <w:spacing w:after="0" w:line="240" w:lineRule="auto"/>
        <w:jc w:val="both"/>
        <w:rPr>
          <w:rFonts w:ascii="Times New Roman" w:eastAsia="Times New Roman" w:hAnsi="Times New Roman" w:cs="Verdana"/>
          <w:i/>
          <w:iCs/>
          <w:color w:val="000000" w:themeColor="text1"/>
          <w:sz w:val="24"/>
          <w:szCs w:val="24"/>
          <w:u w:val="single"/>
        </w:rPr>
      </w:pPr>
    </w:p>
    <w:p w14:paraId="371D3478" w14:textId="77777777" w:rsidR="007D5748" w:rsidRPr="007B7470" w:rsidRDefault="007D5748" w:rsidP="007D5748">
      <w:pPr>
        <w:spacing w:after="0" w:line="240" w:lineRule="auto"/>
        <w:ind w:firstLine="708"/>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bCs/>
          <w:iCs/>
          <w:color w:val="000000" w:themeColor="text1"/>
          <w:sz w:val="24"/>
          <w:szCs w:val="24"/>
        </w:rPr>
        <w:t>MF SR</w:t>
      </w:r>
      <w:r w:rsidRPr="007B7470">
        <w:rPr>
          <w:rFonts w:ascii="Times New Roman" w:eastAsia="Times New Roman" w:hAnsi="Times New Roman" w:cs="Verdana"/>
          <w:color w:val="000000" w:themeColor="text1"/>
          <w:sz w:val="24"/>
          <w:szCs w:val="24"/>
        </w:rPr>
        <w:t xml:space="preserve">: Počas konzultačnej fázy môže zhodnotiť MF SR predpoklady uvedené predkladateľom, </w:t>
      </w:r>
      <w:proofErr w:type="spellStart"/>
      <w:r w:rsidRPr="007B7470">
        <w:rPr>
          <w:rFonts w:ascii="Times New Roman" w:eastAsia="Times New Roman" w:hAnsi="Times New Roman" w:cs="Verdana"/>
          <w:color w:val="000000" w:themeColor="text1"/>
          <w:sz w:val="24"/>
          <w:szCs w:val="24"/>
        </w:rPr>
        <w:t>t.j</w:t>
      </w:r>
      <w:proofErr w:type="spellEnd"/>
      <w:r w:rsidRPr="007B7470">
        <w:rPr>
          <w:rFonts w:ascii="Times New Roman" w:eastAsia="Times New Roman" w:hAnsi="Times New Roman" w:cs="Verdana"/>
          <w:color w:val="000000" w:themeColor="text1"/>
          <w:sz w:val="24"/>
          <w:szCs w:val="24"/>
        </w:rPr>
        <w:t xml:space="preserve">. ich vhodnosť a konzistentnosť. </w:t>
      </w:r>
    </w:p>
    <w:p w14:paraId="371D3479" w14:textId="77777777"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14:paraId="371D347A" w14:textId="77777777" w:rsidR="007D5748" w:rsidRPr="007B7470" w:rsidRDefault="007D5748" w:rsidP="007D5748">
      <w:pPr>
        <w:spacing w:after="0" w:line="240" w:lineRule="auto"/>
        <w:rPr>
          <w:rFonts w:ascii="Times New Roman" w:eastAsia="Times New Roman" w:hAnsi="Times New Roman" w:cs="Verdana"/>
          <w:b/>
          <w:bCs/>
          <w:iCs/>
          <w:color w:val="000000" w:themeColor="text1"/>
          <w:sz w:val="24"/>
          <w:szCs w:val="24"/>
        </w:rPr>
      </w:pPr>
      <w:r w:rsidRPr="007B7470">
        <w:rPr>
          <w:rFonts w:ascii="Times New Roman" w:eastAsia="Times New Roman" w:hAnsi="Times New Roman" w:cs="Verdana"/>
          <w:b/>
          <w:bCs/>
          <w:iCs/>
          <w:color w:val="000000" w:themeColor="text1"/>
          <w:sz w:val="24"/>
          <w:szCs w:val="24"/>
        </w:rPr>
        <w:t>2.2.4. Výpočty vplyvov na rozpočet verejnej správy</w:t>
      </w:r>
    </w:p>
    <w:p w14:paraId="371D347B" w14:textId="77777777"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14:paraId="371D347C" w14:textId="77777777" w:rsidR="007D5748" w:rsidRPr="00832D8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color w:val="000000" w:themeColor="text1"/>
          <w:sz w:val="24"/>
          <w:szCs w:val="24"/>
          <w:lang w:eastAsia="sk-SK"/>
        </w:rPr>
        <w:t>V časti 2.2.4. prílohy č. 2 sa uvádzajú výpočty vplyvov na príjmy a výdavky, ktoré sa použijú v tabuľkách č. 3 až č. 5 prílohy č. 2. Výpočty a predpoklady ohľadom objemu aktivít pomôžu ostatným stranám (pripomienkujúcim subjektom, resp. MF SR) zhodnotiť, či boli vplyvy na príjmy a výdavky počítané správne. Rozsah tejto časti nie je obmedzený a je možné uviesť všetko, čo je potrebné na vysvetlenie výpočtu vplyvov návrhu, alebo je možné uviesť odkazy na tabuľky samostatne priložené k doložke</w:t>
      </w:r>
      <w:r w:rsidRPr="00832D80">
        <w:rPr>
          <w:rFonts w:ascii="Times New Roman" w:eastAsia="Times New Roman" w:hAnsi="Times New Roman" w:cs="Times New Roman"/>
          <w:sz w:val="24"/>
          <w:szCs w:val="24"/>
          <w:lang w:eastAsia="sk-SK"/>
        </w:rPr>
        <w:t>.</w:t>
      </w:r>
      <w:r w:rsidR="00087A66" w:rsidRPr="00832D80">
        <w:rPr>
          <w:rFonts w:ascii="Times New Roman" w:eastAsia="Times New Roman" w:hAnsi="Times New Roman" w:cs="Times New Roman"/>
          <w:sz w:val="24"/>
          <w:szCs w:val="24"/>
          <w:lang w:eastAsia="sk-SK"/>
        </w:rPr>
        <w:t xml:space="preserve"> Zároveň je v tejto časti potrebné uviesť priamy vplyv navrhovanej legislatívnej zmeny alebo priamy vplyv nelegislatívnej zmeny, t. j. kvantifikácia stavu bez navrhovanej legislatívnej/nelegislatívnej zmeny, kvantifikácia stavu s navrhovanou legislatívnou zmenou/nelegislatívnou zmenou a ich rozdiel ako vplyv navrhovanej legislatívnej zmeny/nelegislatívnej zmeny.</w:t>
      </w:r>
    </w:p>
    <w:p w14:paraId="371D347D"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371D347E" w14:textId="77777777" w:rsidR="007D5748" w:rsidRPr="007B7470" w:rsidRDefault="007D5748" w:rsidP="007D5748">
      <w:pPr>
        <w:spacing w:after="0" w:line="240" w:lineRule="auto"/>
        <w:rPr>
          <w:rFonts w:ascii="Times New Roman" w:eastAsia="Times New Roman" w:hAnsi="Times New Roman" w:cs="Verdana"/>
          <w:b/>
          <w:bCs/>
          <w:i/>
          <w:iCs/>
          <w:color w:val="000000" w:themeColor="text1"/>
          <w:sz w:val="24"/>
          <w:szCs w:val="24"/>
        </w:rPr>
      </w:pPr>
      <w:r w:rsidRPr="007B7470">
        <w:rPr>
          <w:rFonts w:ascii="Times New Roman" w:eastAsia="Times New Roman" w:hAnsi="Times New Roman" w:cs="Verdana"/>
          <w:b/>
          <w:bCs/>
          <w:i/>
          <w:iCs/>
          <w:color w:val="000000" w:themeColor="text1"/>
          <w:sz w:val="24"/>
          <w:szCs w:val="24"/>
        </w:rPr>
        <w:t>Výpočet vplyvu na príjmy</w:t>
      </w:r>
    </w:p>
    <w:p w14:paraId="371D347F" w14:textId="77777777" w:rsidR="007D5748" w:rsidRPr="007B7470" w:rsidRDefault="007D5748" w:rsidP="007D5748">
      <w:pPr>
        <w:spacing w:after="0" w:line="240" w:lineRule="auto"/>
        <w:jc w:val="both"/>
        <w:rPr>
          <w:rFonts w:ascii="Times New Roman" w:eastAsia="Times New Roman" w:hAnsi="Times New Roman" w:cs="Verdana"/>
          <w:b/>
          <w:i/>
          <w:iCs/>
          <w:color w:val="000000" w:themeColor="text1"/>
          <w:sz w:val="24"/>
          <w:szCs w:val="24"/>
        </w:rPr>
      </w:pPr>
    </w:p>
    <w:p w14:paraId="371D3480"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Uvedie výpočty vplyvov na príjmy na základe predpokladaných objemov aktivít uvedených v časti 2.2.3. prílohy č. 2.</w:t>
      </w:r>
    </w:p>
    <w:p w14:paraId="371D3481" w14:textId="77777777" w:rsidR="007D5748" w:rsidRPr="007B7470" w:rsidRDefault="007D5748" w:rsidP="007D5748">
      <w:pPr>
        <w:spacing w:after="0" w:line="240" w:lineRule="auto"/>
        <w:ind w:firstLine="708"/>
        <w:jc w:val="both"/>
        <w:rPr>
          <w:rFonts w:ascii="Times New Roman" w:eastAsia="Times New Roman" w:hAnsi="Times New Roman" w:cs="Times New Roman"/>
          <w:bCs/>
          <w:iCs/>
          <w:color w:val="000000" w:themeColor="text1"/>
          <w:sz w:val="24"/>
          <w:szCs w:val="24"/>
          <w:lang w:eastAsia="sk-SK"/>
        </w:rPr>
      </w:pPr>
    </w:p>
    <w:p w14:paraId="371D3482"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Cs/>
          <w:color w:val="000000" w:themeColor="text1"/>
          <w:sz w:val="24"/>
          <w:szCs w:val="24"/>
          <w:lang w:eastAsia="sk-SK"/>
        </w:rPr>
        <w:t>:</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 xml:space="preserve">Skontroluje logiku týchto výpočtov a v prípade potreby požiada o ich vysvetlenie alebo úpravu. </w:t>
      </w:r>
    </w:p>
    <w:p w14:paraId="371D3483"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Výpočty príjmov sú spravidla kombináciou “základu” a “sadzby”. </w:t>
      </w:r>
    </w:p>
    <w:p w14:paraId="371D3484" w14:textId="77777777" w:rsidR="007D5748" w:rsidRPr="007B7470" w:rsidRDefault="007D5748" w:rsidP="007D5748">
      <w:pPr>
        <w:spacing w:after="0" w:line="240" w:lineRule="auto"/>
        <w:jc w:val="both"/>
        <w:rPr>
          <w:rFonts w:ascii="Times New Roman" w:eastAsia="Times New Roman" w:hAnsi="Times New Roman" w:cs="Verdana"/>
          <w:b/>
          <w:bCs/>
          <w:i/>
          <w:iCs/>
          <w:color w:val="000000" w:themeColor="text1"/>
          <w:sz w:val="24"/>
          <w:szCs w:val="24"/>
        </w:rPr>
      </w:pPr>
    </w:p>
    <w:p w14:paraId="371D3485" w14:textId="77777777" w:rsidR="007D5748" w:rsidRPr="007B7470" w:rsidRDefault="007D5748" w:rsidP="007D5748">
      <w:pPr>
        <w:spacing w:after="0" w:line="240" w:lineRule="auto"/>
        <w:jc w:val="both"/>
        <w:rPr>
          <w:rFonts w:ascii="Times New Roman" w:eastAsia="Times New Roman" w:hAnsi="Times New Roman" w:cs="Verdana"/>
          <w:b/>
          <w:bCs/>
          <w:i/>
          <w:iCs/>
          <w:color w:val="000000" w:themeColor="text1"/>
          <w:sz w:val="24"/>
          <w:szCs w:val="24"/>
        </w:rPr>
      </w:pPr>
      <w:r w:rsidRPr="007B7470">
        <w:rPr>
          <w:rFonts w:ascii="Times New Roman" w:eastAsia="Times New Roman" w:hAnsi="Times New Roman" w:cs="Verdana"/>
          <w:b/>
          <w:bCs/>
          <w:i/>
          <w:iCs/>
          <w:color w:val="000000" w:themeColor="text1"/>
          <w:sz w:val="24"/>
          <w:szCs w:val="24"/>
        </w:rPr>
        <w:t>Výpočet nákladov</w:t>
      </w:r>
    </w:p>
    <w:p w14:paraId="371D3486" w14:textId="77777777" w:rsidR="007D5748" w:rsidRPr="007B7470" w:rsidRDefault="007D5748" w:rsidP="007D5748">
      <w:pPr>
        <w:spacing w:after="0" w:line="240" w:lineRule="auto"/>
        <w:jc w:val="both"/>
        <w:rPr>
          <w:rFonts w:ascii="Times New Roman" w:eastAsia="Times New Roman" w:hAnsi="Times New Roman" w:cs="Verdana"/>
          <w:i/>
          <w:iCs/>
          <w:color w:val="000000" w:themeColor="text1"/>
          <w:sz w:val="24"/>
          <w:szCs w:val="24"/>
        </w:rPr>
      </w:pPr>
    </w:p>
    <w:p w14:paraId="371D3487"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iCs/>
          <w:color w:val="000000" w:themeColor="text1"/>
          <w:sz w:val="24"/>
          <w:szCs w:val="24"/>
          <w:lang w:eastAsia="sk-SK"/>
        </w:rPr>
        <w:t>:</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Uvedie požadované vstupy a výpočty požadovaných výdavkov na základe odhadovaného objemu aktivít v časti 2.2.3. prílohy č. 2.</w:t>
      </w:r>
    </w:p>
    <w:p w14:paraId="371D3488" w14:textId="77777777" w:rsidR="007D5748" w:rsidRPr="007B7470" w:rsidRDefault="007D5748" w:rsidP="007D5748">
      <w:pPr>
        <w:spacing w:after="0" w:line="240" w:lineRule="auto"/>
        <w:ind w:firstLine="708"/>
        <w:jc w:val="both"/>
        <w:rPr>
          <w:rFonts w:ascii="Times New Roman" w:eastAsia="Times New Roman" w:hAnsi="Times New Roman" w:cs="Times New Roman"/>
          <w:bCs/>
          <w:iCs/>
          <w:color w:val="000000" w:themeColor="text1"/>
          <w:sz w:val="24"/>
          <w:szCs w:val="24"/>
          <w:lang w:eastAsia="sk-SK"/>
        </w:rPr>
      </w:pPr>
    </w:p>
    <w:p w14:paraId="371D3489"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Skontroluje logiku týchto výpočtov a v prípade potreby požiada o ich vysvetlenie alebo úpravu.</w:t>
      </w:r>
    </w:p>
    <w:p w14:paraId="371D348A"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371D348B" w14:textId="77777777" w:rsidR="007D5748" w:rsidRPr="007B7470" w:rsidRDefault="007D5748" w:rsidP="007D5748">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Cs/>
          <w:color w:val="000000" w:themeColor="text1"/>
          <w:sz w:val="24"/>
          <w:szCs w:val="24"/>
          <w:lang w:eastAsia="sk-SK"/>
        </w:rPr>
      </w:pPr>
      <w:r w:rsidRPr="007B7470">
        <w:rPr>
          <w:rFonts w:ascii="Times New Roman" w:eastAsia="Times New Roman" w:hAnsi="Times New Roman" w:cs="Times New Roman"/>
          <w:bCs/>
          <w:color w:val="000000" w:themeColor="text1"/>
          <w:sz w:val="24"/>
          <w:szCs w:val="24"/>
          <w:lang w:eastAsia="sk-SK"/>
        </w:rPr>
        <w:t xml:space="preserve">Logický reťazec </w:t>
      </w:r>
      <w:r w:rsidR="001127A8" w:rsidRPr="007B7470">
        <w:rPr>
          <w:rFonts w:ascii="Times New Roman" w:eastAsia="Times New Roman" w:hAnsi="Times New Roman" w:cs="Times New Roman"/>
          <w:bCs/>
          <w:color w:val="000000" w:themeColor="text1"/>
          <w:sz w:val="24"/>
          <w:szCs w:val="24"/>
          <w:lang w:eastAsia="sk-SK"/>
        </w:rPr>
        <w:t xml:space="preserve">stanovenia </w:t>
      </w:r>
      <w:r w:rsidRPr="007B7470">
        <w:rPr>
          <w:rFonts w:ascii="Times New Roman" w:eastAsia="Times New Roman" w:hAnsi="Times New Roman" w:cs="Times New Roman"/>
          <w:bCs/>
          <w:color w:val="000000" w:themeColor="text1"/>
          <w:sz w:val="24"/>
          <w:szCs w:val="24"/>
          <w:lang w:eastAsia="sk-SK"/>
        </w:rPr>
        <w:t>nákladov:</w:t>
      </w:r>
    </w:p>
    <w:p w14:paraId="371D348C" w14:textId="77777777" w:rsidR="007D5748" w:rsidRPr="007B7470" w:rsidRDefault="007D5748" w:rsidP="007D5748">
      <w:pPr>
        <w:pBdr>
          <w:top w:val="single" w:sz="4" w:space="1" w:color="auto"/>
          <w:left w:val="single" w:sz="4" w:space="4" w:color="auto"/>
          <w:bottom w:val="single" w:sz="4" w:space="1" w:color="auto"/>
          <w:right w:val="single" w:sz="4" w:space="4" w:color="auto"/>
        </w:pBdr>
        <w:tabs>
          <w:tab w:val="center" w:pos="3150"/>
          <w:tab w:val="center" w:pos="5850"/>
          <w:tab w:val="center" w:pos="7830"/>
        </w:tabs>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ab/>
        <w:t xml:space="preserve">             </w:t>
      </w:r>
    </w:p>
    <w:p w14:paraId="371D348D" w14:textId="77777777" w:rsidR="007D5748" w:rsidRPr="007B7470" w:rsidRDefault="007D5748" w:rsidP="007D5748">
      <w:pPr>
        <w:pBdr>
          <w:top w:val="single" w:sz="4" w:space="1" w:color="auto"/>
          <w:left w:val="single" w:sz="4" w:space="4" w:color="auto"/>
          <w:bottom w:val="single" w:sz="4" w:space="1" w:color="auto"/>
          <w:right w:val="single" w:sz="4" w:space="4" w:color="auto"/>
        </w:pBdr>
        <w:tabs>
          <w:tab w:val="center" w:pos="0"/>
        </w:tabs>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NÁVRH   →   ZMENA OBJEMU AKTIVÍT   →   POŽADOVANÉ VSTUPY   →   NÁKLADY</w:t>
      </w:r>
    </w:p>
    <w:p w14:paraId="371D348E"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371D348F"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V tejto fáze je nevyhnutné najprv stanoviť vstupy, ktoré si vyžiadajú zmeny v objeme aktivít, ako je to uvedené v časti 2.2.3. prílohy č. 2 a následne vypočítať náklady na tieto vstupy. </w:t>
      </w:r>
    </w:p>
    <w:p w14:paraId="371D3490" w14:textId="77777777" w:rsidR="007D5748" w:rsidRPr="007B7470" w:rsidRDefault="007D5748" w:rsidP="007D5748">
      <w:pPr>
        <w:spacing w:after="0" w:line="240" w:lineRule="auto"/>
        <w:jc w:val="both"/>
        <w:rPr>
          <w:rFonts w:ascii="Times New Roman" w:eastAsia="Times New Roman" w:hAnsi="Times New Roman" w:cs="Times New Roman"/>
          <w:i/>
          <w:iCs/>
          <w:color w:val="000000" w:themeColor="text1"/>
          <w:sz w:val="24"/>
          <w:szCs w:val="24"/>
          <w:lang w:eastAsia="sk-SK"/>
        </w:rPr>
      </w:pPr>
    </w:p>
    <w:p w14:paraId="371D3491"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i/>
          <w:iCs/>
          <w:color w:val="000000" w:themeColor="text1"/>
          <w:sz w:val="24"/>
          <w:szCs w:val="24"/>
          <w:lang w:eastAsia="sk-SK"/>
        </w:rPr>
        <w:t xml:space="preserve">Stanovenie požadovaných vstupov </w:t>
      </w:r>
      <w:r w:rsidRPr="007B7470">
        <w:rPr>
          <w:rFonts w:ascii="Times New Roman" w:eastAsia="Times New Roman" w:hAnsi="Times New Roman" w:cs="Times New Roman"/>
          <w:color w:val="000000" w:themeColor="text1"/>
          <w:sz w:val="24"/>
          <w:szCs w:val="24"/>
          <w:lang w:eastAsia="sk-SK"/>
        </w:rPr>
        <w:t>–  bežné druhy vstupov sú:</w:t>
      </w:r>
    </w:p>
    <w:p w14:paraId="371D3492"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u w:val="single"/>
        </w:rPr>
      </w:pPr>
    </w:p>
    <w:p w14:paraId="371D3493"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zamestnanci</w:t>
      </w:r>
      <w:r w:rsidRPr="007B7470">
        <w:rPr>
          <w:rFonts w:ascii="Times New Roman" w:eastAsia="Times New Roman" w:hAnsi="Times New Roman" w:cs="Times New Roman"/>
          <w:color w:val="000000" w:themeColor="text1"/>
          <w:sz w:val="24"/>
          <w:szCs w:val="24"/>
        </w:rPr>
        <w:t xml:space="preserve"> – práca s klientmi, uplatňovanie nariadení a riadenie činností programu.  Počet (a typ) zamestnancov neurčuje iba objemy miezd (610) a poistného (620), ale má vplyv aj na objem tovarov a služieb (630), keďže tieto často súvisia s počtom zamestnancov.</w:t>
      </w:r>
    </w:p>
    <w:p w14:paraId="371D3494"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vybavenie</w:t>
      </w:r>
      <w:r w:rsidRPr="007B7470">
        <w:rPr>
          <w:rFonts w:ascii="Times New Roman" w:eastAsia="Times New Roman" w:hAnsi="Times New Roman" w:cs="Times New Roman"/>
          <w:color w:val="000000" w:themeColor="text1"/>
          <w:sz w:val="24"/>
          <w:szCs w:val="24"/>
        </w:rPr>
        <w:t xml:space="preserve"> – pracovné stoly, počítače a pod. pre zamestnancov. Zariadenia nevyhnutné na poskytovanie služieb (napr. lavice v školách alebo laboratórne vybavenie). Niektoré návrhy nemusia požadovať nových zamestnancov, ale napríklad si budú vyžadovať nákup nového vybavenia.          </w:t>
      </w:r>
    </w:p>
    <w:p w14:paraId="371D3495"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iné prevádzkové náklady</w:t>
      </w:r>
      <w:r w:rsidRPr="007B7470">
        <w:rPr>
          <w:rFonts w:ascii="Times New Roman" w:eastAsia="Times New Roman" w:hAnsi="Times New Roman" w:cs="Times New Roman"/>
          <w:color w:val="000000" w:themeColor="text1"/>
          <w:sz w:val="24"/>
          <w:szCs w:val="24"/>
        </w:rPr>
        <w:t xml:space="preserve"> – vrátane nákladov na elektrickú energiu, vykurovanie, telekomunikácie, prenájom priestorov, pohonných hmôt, tlačenia materiálov a pod.</w:t>
      </w:r>
    </w:p>
    <w:p w14:paraId="371D3496"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dopravné náklady</w:t>
      </w:r>
      <w:r w:rsidRPr="007B7470">
        <w:rPr>
          <w:rFonts w:ascii="Times New Roman" w:eastAsia="Times New Roman" w:hAnsi="Times New Roman" w:cs="Times New Roman"/>
          <w:color w:val="000000" w:themeColor="text1"/>
          <w:sz w:val="24"/>
          <w:szCs w:val="24"/>
        </w:rPr>
        <w:t xml:space="preserve"> – vozidlá pre zamestnancov, výdavky na služobné cesty, autobusy pre klientov, domáca a medzinárodná preprava.</w:t>
      </w:r>
    </w:p>
    <w:p w14:paraId="371D3497" w14:textId="77777777"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kapitálové investície</w:t>
      </w:r>
      <w:r w:rsidRPr="007B7470">
        <w:rPr>
          <w:rFonts w:ascii="Times New Roman" w:eastAsia="Times New Roman" w:hAnsi="Times New Roman" w:cs="Times New Roman"/>
          <w:color w:val="000000" w:themeColor="text1"/>
          <w:sz w:val="24"/>
          <w:szCs w:val="24"/>
        </w:rPr>
        <w:t xml:space="preserve"> – nové budovy, dátové alebo komunikačné systémy a pod.</w:t>
      </w:r>
    </w:p>
    <w:p w14:paraId="371D3498" w14:textId="77777777" w:rsidR="00EE28EB" w:rsidRPr="007B7470" w:rsidRDefault="00EE28EB" w:rsidP="00EE28EB">
      <w:pPr>
        <w:spacing w:after="0" w:line="240" w:lineRule="auto"/>
        <w:ind w:left="360"/>
        <w:jc w:val="both"/>
        <w:rPr>
          <w:rFonts w:ascii="Times New Roman" w:eastAsia="Times New Roman" w:hAnsi="Times New Roman" w:cs="Times New Roman"/>
          <w:bCs/>
          <w:i/>
          <w:iCs/>
          <w:color w:val="000000" w:themeColor="text1"/>
          <w:sz w:val="24"/>
          <w:szCs w:val="24"/>
        </w:rPr>
      </w:pPr>
    </w:p>
    <w:p w14:paraId="371D3499" w14:textId="77777777"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r w:rsidRPr="007B7470">
        <w:rPr>
          <w:rFonts w:ascii="Times New Roman" w:eastAsia="Times New Roman" w:hAnsi="Times New Roman" w:cs="Times New Roman"/>
          <w:b/>
          <w:bCs/>
          <w:iCs/>
          <w:color w:val="000000" w:themeColor="text1"/>
          <w:sz w:val="24"/>
          <w:szCs w:val="24"/>
        </w:rPr>
        <w:t>2.2.5. Výpočet vplyvov na dlhodobú udržateľnosť verejných financií</w:t>
      </w:r>
    </w:p>
    <w:p w14:paraId="371D349A" w14:textId="77777777" w:rsidR="00EE28EB" w:rsidRPr="007B7470" w:rsidRDefault="00EE28EB" w:rsidP="00EE28EB">
      <w:pPr>
        <w:spacing w:after="0" w:line="240" w:lineRule="auto"/>
        <w:ind w:left="360"/>
        <w:jc w:val="both"/>
        <w:rPr>
          <w:rFonts w:ascii="Times New Roman" w:eastAsia="Times New Roman" w:hAnsi="Times New Roman" w:cs="Times New Roman"/>
          <w:b/>
          <w:bCs/>
          <w:iCs/>
          <w:color w:val="000000" w:themeColor="text1"/>
          <w:sz w:val="24"/>
          <w:szCs w:val="24"/>
        </w:rPr>
      </w:pPr>
    </w:p>
    <w:p w14:paraId="371D349B" w14:textId="77777777" w:rsidR="00EE28EB" w:rsidRPr="007B7470" w:rsidRDefault="00EE28EB" w:rsidP="00EE28EB">
      <w:pPr>
        <w:spacing w:after="0" w:line="240" w:lineRule="auto"/>
        <w:ind w:firstLine="708"/>
        <w:jc w:val="both"/>
        <w:rPr>
          <w:rFonts w:ascii="Times New Roman" w:eastAsia="Times New Roman" w:hAnsi="Times New Roman" w:cs="Times New Roman"/>
          <w:bCs/>
          <w:iCs/>
          <w:color w:val="000000" w:themeColor="text1"/>
          <w:sz w:val="24"/>
          <w:szCs w:val="24"/>
        </w:rPr>
      </w:pPr>
      <w:r w:rsidRPr="007B7470">
        <w:rPr>
          <w:rFonts w:ascii="Times New Roman" w:eastAsia="Times New Roman" w:hAnsi="Times New Roman" w:cs="Times New Roman"/>
          <w:bCs/>
          <w:iCs/>
          <w:color w:val="000000" w:themeColor="text1"/>
          <w:sz w:val="24"/>
          <w:szCs w:val="24"/>
        </w:rPr>
        <w:t>V časti 2.2.5. prílohy č. 2 sa uvádzajú výpočty vplyvov na príjmy, výdavky a bilanciu, ktoré sa použijú v tabuľke č. 6 prílohy č. 2. Výpočty a predpoklady vplyvov na dlhodobú udržateľnosť pomôžu ostatným stranám (pripomienkujúcim subjektom, resp. MF SR) zhodnotiť, či predkladaný návrh zlepšuje alebo zhoršuje udržateľnosť verejných financií a v akej miere. Rozsah tejto časti nie je obmedzený a je možné uviesť všetko, čo je potrebné na vysvetlenie výpočtu vplyvov návrhu, alebo je možné uviesť odkazy na tabuľky samostatne priložené k doložke.</w:t>
      </w:r>
    </w:p>
    <w:p w14:paraId="371D349C" w14:textId="77777777"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14:paraId="371D349D" w14:textId="77777777" w:rsidR="00EE28EB" w:rsidRPr="007B7470" w:rsidRDefault="00EE28EB" w:rsidP="00EE28EB">
      <w:pPr>
        <w:spacing w:after="0" w:line="240" w:lineRule="auto"/>
        <w:jc w:val="both"/>
        <w:rPr>
          <w:rFonts w:ascii="Times New Roman" w:eastAsia="Times New Roman" w:hAnsi="Times New Roman" w:cs="Times New Roman"/>
          <w:b/>
          <w:bCs/>
          <w:i/>
          <w:iCs/>
          <w:color w:val="000000" w:themeColor="text1"/>
          <w:sz w:val="24"/>
          <w:szCs w:val="24"/>
        </w:rPr>
      </w:pPr>
      <w:r w:rsidRPr="007B7470">
        <w:rPr>
          <w:rFonts w:ascii="Times New Roman" w:eastAsia="Times New Roman" w:hAnsi="Times New Roman" w:cs="Times New Roman"/>
          <w:b/>
          <w:bCs/>
          <w:i/>
          <w:iCs/>
          <w:color w:val="000000" w:themeColor="text1"/>
          <w:sz w:val="24"/>
          <w:szCs w:val="24"/>
        </w:rPr>
        <w:t>Výpočet vplyvu na dlhodobú udržateľnosť verejných financií</w:t>
      </w:r>
    </w:p>
    <w:p w14:paraId="371D349E" w14:textId="77777777"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14:paraId="371D349F" w14:textId="77777777" w:rsidR="00EE28EB" w:rsidRPr="007B7470" w:rsidRDefault="00FB4A4A" w:rsidP="00FB4A4A">
      <w:pPr>
        <w:spacing w:after="0" w:line="240" w:lineRule="auto"/>
        <w:ind w:firstLine="708"/>
        <w:jc w:val="both"/>
        <w:rPr>
          <w:rFonts w:ascii="Times New Roman" w:eastAsia="Times New Roman" w:hAnsi="Times New Roman" w:cs="Times New Roman"/>
          <w:bCs/>
          <w:iCs/>
          <w:color w:val="000000" w:themeColor="text1"/>
          <w:sz w:val="24"/>
          <w:szCs w:val="24"/>
        </w:rPr>
      </w:pPr>
      <w:r w:rsidRPr="007B7470">
        <w:rPr>
          <w:rFonts w:ascii="Times New Roman" w:eastAsia="Times New Roman" w:hAnsi="Times New Roman" w:cs="Times New Roman"/>
          <w:bCs/>
          <w:iCs/>
          <w:color w:val="000000" w:themeColor="text1"/>
          <w:sz w:val="24"/>
          <w:szCs w:val="24"/>
        </w:rPr>
        <w:t>Predkladateľ:</w:t>
      </w:r>
      <w:r w:rsidRPr="007B7470">
        <w:rPr>
          <w:rFonts w:ascii="Times New Roman" w:eastAsia="Times New Roman" w:hAnsi="Times New Roman" w:cs="Times New Roman"/>
          <w:bCs/>
          <w:iCs/>
          <w:color w:val="000000" w:themeColor="text1"/>
          <w:sz w:val="24"/>
          <w:szCs w:val="24"/>
        </w:rPr>
        <w:tab/>
        <w:t xml:space="preserve"> </w:t>
      </w:r>
      <w:r w:rsidR="00EE28EB" w:rsidRPr="007B7470">
        <w:rPr>
          <w:rFonts w:ascii="Times New Roman" w:eastAsia="Times New Roman" w:hAnsi="Times New Roman" w:cs="Times New Roman"/>
          <w:bCs/>
          <w:iCs/>
          <w:color w:val="000000" w:themeColor="text1"/>
          <w:sz w:val="24"/>
          <w:szCs w:val="24"/>
        </w:rPr>
        <w:t>Uvedie výpočty vplyvov na príjmy, výdavky a bilanciu v p. b. HDP počas piatich najbližších dekád v časti 2.2.5. prílohy č. 2.</w:t>
      </w:r>
    </w:p>
    <w:p w14:paraId="371D34A0" w14:textId="77777777"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14:paraId="371D34A1" w14:textId="77777777" w:rsidR="00EE28EB" w:rsidRPr="007B7470" w:rsidRDefault="00FB4A4A" w:rsidP="00FB4A4A">
      <w:pPr>
        <w:spacing w:after="0" w:line="240" w:lineRule="auto"/>
        <w:ind w:firstLine="708"/>
        <w:jc w:val="both"/>
        <w:rPr>
          <w:rFonts w:ascii="Times New Roman" w:eastAsia="Times New Roman" w:hAnsi="Times New Roman" w:cs="Times New Roman"/>
          <w:bCs/>
          <w:iCs/>
          <w:color w:val="000000" w:themeColor="text1"/>
          <w:sz w:val="24"/>
          <w:szCs w:val="24"/>
        </w:rPr>
      </w:pPr>
      <w:r w:rsidRPr="007B7470">
        <w:rPr>
          <w:rFonts w:ascii="Times New Roman" w:eastAsia="Times New Roman" w:hAnsi="Times New Roman" w:cs="Times New Roman"/>
          <w:bCs/>
          <w:iCs/>
          <w:color w:val="000000" w:themeColor="text1"/>
          <w:sz w:val="24"/>
          <w:szCs w:val="24"/>
        </w:rPr>
        <w:t xml:space="preserve">MF SR:  </w:t>
      </w:r>
      <w:r w:rsidR="00EE28EB" w:rsidRPr="007B7470">
        <w:rPr>
          <w:rFonts w:ascii="Times New Roman" w:eastAsia="Times New Roman" w:hAnsi="Times New Roman" w:cs="Times New Roman"/>
          <w:bCs/>
          <w:iCs/>
          <w:color w:val="000000" w:themeColor="text1"/>
          <w:sz w:val="24"/>
          <w:szCs w:val="24"/>
        </w:rPr>
        <w:t>Skontroluje predpoklady a dopady týchto výpočtov a v prípade potreby požiada o ich vysvetlenie alebo úpravu.</w:t>
      </w:r>
    </w:p>
    <w:p w14:paraId="371D34A2" w14:textId="77777777"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14:paraId="371D34A3" w14:textId="77777777" w:rsidR="00EE28EB" w:rsidRPr="007B7470" w:rsidRDefault="00EE28EB" w:rsidP="00EE28EB">
      <w:pPr>
        <w:spacing w:after="0" w:line="240" w:lineRule="auto"/>
        <w:ind w:left="360"/>
        <w:jc w:val="both"/>
        <w:rPr>
          <w:rFonts w:ascii="Times New Roman" w:eastAsia="Times New Roman" w:hAnsi="Times New Roman" w:cs="Times New Roman"/>
          <w:color w:val="000000" w:themeColor="text1"/>
          <w:sz w:val="24"/>
          <w:szCs w:val="24"/>
        </w:rPr>
      </w:pPr>
    </w:p>
    <w:p w14:paraId="371D34A4" w14:textId="77777777" w:rsidR="007D5748" w:rsidRPr="007B7470" w:rsidRDefault="007D5748" w:rsidP="007D5748">
      <w:pPr>
        <w:spacing w:after="0" w:line="240" w:lineRule="auto"/>
        <w:jc w:val="both"/>
        <w:rPr>
          <w:rFonts w:ascii="Times New Roman" w:eastAsia="Times New Roman" w:hAnsi="Times New Roman" w:cs="Verdana"/>
          <w:b/>
          <w:bCs/>
          <w:color w:val="000000" w:themeColor="text1"/>
          <w:sz w:val="24"/>
          <w:szCs w:val="24"/>
        </w:rPr>
      </w:pPr>
    </w:p>
    <w:p w14:paraId="371D34A5" w14:textId="77777777" w:rsidR="007D5748" w:rsidRPr="007B7470" w:rsidRDefault="007D5748" w:rsidP="007D5748">
      <w:pPr>
        <w:spacing w:after="0" w:line="240" w:lineRule="auto"/>
        <w:jc w:val="both"/>
        <w:rPr>
          <w:rFonts w:ascii="Times New Roman" w:eastAsia="Times New Roman" w:hAnsi="Times New Roman" w:cs="Verdana"/>
          <w:b/>
          <w:bCs/>
          <w:color w:val="000000" w:themeColor="text1"/>
          <w:sz w:val="28"/>
          <w:szCs w:val="24"/>
          <w:u w:val="single"/>
        </w:rPr>
      </w:pPr>
      <w:r w:rsidRPr="007B7470">
        <w:rPr>
          <w:rFonts w:ascii="Times New Roman" w:eastAsia="Times New Roman" w:hAnsi="Times New Roman" w:cs="Verdana"/>
          <w:b/>
          <w:bCs/>
          <w:color w:val="000000" w:themeColor="text1"/>
          <w:sz w:val="28"/>
          <w:szCs w:val="24"/>
          <w:u w:val="single"/>
        </w:rPr>
        <w:t>2</w:t>
      </w:r>
      <w:r w:rsidR="0077530D" w:rsidRPr="007B7470">
        <w:rPr>
          <w:rFonts w:ascii="Times New Roman" w:eastAsia="Times New Roman" w:hAnsi="Times New Roman" w:cs="Verdana"/>
          <w:b/>
          <w:bCs/>
          <w:color w:val="000000" w:themeColor="text1"/>
          <w:sz w:val="28"/>
          <w:szCs w:val="24"/>
          <w:u w:val="single"/>
        </w:rPr>
        <w:t>.3. Vyplnenie tabuliek č. 3 až 6</w:t>
      </w:r>
      <w:r w:rsidRPr="007B7470">
        <w:rPr>
          <w:rFonts w:ascii="Times New Roman" w:eastAsia="Times New Roman" w:hAnsi="Times New Roman" w:cs="Verdana"/>
          <w:b/>
          <w:bCs/>
          <w:color w:val="000000" w:themeColor="text1"/>
          <w:sz w:val="28"/>
          <w:szCs w:val="24"/>
          <w:u w:val="single"/>
        </w:rPr>
        <w:t xml:space="preserve"> prílohy č. 2 </w:t>
      </w:r>
    </w:p>
    <w:p w14:paraId="371D34A6" w14:textId="77777777"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14:paraId="371D34A7" w14:textId="77777777"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color w:val="000000" w:themeColor="text1"/>
          <w:sz w:val="24"/>
          <w:szCs w:val="24"/>
        </w:rPr>
        <w:tab/>
        <w:t>Neoddeliteľnou súčasťou príl</w:t>
      </w:r>
      <w:r w:rsidR="0077530D" w:rsidRPr="007B7470">
        <w:rPr>
          <w:rFonts w:ascii="Times New Roman" w:eastAsia="Times New Roman" w:hAnsi="Times New Roman" w:cs="Verdana"/>
          <w:color w:val="000000" w:themeColor="text1"/>
          <w:sz w:val="24"/>
          <w:szCs w:val="24"/>
        </w:rPr>
        <w:t>ohy č. 2 sú tabuľky č. 3 až č. 6</w:t>
      </w:r>
      <w:r w:rsidRPr="007B7470">
        <w:rPr>
          <w:rFonts w:ascii="Times New Roman" w:eastAsia="Times New Roman" w:hAnsi="Times New Roman" w:cs="Verdana"/>
          <w:color w:val="000000" w:themeColor="text1"/>
          <w:sz w:val="24"/>
          <w:szCs w:val="24"/>
        </w:rPr>
        <w:t xml:space="preserve"> prílohy pre výpočet vplyvu na </w:t>
      </w:r>
      <w:r w:rsidR="0077530D" w:rsidRPr="007B7470">
        <w:rPr>
          <w:rFonts w:ascii="Times New Roman" w:eastAsia="Times New Roman" w:hAnsi="Times New Roman" w:cs="Verdana"/>
          <w:color w:val="000000" w:themeColor="text1"/>
          <w:sz w:val="24"/>
          <w:szCs w:val="24"/>
        </w:rPr>
        <w:t>príjmy, výdavky a zamestnanosť a dlhodobú udržateľnosť verejných financií.</w:t>
      </w:r>
    </w:p>
    <w:p w14:paraId="371D34A8" w14:textId="77777777"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14:paraId="371D34A9" w14:textId="77777777" w:rsidR="007D5748" w:rsidRPr="007B7470" w:rsidRDefault="007D5748" w:rsidP="007D5748">
      <w:pPr>
        <w:numPr>
          <w:ilvl w:val="0"/>
          <w:numId w:val="3"/>
        </w:numPr>
        <w:spacing w:after="0" w:line="240" w:lineRule="auto"/>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color w:val="000000" w:themeColor="text1"/>
          <w:sz w:val="24"/>
          <w:szCs w:val="24"/>
        </w:rPr>
        <w:t xml:space="preserve">pre návrhy </w:t>
      </w:r>
      <w:r w:rsidRPr="007B7470">
        <w:rPr>
          <w:rFonts w:ascii="Times New Roman" w:eastAsia="Times New Roman" w:hAnsi="Times New Roman" w:cs="Verdana"/>
          <w:bCs/>
          <w:i/>
          <w:iCs/>
          <w:color w:val="000000" w:themeColor="text1"/>
          <w:sz w:val="24"/>
          <w:szCs w:val="24"/>
        </w:rPr>
        <w:t>bez vplyvov na rozpočet verejnej správy</w:t>
      </w:r>
      <w:r w:rsidRPr="007B7470">
        <w:rPr>
          <w:rFonts w:ascii="Times New Roman" w:eastAsia="Times New Roman" w:hAnsi="Times New Roman" w:cs="Verdana"/>
          <w:i/>
          <w:iCs/>
          <w:color w:val="000000" w:themeColor="text1"/>
          <w:sz w:val="24"/>
          <w:szCs w:val="24"/>
        </w:rPr>
        <w:t xml:space="preserve"> </w:t>
      </w:r>
      <w:r w:rsidRPr="007B7470">
        <w:rPr>
          <w:rFonts w:ascii="Times New Roman" w:eastAsia="Times New Roman" w:hAnsi="Times New Roman" w:cs="Verdana"/>
          <w:color w:val="000000" w:themeColor="text1"/>
          <w:sz w:val="24"/>
          <w:szCs w:val="24"/>
        </w:rPr>
        <w:t>sa tabuľky č. 3 až č. 5 nemusia osobitne vypĺňať, v prílohe č. 1 v</w:t>
      </w:r>
      <w:r w:rsidR="00DE5BF1" w:rsidRPr="007B7470">
        <w:rPr>
          <w:rFonts w:ascii="Times New Roman" w:eastAsia="Times New Roman" w:hAnsi="Times New Roman" w:cs="Verdana"/>
          <w:color w:val="000000" w:themeColor="text1"/>
          <w:sz w:val="24"/>
          <w:szCs w:val="24"/>
        </w:rPr>
        <w:t xml:space="preserve"> bode 10 </w:t>
      </w:r>
      <w:r w:rsidRPr="007B7470">
        <w:rPr>
          <w:rFonts w:ascii="Times New Roman" w:eastAsia="Times New Roman" w:hAnsi="Times New Roman" w:cs="Verdana"/>
          <w:color w:val="000000" w:themeColor="text1"/>
          <w:sz w:val="24"/>
          <w:szCs w:val="24"/>
        </w:rPr>
        <w:t xml:space="preserve"> stačí uviesť, že návrh nemá vplyv na rozpočet verejnej správy.</w:t>
      </w:r>
    </w:p>
    <w:p w14:paraId="371D34AA" w14:textId="77777777" w:rsidR="0077530D" w:rsidRPr="007B7470" w:rsidRDefault="0077530D" w:rsidP="0077530D">
      <w:pPr>
        <w:numPr>
          <w:ilvl w:val="0"/>
          <w:numId w:val="3"/>
        </w:numPr>
        <w:spacing w:after="0" w:line="240" w:lineRule="auto"/>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color w:val="000000" w:themeColor="text1"/>
          <w:sz w:val="24"/>
          <w:szCs w:val="24"/>
        </w:rPr>
        <w:t xml:space="preserve">pre návrhy </w:t>
      </w:r>
      <w:r w:rsidRPr="007B7470">
        <w:rPr>
          <w:rFonts w:ascii="Times New Roman" w:eastAsia="Times New Roman" w:hAnsi="Times New Roman" w:cs="Verdana"/>
          <w:i/>
          <w:color w:val="000000" w:themeColor="text1"/>
          <w:sz w:val="24"/>
          <w:szCs w:val="24"/>
        </w:rPr>
        <w:t>bez vplyvov na dlhodobú udržateľnosť verejných financií</w:t>
      </w:r>
      <w:r w:rsidRPr="007B7470">
        <w:rPr>
          <w:rFonts w:ascii="Times New Roman" w:eastAsia="Times New Roman" w:hAnsi="Times New Roman" w:cs="Verdana"/>
          <w:color w:val="000000" w:themeColor="text1"/>
          <w:sz w:val="24"/>
          <w:szCs w:val="24"/>
        </w:rPr>
        <w:t xml:space="preserve"> sa tabuľka č. 6 nemusí osobitne vypĺňať, prílohe č. 1 v bode 9. stačí označiť, že návrh nemá vplyv na dlhodobú udržateľnosť (označiť možnosť „nie“).   </w:t>
      </w:r>
    </w:p>
    <w:p w14:paraId="371D34AB"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14:paraId="371D34AC"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Ak sa vplyv týka viacerých subjektov verejnej správy, vypĺňa sa samostatná tabuľka za každý subjekt. Zhrnutie v prílohe č. 2 časti 2.1. sa vypĺňa podľa jednotlivých subjektov verejnej správy. Ak sa vplyv týka viacerých programov programovej štruktúry (ďalej len programov), vyplnia sa tabuľky č. 3 až č. 5 za každý program; predkladateľ uvedie rozčlenenie podľa programov taktiež v zhrnutí 2.1. Tento postup sa uplatní aj v prípade, ak sa návrh týka viacerých programov u viacerých subjektov verejnej správy. </w:t>
      </w:r>
    </w:p>
    <w:p w14:paraId="371D34AD" w14:textId="77777777"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14:paraId="371D34AE" w14:textId="77777777" w:rsidR="00D9171A" w:rsidRPr="007B7470" w:rsidRDefault="00D9171A" w:rsidP="007D5748">
      <w:pPr>
        <w:spacing w:after="0" w:line="240" w:lineRule="auto"/>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color w:val="000000" w:themeColor="text1"/>
          <w:sz w:val="24"/>
          <w:szCs w:val="24"/>
        </w:rPr>
        <w:tab/>
        <w:t>Ak návrh obsahuje viacero opatrení s vplyvom na dlhodobú udržateľnosť, vyplní sa tabuľka č. 6 za každé opatrenie zvlášť. Tabuľka obsahujúca kumulatívny efekt opatrení (ak by sa všetky opatrenia zaviedli spolu) sa vyplní samostatne, nakoľko jednotlivé opatrenia môžu mať vplyv medzi sebou.</w:t>
      </w:r>
    </w:p>
    <w:p w14:paraId="371D34AF" w14:textId="77777777" w:rsidR="00D9171A" w:rsidRPr="007B7470" w:rsidRDefault="00D9171A" w:rsidP="007D5748">
      <w:pPr>
        <w:spacing w:after="0" w:line="240" w:lineRule="auto"/>
        <w:jc w:val="both"/>
        <w:rPr>
          <w:rFonts w:ascii="Times New Roman" w:eastAsia="Times New Roman" w:hAnsi="Times New Roman" w:cs="Verdana"/>
          <w:color w:val="000000" w:themeColor="text1"/>
          <w:sz w:val="24"/>
          <w:szCs w:val="24"/>
        </w:rPr>
      </w:pPr>
    </w:p>
    <w:p w14:paraId="371D34B0" w14:textId="77777777" w:rsidR="007D5748" w:rsidRPr="007B7470" w:rsidRDefault="007D5748" w:rsidP="007D5748">
      <w:pPr>
        <w:spacing w:after="0" w:line="240" w:lineRule="auto"/>
        <w:jc w:val="both"/>
        <w:rPr>
          <w:rFonts w:ascii="Times New Roman" w:eastAsia="Times New Roman" w:hAnsi="Times New Roman" w:cs="Verdana"/>
          <w:b/>
          <w:bCs/>
          <w:iCs/>
          <w:color w:val="000000" w:themeColor="text1"/>
          <w:sz w:val="24"/>
          <w:szCs w:val="24"/>
        </w:rPr>
      </w:pPr>
      <w:r w:rsidRPr="007B7470">
        <w:rPr>
          <w:rFonts w:ascii="Times New Roman" w:eastAsia="Times New Roman" w:hAnsi="Times New Roman" w:cs="Verdana"/>
          <w:b/>
          <w:bCs/>
          <w:iCs/>
          <w:color w:val="000000" w:themeColor="text1"/>
          <w:sz w:val="24"/>
          <w:szCs w:val="24"/>
        </w:rPr>
        <w:t>2.3.1. Tabuľka č. 3: tabuľka vplyvov na príjmy</w:t>
      </w:r>
    </w:p>
    <w:p w14:paraId="371D34B1" w14:textId="77777777" w:rsidR="007D5748" w:rsidRPr="007B7470" w:rsidRDefault="007D5748" w:rsidP="007D5748">
      <w:pPr>
        <w:spacing w:after="0" w:line="240" w:lineRule="auto"/>
        <w:jc w:val="both"/>
        <w:rPr>
          <w:rFonts w:ascii="Times New Roman" w:eastAsia="Times New Roman" w:hAnsi="Times New Roman" w:cs="Times New Roman"/>
          <w:b/>
          <w:color w:val="000000" w:themeColor="text1"/>
          <w:sz w:val="24"/>
          <w:szCs w:val="24"/>
          <w:u w:val="single"/>
          <w:lang w:eastAsia="sk-SK"/>
        </w:rPr>
      </w:pPr>
    </w:p>
    <w:p w14:paraId="371D34B2"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 xml:space="preserve">Predkladateľ: </w:t>
      </w:r>
      <w:r w:rsidRPr="007B7470">
        <w:rPr>
          <w:rFonts w:ascii="Times New Roman" w:eastAsia="Times New Roman" w:hAnsi="Times New Roman" w:cs="Times New Roman"/>
          <w:color w:val="000000" w:themeColor="text1"/>
          <w:sz w:val="24"/>
          <w:szCs w:val="24"/>
          <w:lang w:eastAsia="sk-SK"/>
        </w:rPr>
        <w:t xml:space="preserve">Výška odhadovaného vplyvu na príjmy za jednotlivé subjekty verejnej správy, na ktoré má návrh vplyv, sa uvedie do súhrnnej tabuľky v časti 2.1 prílohy č. 2. </w:t>
      </w:r>
    </w:p>
    <w:p w14:paraId="371D34B3"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14:paraId="371D34B4"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Tabuľka príjmov by mala vyjadrovať celkový vplyv na príjmy podľa podrobnej klasifikácie príjmov na základe vstupov od pripomienkujúcich strán. Celkový vplyv návrhu na príjmy rozpočtu verejnej správy v členení podľa jednotlivých subjektov verejnej správy, je potrebné uviesť do súhrnnej tabuľky č. 1 v časti 2.1. prílohy č. 2.</w:t>
      </w:r>
    </w:p>
    <w:p w14:paraId="371D34B5" w14:textId="77777777" w:rsidR="007D5748" w:rsidRPr="007B7470" w:rsidRDefault="007D5748" w:rsidP="007D5748">
      <w:pPr>
        <w:spacing w:after="0" w:line="240" w:lineRule="auto"/>
        <w:ind w:firstLine="708"/>
        <w:jc w:val="both"/>
        <w:rPr>
          <w:rFonts w:ascii="Times New Roman" w:eastAsia="Times New Roman" w:hAnsi="Times New Roman" w:cs="Times New Roman"/>
          <w:bCs/>
          <w:iCs/>
          <w:color w:val="000000" w:themeColor="text1"/>
          <w:sz w:val="24"/>
          <w:szCs w:val="20"/>
          <w:lang w:eastAsia="sk-SK"/>
        </w:rPr>
      </w:pPr>
    </w:p>
    <w:p w14:paraId="371D34B6"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0"/>
          <w:lang w:eastAsia="sk-SK"/>
        </w:rPr>
        <w:t>MF SR</w:t>
      </w:r>
      <w:r w:rsidRPr="007B7470">
        <w:rPr>
          <w:rFonts w:ascii="Times New Roman" w:eastAsia="Times New Roman" w:hAnsi="Times New Roman" w:cs="Times New Roman"/>
          <w:iCs/>
          <w:color w:val="000000" w:themeColor="text1"/>
          <w:sz w:val="24"/>
          <w:szCs w:val="20"/>
          <w:lang w:eastAsia="sk-SK"/>
        </w:rPr>
        <w:t>:</w:t>
      </w:r>
      <w:r w:rsidRPr="007B7470">
        <w:rPr>
          <w:rFonts w:ascii="Times New Roman" w:eastAsia="Times New Roman" w:hAnsi="Times New Roman" w:cs="Times New Roman"/>
          <w:i/>
          <w:iCs/>
          <w:color w:val="000000" w:themeColor="text1"/>
          <w:sz w:val="24"/>
          <w:szCs w:val="20"/>
          <w:lang w:eastAsia="sk-SK"/>
        </w:rPr>
        <w:t xml:space="preserve"> </w:t>
      </w:r>
      <w:r w:rsidRPr="007B7470">
        <w:rPr>
          <w:rFonts w:ascii="Times New Roman" w:eastAsia="Times New Roman" w:hAnsi="Times New Roman" w:cs="Times New Roman"/>
          <w:color w:val="000000" w:themeColor="text1"/>
          <w:sz w:val="24"/>
          <w:szCs w:val="20"/>
          <w:lang w:eastAsia="sk-SK"/>
        </w:rPr>
        <w:t>Vyhodnotí primeranosť projekcií a výpočtov. Potvrdí, že údaje v tabuľke sú náležite roztriedené a dávajú jasný obraz o vplyve návrhu na príjmy rozpočtu verejnej správy. Ak sa vyskytnú problémy, požiada predkladateľa, aby upravil príslušné číselné hodnoty.</w:t>
      </w:r>
    </w:p>
    <w:p w14:paraId="371D34B7" w14:textId="77777777" w:rsidR="007D5748" w:rsidRPr="007B7470" w:rsidRDefault="007D5748" w:rsidP="007D5748">
      <w:pPr>
        <w:spacing w:after="0" w:line="240" w:lineRule="auto"/>
        <w:jc w:val="both"/>
        <w:rPr>
          <w:rFonts w:ascii="Times New Roman" w:eastAsia="Times New Roman" w:hAnsi="Times New Roman" w:cs="Verdana"/>
          <w:b/>
          <w:bCs/>
          <w:iCs/>
          <w:color w:val="000000" w:themeColor="text1"/>
          <w:sz w:val="24"/>
          <w:szCs w:val="24"/>
        </w:rPr>
      </w:pPr>
    </w:p>
    <w:p w14:paraId="371D34B8" w14:textId="77777777" w:rsidR="007D5748" w:rsidRPr="007B7470" w:rsidRDefault="007D5748" w:rsidP="007D5748">
      <w:pPr>
        <w:spacing w:after="0" w:line="240" w:lineRule="auto"/>
        <w:jc w:val="both"/>
        <w:rPr>
          <w:rFonts w:ascii="Times New Roman" w:eastAsia="Times New Roman" w:hAnsi="Times New Roman" w:cs="Verdana"/>
          <w:b/>
          <w:bCs/>
          <w:iCs/>
          <w:color w:val="000000" w:themeColor="text1"/>
          <w:sz w:val="24"/>
          <w:szCs w:val="24"/>
        </w:rPr>
      </w:pPr>
      <w:r w:rsidRPr="007B7470">
        <w:rPr>
          <w:rFonts w:ascii="Times New Roman" w:eastAsia="Times New Roman" w:hAnsi="Times New Roman" w:cs="Verdana"/>
          <w:b/>
          <w:bCs/>
          <w:iCs/>
          <w:color w:val="000000" w:themeColor="text1"/>
          <w:sz w:val="24"/>
          <w:szCs w:val="24"/>
        </w:rPr>
        <w:t>2.3.2. Tabuľka č. 4</w:t>
      </w:r>
      <w:r w:rsidR="00CB04E9" w:rsidRPr="007B7470">
        <w:rPr>
          <w:rFonts w:ascii="Times New Roman" w:eastAsia="Times New Roman" w:hAnsi="Times New Roman" w:cs="Verdana"/>
          <w:b/>
          <w:bCs/>
          <w:iCs/>
          <w:color w:val="000000" w:themeColor="text1"/>
          <w:sz w:val="24"/>
          <w:szCs w:val="24"/>
        </w:rPr>
        <w:t xml:space="preserve">/A </w:t>
      </w:r>
      <w:proofErr w:type="spellStart"/>
      <w:r w:rsidR="00CB04E9" w:rsidRPr="007B7470">
        <w:rPr>
          <w:rFonts w:ascii="Times New Roman" w:eastAsia="Times New Roman" w:hAnsi="Times New Roman" w:cs="Verdana"/>
          <w:b/>
          <w:bCs/>
          <w:iCs/>
          <w:color w:val="000000" w:themeColor="text1"/>
          <w:sz w:val="24"/>
          <w:szCs w:val="24"/>
        </w:rPr>
        <w:t>a</w:t>
      </w:r>
      <w:proofErr w:type="spellEnd"/>
      <w:r w:rsidR="00CB04E9" w:rsidRPr="007B7470">
        <w:rPr>
          <w:rFonts w:ascii="Times New Roman" w:eastAsia="Times New Roman" w:hAnsi="Times New Roman" w:cs="Verdana"/>
          <w:b/>
          <w:bCs/>
          <w:iCs/>
          <w:color w:val="000000" w:themeColor="text1"/>
          <w:sz w:val="24"/>
          <w:szCs w:val="24"/>
        </w:rPr>
        <w:t> č. 4/B</w:t>
      </w:r>
      <w:r w:rsidRPr="007B7470">
        <w:rPr>
          <w:rFonts w:ascii="Times New Roman" w:eastAsia="Times New Roman" w:hAnsi="Times New Roman" w:cs="Verdana"/>
          <w:b/>
          <w:bCs/>
          <w:iCs/>
          <w:color w:val="000000" w:themeColor="text1"/>
          <w:sz w:val="24"/>
          <w:szCs w:val="24"/>
        </w:rPr>
        <w:t>: tabuľka vplyvov na výdavky</w:t>
      </w:r>
    </w:p>
    <w:p w14:paraId="371D34B9" w14:textId="77777777" w:rsidR="007D5748" w:rsidRPr="007B7470" w:rsidRDefault="007D5748" w:rsidP="007D5748">
      <w:pPr>
        <w:spacing w:after="0" w:line="240" w:lineRule="auto"/>
        <w:jc w:val="both"/>
        <w:rPr>
          <w:rFonts w:ascii="Times New Roman" w:eastAsia="Times New Roman" w:hAnsi="Times New Roman" w:cs="Verdana"/>
          <w:i/>
          <w:iCs/>
          <w:color w:val="000000" w:themeColor="text1"/>
          <w:sz w:val="24"/>
          <w:szCs w:val="24"/>
        </w:rPr>
      </w:pPr>
    </w:p>
    <w:p w14:paraId="371D34BA"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 :</w:t>
      </w:r>
      <w:r w:rsidRPr="007B7470">
        <w:rPr>
          <w:rFonts w:ascii="Times New Roman" w:eastAsia="Times New Roman" w:hAnsi="Times New Roman" w:cs="Times New Roman"/>
          <w:color w:val="000000" w:themeColor="text1"/>
          <w:sz w:val="24"/>
          <w:szCs w:val="24"/>
          <w:lang w:eastAsia="sk-SK"/>
        </w:rPr>
        <w:t>Výška odhadovaného vplyvu na výdavky</w:t>
      </w:r>
      <w:r w:rsidR="00C15D88" w:rsidRPr="007B7470">
        <w:rPr>
          <w:rFonts w:ascii="Times New Roman" w:eastAsia="Times New Roman" w:hAnsi="Times New Roman" w:cs="Times New Roman"/>
          <w:color w:val="000000" w:themeColor="text1"/>
          <w:sz w:val="24"/>
          <w:szCs w:val="24"/>
          <w:lang w:eastAsia="sk-SK"/>
        </w:rPr>
        <w:t xml:space="preserve"> a limit verejných výdavkov</w:t>
      </w:r>
      <w:r w:rsidRPr="007B7470">
        <w:rPr>
          <w:rFonts w:ascii="Times New Roman" w:eastAsia="Times New Roman" w:hAnsi="Times New Roman" w:cs="Times New Roman"/>
          <w:color w:val="000000" w:themeColor="text1"/>
          <w:sz w:val="24"/>
          <w:szCs w:val="24"/>
          <w:lang w:eastAsia="sk-SK"/>
        </w:rPr>
        <w:t xml:space="preserve"> za jednotlivé subjekty verejnej správy / programy, na ktoré má ná</w:t>
      </w:r>
      <w:r w:rsidR="00C15D88" w:rsidRPr="007B7470">
        <w:rPr>
          <w:rFonts w:ascii="Times New Roman" w:eastAsia="Times New Roman" w:hAnsi="Times New Roman" w:cs="Times New Roman"/>
          <w:color w:val="000000" w:themeColor="text1"/>
          <w:sz w:val="24"/>
          <w:szCs w:val="24"/>
          <w:lang w:eastAsia="sk-SK"/>
        </w:rPr>
        <w:t>vrh vplyv, sa uvedie do súhrnných tabuliek</w:t>
      </w:r>
      <w:r w:rsidRPr="007B7470">
        <w:rPr>
          <w:rFonts w:ascii="Times New Roman" w:eastAsia="Times New Roman" w:hAnsi="Times New Roman" w:cs="Times New Roman"/>
          <w:color w:val="000000" w:themeColor="text1"/>
          <w:sz w:val="24"/>
          <w:szCs w:val="24"/>
          <w:lang w:eastAsia="sk-SK"/>
        </w:rPr>
        <w:t xml:space="preserve"> v časti 2.1 prílohy č. 2 na základe podrobnejších údajov z tabuliek č. 3</w:t>
      </w:r>
      <w:r w:rsidR="00782B91" w:rsidRPr="007B7470">
        <w:rPr>
          <w:rFonts w:ascii="Times New Roman" w:eastAsia="Times New Roman" w:hAnsi="Times New Roman" w:cs="Times New Roman"/>
          <w:color w:val="000000" w:themeColor="text1"/>
          <w:sz w:val="24"/>
          <w:szCs w:val="24"/>
          <w:lang w:eastAsia="sk-SK"/>
        </w:rPr>
        <w:t>, 4/B</w:t>
      </w:r>
      <w:r w:rsidRPr="007B7470">
        <w:rPr>
          <w:rFonts w:ascii="Times New Roman" w:eastAsia="Times New Roman" w:hAnsi="Times New Roman" w:cs="Times New Roman"/>
          <w:color w:val="000000" w:themeColor="text1"/>
          <w:sz w:val="24"/>
          <w:szCs w:val="24"/>
          <w:lang w:eastAsia="sk-SK"/>
        </w:rPr>
        <w:t xml:space="preserve"> </w:t>
      </w:r>
      <w:r w:rsidR="00782B91" w:rsidRPr="007B7470">
        <w:rPr>
          <w:rFonts w:ascii="Times New Roman" w:eastAsia="Times New Roman" w:hAnsi="Times New Roman" w:cs="Times New Roman"/>
          <w:color w:val="000000" w:themeColor="text1"/>
          <w:sz w:val="24"/>
          <w:szCs w:val="24"/>
          <w:lang w:eastAsia="sk-SK"/>
        </w:rPr>
        <w:t>a</w:t>
      </w:r>
      <w:r w:rsidRPr="007B7470">
        <w:rPr>
          <w:rFonts w:ascii="Times New Roman" w:eastAsia="Times New Roman" w:hAnsi="Times New Roman" w:cs="Times New Roman"/>
          <w:color w:val="000000" w:themeColor="text1"/>
          <w:sz w:val="24"/>
          <w:szCs w:val="24"/>
          <w:lang w:eastAsia="sk-SK"/>
        </w:rPr>
        <w:t xml:space="preserve"> č. 5. </w:t>
      </w:r>
      <w:r w:rsidR="005C1A2B" w:rsidRPr="007B7470">
        <w:rPr>
          <w:rFonts w:ascii="Times New Roman" w:eastAsia="Times New Roman" w:hAnsi="Times New Roman" w:cs="Times New Roman"/>
          <w:color w:val="000000" w:themeColor="text1"/>
          <w:sz w:val="24"/>
          <w:szCs w:val="24"/>
          <w:lang w:eastAsia="sk-SK"/>
        </w:rPr>
        <w:t xml:space="preserve">Tabuľka č. 4/A sa vypĺňa na hotovostnom princípe, tabuľka č. 4/B sa uvádza v metodike ESA 2010. </w:t>
      </w:r>
      <w:r w:rsidRPr="007B7470">
        <w:rPr>
          <w:rFonts w:ascii="Times New Roman" w:eastAsia="Times New Roman" w:hAnsi="Times New Roman" w:cs="Times New Roman"/>
          <w:color w:val="000000" w:themeColor="text1"/>
          <w:sz w:val="24"/>
          <w:szCs w:val="24"/>
          <w:lang w:eastAsia="sk-SK"/>
        </w:rPr>
        <w:t>Na základe podkladov a konzultácií spracuje predkladateľ súhrnn</w:t>
      </w:r>
      <w:r w:rsidR="00CB04E9" w:rsidRPr="007B7470">
        <w:rPr>
          <w:rFonts w:ascii="Times New Roman" w:eastAsia="Times New Roman" w:hAnsi="Times New Roman" w:cs="Times New Roman"/>
          <w:color w:val="000000" w:themeColor="text1"/>
          <w:sz w:val="24"/>
          <w:szCs w:val="24"/>
          <w:lang w:eastAsia="sk-SK"/>
        </w:rPr>
        <w:t>ú tabuľku za celý návrh. Tabuľky výdavkov by mali</w:t>
      </w:r>
      <w:r w:rsidRPr="007B7470">
        <w:rPr>
          <w:rFonts w:ascii="Times New Roman" w:eastAsia="Times New Roman" w:hAnsi="Times New Roman" w:cs="Times New Roman"/>
          <w:color w:val="000000" w:themeColor="text1"/>
          <w:sz w:val="24"/>
          <w:szCs w:val="24"/>
          <w:lang w:eastAsia="sk-SK"/>
        </w:rPr>
        <w:t xml:space="preserve"> vyjadrovať celkový vplyv na výdavky</w:t>
      </w:r>
      <w:r w:rsidR="00C15D88" w:rsidRPr="007B7470">
        <w:rPr>
          <w:rFonts w:ascii="Times New Roman" w:eastAsia="Times New Roman" w:hAnsi="Times New Roman" w:cs="Times New Roman"/>
          <w:color w:val="000000" w:themeColor="text1"/>
          <w:sz w:val="24"/>
          <w:szCs w:val="24"/>
          <w:lang w:eastAsia="sk-SK"/>
        </w:rPr>
        <w:t xml:space="preserve"> a limit verejných výdavkov</w:t>
      </w:r>
      <w:r w:rsidRPr="007B7470">
        <w:rPr>
          <w:rFonts w:ascii="Times New Roman" w:eastAsia="Times New Roman" w:hAnsi="Times New Roman" w:cs="Times New Roman"/>
          <w:color w:val="000000" w:themeColor="text1"/>
          <w:sz w:val="24"/>
          <w:szCs w:val="24"/>
          <w:lang w:eastAsia="sk-SK"/>
        </w:rPr>
        <w:t xml:space="preserve"> podľa podrobnej klasifikácie výdavkov na základe vstupov od  dotknutých strán. </w:t>
      </w:r>
    </w:p>
    <w:p w14:paraId="371D34BB"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371D34BC"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Cs/>
          <w:color w:val="000000" w:themeColor="text1"/>
          <w:sz w:val="24"/>
          <w:szCs w:val="24"/>
          <w:lang w:eastAsia="sk-SK"/>
        </w:rPr>
        <w:t>:</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Vyhodnotí primeranosť projekcií a výpočtov. Potvrdí, že údaje v tabuľke sú náležite roztriedené a dávajú jasný obraz o vplyve návrhu na výdavky</w:t>
      </w:r>
      <w:r w:rsidR="00782B91" w:rsidRPr="00F2530E">
        <w:rPr>
          <w:rFonts w:ascii="Times New Roman" w:eastAsia="Times New Roman" w:hAnsi="Times New Roman" w:cs="Times New Roman"/>
          <w:color w:val="000000" w:themeColor="text1"/>
          <w:sz w:val="24"/>
          <w:szCs w:val="24"/>
          <w:lang w:eastAsia="sk-SK"/>
        </w:rPr>
        <w:t xml:space="preserve"> a limit výdavkov</w:t>
      </w:r>
      <w:r w:rsidRPr="00F2530E">
        <w:rPr>
          <w:rFonts w:ascii="Times New Roman" w:eastAsia="Times New Roman" w:hAnsi="Times New Roman" w:cs="Times New Roman"/>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rozpočtu verejnej správy. Ak sa vyskytnú problémy, požiada predkladateľa, aby upravil príslušné číselné hodnoty.</w:t>
      </w:r>
    </w:p>
    <w:p w14:paraId="371D34BD" w14:textId="77777777" w:rsidR="00E963A3" w:rsidRPr="007B7470" w:rsidRDefault="00E963A3"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14:paraId="371D34BE" w14:textId="77777777" w:rsidR="007D5748" w:rsidRPr="007B7470" w:rsidRDefault="007D5748" w:rsidP="007D5748">
      <w:pPr>
        <w:spacing w:after="0" w:line="240" w:lineRule="auto"/>
        <w:jc w:val="both"/>
        <w:rPr>
          <w:rFonts w:ascii="Times New Roman" w:eastAsia="Times New Roman" w:hAnsi="Times New Roman" w:cs="Verdana"/>
          <w:b/>
          <w:bCs/>
          <w:iCs/>
          <w:color w:val="000000" w:themeColor="text1"/>
          <w:sz w:val="24"/>
          <w:szCs w:val="24"/>
        </w:rPr>
      </w:pPr>
      <w:r w:rsidRPr="007B7470">
        <w:rPr>
          <w:rFonts w:ascii="Times New Roman" w:eastAsia="Times New Roman" w:hAnsi="Times New Roman" w:cs="Verdana"/>
          <w:b/>
          <w:bCs/>
          <w:iCs/>
          <w:color w:val="000000" w:themeColor="text1"/>
          <w:sz w:val="24"/>
          <w:szCs w:val="24"/>
        </w:rPr>
        <w:t>2.3.3. Tabuľka č. 5: tabuľka vplyvov na zamestnanosť</w:t>
      </w:r>
    </w:p>
    <w:p w14:paraId="371D34BF" w14:textId="77777777"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14:paraId="371D34C0"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bCs/>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Ak daný návrh nemá žiadny vplyv na zamestnanosť, tabuľka č. 5 sa nemusí vypĺňať. V prípade, že vplyvom návrhu dochádza k nárastu alebo úbytku pracovných miest vo verejnej správe, je potrebné túto skutočnosť uviesť v tabuľke. Predkladateľ vyplní predpokladané počty zamestnancov so znamienkom plus alebo mínus do príslušného riadku podľa vykonávanej činnosti.  V nasledujúcich rokoch je potrebné uvádzať celkové počty zamestnancov, nielen medziročný nárast ich počtu. Podľa predpokladaného platového zaradenia predkladateľ vyplní aj priemerné mzdové výdavky pripadajúce na jedného zamestnanca v danej kategórii, t.</w:t>
      </w:r>
      <w:r w:rsidR="001F5D86">
        <w:rPr>
          <w:rFonts w:ascii="Times New Roman" w:eastAsia="Times New Roman" w:hAnsi="Times New Roman" w:cs="Times New Roman"/>
          <w:color w:val="000000" w:themeColor="text1"/>
          <w:sz w:val="24"/>
          <w:szCs w:val="24"/>
          <w:lang w:eastAsia="sk-SK"/>
        </w:rPr>
        <w:t> </w:t>
      </w:r>
      <w:r w:rsidRPr="007B7470">
        <w:rPr>
          <w:rFonts w:ascii="Times New Roman" w:eastAsia="Times New Roman" w:hAnsi="Times New Roman" w:cs="Times New Roman"/>
          <w:color w:val="000000" w:themeColor="text1"/>
          <w:sz w:val="24"/>
          <w:szCs w:val="24"/>
          <w:lang w:eastAsia="sk-SK"/>
        </w:rPr>
        <w:t>j. vrátane všetkých tarifných i </w:t>
      </w:r>
      <w:proofErr w:type="spellStart"/>
      <w:r w:rsidRPr="007B7470">
        <w:rPr>
          <w:rFonts w:ascii="Times New Roman" w:eastAsia="Times New Roman" w:hAnsi="Times New Roman" w:cs="Times New Roman"/>
          <w:color w:val="000000" w:themeColor="text1"/>
          <w:sz w:val="24"/>
          <w:szCs w:val="24"/>
          <w:lang w:eastAsia="sk-SK"/>
        </w:rPr>
        <w:t>nadtarifných</w:t>
      </w:r>
      <w:proofErr w:type="spellEnd"/>
      <w:r w:rsidRPr="007B7470">
        <w:rPr>
          <w:rFonts w:ascii="Times New Roman" w:eastAsia="Times New Roman" w:hAnsi="Times New Roman" w:cs="Times New Roman"/>
          <w:color w:val="000000" w:themeColor="text1"/>
          <w:sz w:val="24"/>
          <w:szCs w:val="24"/>
          <w:lang w:eastAsia="sk-SK"/>
        </w:rPr>
        <w:t xml:space="preserve"> zložiek platu. V ďalších rokoch by mal predkladateľ uvažovať so všeobecnou valorizáciou priemerných mzdových výdavkov na príslušný rok. Celkové mzdové výdavky na týchto zamestnancov so stanovenými priemernými mzdovými výdavkami budú v spodnej časti tabuľky prepočítané automaticky. Tabuľka zamestnanosti by mala ukazovať celkový vplyv návrhu na zamestnanosť vo verejnej správe určený na základe vstupov od dotknutých subjektov. Celkový vplyv návrhu na zamestnanosť podľa jednotlivých subjektov verejnej správy / programov je potrebné zahrnúť do súhrnnej tabuľky č. 1 v časti 2.1. prílohy č. 2.</w:t>
      </w:r>
    </w:p>
    <w:p w14:paraId="371D34C1" w14:textId="77777777"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u w:val="single"/>
          <w:lang w:eastAsia="sk-SK"/>
        </w:rPr>
      </w:pPr>
    </w:p>
    <w:p w14:paraId="371D34C2" w14:textId="77777777"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Cs/>
          <w:color w:val="000000" w:themeColor="text1"/>
          <w:sz w:val="24"/>
          <w:szCs w:val="24"/>
          <w:lang w:eastAsia="sk-SK"/>
        </w:rPr>
        <w:t>:</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 xml:space="preserve">Vyhodnotí primeranosť projekcií a výpočtov. Potvrdí, že údaje v tabuľke sú náležite roztriedené a dávajú jasný obraz o vplyve návrhu na zamestnanosť vo verejnej správe. Ak sa vyskytnú problémy, požiada predkladateľa, aby upravil príslušné číselné hodnoty. </w:t>
      </w:r>
    </w:p>
    <w:p w14:paraId="371D34C3" w14:textId="77777777" w:rsidR="00D9171A" w:rsidRPr="007B7470" w:rsidRDefault="00D9171A" w:rsidP="00D9171A">
      <w:pPr>
        <w:spacing w:after="0" w:line="240" w:lineRule="auto"/>
        <w:jc w:val="both"/>
        <w:rPr>
          <w:rFonts w:ascii="Times New Roman" w:eastAsia="Times New Roman" w:hAnsi="Times New Roman" w:cs="Times New Roman"/>
          <w:color w:val="000000" w:themeColor="text1"/>
          <w:sz w:val="24"/>
          <w:szCs w:val="24"/>
          <w:lang w:eastAsia="sk-SK"/>
        </w:rPr>
      </w:pPr>
    </w:p>
    <w:p w14:paraId="371D34C4" w14:textId="77777777" w:rsidR="00D9171A" w:rsidRPr="007B7470" w:rsidRDefault="00D9171A" w:rsidP="00D9171A">
      <w:pPr>
        <w:spacing w:after="0" w:line="240" w:lineRule="auto"/>
        <w:jc w:val="both"/>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2.3.4. Tabuľka č. 6: tabuľka vplyvov na dlhodobú udržateľnosť verejných financií</w:t>
      </w:r>
    </w:p>
    <w:p w14:paraId="371D34C5" w14:textId="77777777" w:rsidR="00D9171A" w:rsidRPr="007B7470" w:rsidRDefault="00D9171A" w:rsidP="00D9171A">
      <w:pPr>
        <w:spacing w:after="0" w:line="240" w:lineRule="auto"/>
        <w:jc w:val="both"/>
        <w:rPr>
          <w:rFonts w:ascii="Times New Roman" w:eastAsia="Times New Roman" w:hAnsi="Times New Roman" w:cs="Times New Roman"/>
          <w:b/>
          <w:color w:val="000000" w:themeColor="text1"/>
          <w:sz w:val="24"/>
          <w:szCs w:val="24"/>
          <w:lang w:eastAsia="sk-SK"/>
        </w:rPr>
      </w:pPr>
    </w:p>
    <w:p w14:paraId="371D34C6" w14:textId="77777777" w:rsidR="00D9171A" w:rsidRPr="007B7470" w:rsidRDefault="00D9171A" w:rsidP="00D9171A">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Predkladateľ: Vypĺňa sa len pre opatrenia, týkajúce sa I. a II. piliera systému univerzálneho dôchodkového zabezpečenia s identifikovaným vplyvom od</w:t>
      </w:r>
      <w:r w:rsidR="003B7684" w:rsidRPr="007B7470">
        <w:rPr>
          <w:rFonts w:ascii="Times New Roman" w:eastAsia="Times New Roman" w:hAnsi="Times New Roman" w:cs="Times New Roman"/>
          <w:color w:val="000000" w:themeColor="text1"/>
          <w:sz w:val="24"/>
          <w:szCs w:val="24"/>
          <w:lang w:eastAsia="sk-SK"/>
        </w:rPr>
        <w:t xml:space="preserve"> 0,</w:t>
      </w:r>
      <w:r w:rsidRPr="007B7470">
        <w:rPr>
          <w:rFonts w:ascii="Times New Roman" w:eastAsia="Times New Roman" w:hAnsi="Times New Roman" w:cs="Times New Roman"/>
          <w:color w:val="000000" w:themeColor="text1"/>
          <w:sz w:val="24"/>
          <w:szCs w:val="24"/>
          <w:lang w:eastAsia="sk-SK"/>
        </w:rPr>
        <w:t>1 % HDP (vrátane) na dlhodobom horizonte. Ak daný návrh nemá žiadny vplyv na dlhodobú udržateľnosť verejných financií, tabuľka č. 6 sa nevypĺňa. V prípade, že vplyvom návrhu dochádza k zhoršeniu alebo k zlepšeniu udržateľnosti verejných financií, je potrebné túto skutočnosť uviesť v tabuľke. Pri kvantifikácii sa využije štandardný model určený na dlhodobé projekcie a kvantifikáciu dlhodobých vplyvov legislatívnych zmien. Tabuľka by mala vyjadrovať celkový vplyv na výdavky, príjmy a bilanciu verejných financií v p. b. HDP počas najbližších 5 dekád.</w:t>
      </w:r>
    </w:p>
    <w:p w14:paraId="371D34C7" w14:textId="77777777" w:rsidR="00D9171A" w:rsidRPr="007B7470" w:rsidRDefault="00D9171A" w:rsidP="00D9171A">
      <w:pPr>
        <w:spacing w:after="0" w:line="240" w:lineRule="auto"/>
        <w:jc w:val="both"/>
        <w:rPr>
          <w:rFonts w:ascii="Times New Roman" w:eastAsia="Times New Roman" w:hAnsi="Times New Roman" w:cs="Times New Roman"/>
          <w:color w:val="000000" w:themeColor="text1"/>
          <w:sz w:val="24"/>
          <w:szCs w:val="24"/>
          <w:lang w:eastAsia="sk-SK"/>
        </w:rPr>
      </w:pPr>
    </w:p>
    <w:p w14:paraId="371D34C8" w14:textId="77777777" w:rsidR="00D9171A" w:rsidRPr="00A738C0" w:rsidRDefault="00D9171A" w:rsidP="00D9171A">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MF SR: Vyhodnotí primeranosť projekcií a výpočtov. Potvrdí, že údaje v tabuľke sú náležite roztriedené a dávajú jasný obraz o vplyve návrhu na dlhodobú udržateľnosť verejných </w:t>
      </w:r>
      <w:r w:rsidRPr="007B7470">
        <w:rPr>
          <w:rFonts w:ascii="Times New Roman" w:eastAsia="Times New Roman" w:hAnsi="Times New Roman" w:cs="Times New Roman"/>
          <w:color w:val="000000" w:themeColor="text1"/>
          <w:sz w:val="24"/>
          <w:szCs w:val="24"/>
          <w:lang w:eastAsia="sk-SK"/>
        </w:rPr>
        <w:lastRenderedPageBreak/>
        <w:t>financií. Ak sa vyskytnú problémy, požiada predkladateľa, aby upravil príslušné</w:t>
      </w:r>
      <w:r w:rsidR="000F00DA" w:rsidRPr="007B7470">
        <w:rPr>
          <w:rFonts w:ascii="Times New Roman" w:eastAsia="Times New Roman" w:hAnsi="Times New Roman" w:cs="Times New Roman"/>
          <w:color w:val="000000" w:themeColor="text1"/>
          <w:sz w:val="24"/>
          <w:szCs w:val="24"/>
          <w:lang w:eastAsia="sk-SK"/>
        </w:rPr>
        <w:t xml:space="preserve"> číselné hodnoty.</w:t>
      </w:r>
    </w:p>
    <w:p w14:paraId="371D34C9" w14:textId="77777777" w:rsidR="00D9171A" w:rsidRPr="00A738C0" w:rsidRDefault="00D9171A" w:rsidP="00D9171A">
      <w:pPr>
        <w:spacing w:after="0" w:line="240" w:lineRule="auto"/>
        <w:jc w:val="both"/>
        <w:rPr>
          <w:rFonts w:ascii="Times New Roman" w:eastAsia="Times New Roman" w:hAnsi="Times New Roman" w:cs="Times New Roman"/>
          <w:color w:val="000000" w:themeColor="text1"/>
          <w:sz w:val="24"/>
          <w:szCs w:val="24"/>
          <w:lang w:eastAsia="sk-SK"/>
        </w:rPr>
      </w:pPr>
    </w:p>
    <w:p w14:paraId="371D34CA" w14:textId="77777777" w:rsidR="00CB3623" w:rsidRPr="00A738C0" w:rsidRDefault="00CB3623">
      <w:pPr>
        <w:rPr>
          <w:color w:val="000000" w:themeColor="text1"/>
        </w:rPr>
      </w:pPr>
    </w:p>
    <w:sectPr w:rsidR="00CB3623" w:rsidRPr="00A738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3AFF3" w14:textId="77777777" w:rsidR="00F65801" w:rsidRDefault="00F65801">
      <w:pPr>
        <w:spacing w:after="0" w:line="240" w:lineRule="auto"/>
      </w:pPr>
      <w:r>
        <w:separator/>
      </w:r>
    </w:p>
  </w:endnote>
  <w:endnote w:type="continuationSeparator" w:id="0">
    <w:p w14:paraId="70D702E7" w14:textId="77777777" w:rsidR="00F65801" w:rsidRDefault="00F65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D34D2" w14:textId="7CB5CF0A" w:rsidR="002135D4" w:rsidRDefault="002135D4">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14:paraId="371D34D3" w14:textId="77777777" w:rsidR="002135D4" w:rsidRDefault="002135D4">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D34D4" w14:textId="4FF5F3F4" w:rsidR="002135D4" w:rsidRDefault="002135D4">
    <w:pPr>
      <w:pStyle w:val="Pta"/>
      <w:jc w:val="right"/>
    </w:pPr>
    <w:r>
      <w:fldChar w:fldCharType="begin"/>
    </w:r>
    <w:r>
      <w:instrText>PAGE   \* MERGEFORMAT</w:instrText>
    </w:r>
    <w:r>
      <w:fldChar w:fldCharType="separate"/>
    </w:r>
    <w:r w:rsidR="00832D80">
      <w:rPr>
        <w:noProof/>
      </w:rPr>
      <w:t>1</w:t>
    </w:r>
    <w:r>
      <w:fldChar w:fldCharType="end"/>
    </w:r>
  </w:p>
  <w:p w14:paraId="371D34D5" w14:textId="77777777" w:rsidR="002135D4" w:rsidRDefault="002135D4">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D34D7" w14:textId="271181CA" w:rsidR="002135D4" w:rsidRDefault="002135D4">
    <w:pPr>
      <w:pStyle w:val="Pta"/>
      <w:jc w:val="right"/>
    </w:pPr>
    <w:r>
      <w:fldChar w:fldCharType="begin"/>
    </w:r>
    <w:r>
      <w:instrText>PAGE   \* MERGEFORMAT</w:instrText>
    </w:r>
    <w:r>
      <w:fldChar w:fldCharType="separate"/>
    </w:r>
    <w:r>
      <w:rPr>
        <w:noProof/>
      </w:rPr>
      <w:t>0</w:t>
    </w:r>
    <w:r>
      <w:fldChar w:fldCharType="end"/>
    </w:r>
  </w:p>
  <w:p w14:paraId="371D34D8" w14:textId="77777777" w:rsidR="002135D4" w:rsidRDefault="002135D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67F36" w14:textId="77777777" w:rsidR="00F65801" w:rsidRDefault="00F65801">
      <w:pPr>
        <w:spacing w:after="0" w:line="240" w:lineRule="auto"/>
      </w:pPr>
      <w:r>
        <w:separator/>
      </w:r>
    </w:p>
  </w:footnote>
  <w:footnote w:type="continuationSeparator" w:id="0">
    <w:p w14:paraId="24CFC484" w14:textId="77777777" w:rsidR="00F65801" w:rsidRDefault="00F658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D34CF" w14:textId="77777777" w:rsidR="002135D4" w:rsidRDefault="002135D4" w:rsidP="002B63FD">
    <w:pPr>
      <w:pStyle w:val="Hlavika"/>
      <w:jc w:val="right"/>
      <w:rPr>
        <w:sz w:val="24"/>
        <w:szCs w:val="24"/>
      </w:rPr>
    </w:pPr>
    <w:r>
      <w:rPr>
        <w:sz w:val="24"/>
        <w:szCs w:val="24"/>
      </w:rPr>
      <w:t>Príloha č. 2</w:t>
    </w:r>
  </w:p>
  <w:p w14:paraId="371D34D0" w14:textId="77777777" w:rsidR="002135D4" w:rsidRPr="00EB59C8" w:rsidRDefault="002135D4"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D34D1" w14:textId="77777777" w:rsidR="002135D4" w:rsidRPr="0024067A" w:rsidRDefault="002135D4">
    <w:pPr>
      <w:pStyle w:val="Hlavika"/>
      <w:jc w:val="right"/>
      <w:rPr>
        <w:sz w:val="24"/>
        <w:szCs w:val="24"/>
      </w:rPr>
    </w:pPr>
    <w:r w:rsidRPr="0024067A">
      <w:rPr>
        <w:sz w:val="24"/>
        <w:szCs w:val="24"/>
      </w:rPr>
      <w:t>Príloha č.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D34D6" w14:textId="77777777" w:rsidR="002135D4" w:rsidRPr="000A15AE" w:rsidRDefault="002135D4"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num w:numId="1" w16cid:durableId="1763182228">
    <w:abstractNumId w:val="1"/>
  </w:num>
  <w:num w:numId="2" w16cid:durableId="496383194">
    <w:abstractNumId w:val="2"/>
  </w:num>
  <w:num w:numId="3" w16cid:durableId="2109765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5EC"/>
    <w:rsid w:val="0001196B"/>
    <w:rsid w:val="00020C9C"/>
    <w:rsid w:val="00021DFF"/>
    <w:rsid w:val="00024E31"/>
    <w:rsid w:val="00035EB6"/>
    <w:rsid w:val="00054D9E"/>
    <w:rsid w:val="00057135"/>
    <w:rsid w:val="00057354"/>
    <w:rsid w:val="00087A66"/>
    <w:rsid w:val="0009633F"/>
    <w:rsid w:val="000A0AB7"/>
    <w:rsid w:val="000B509B"/>
    <w:rsid w:val="000E1D8D"/>
    <w:rsid w:val="000F00DA"/>
    <w:rsid w:val="000F6286"/>
    <w:rsid w:val="001030E1"/>
    <w:rsid w:val="001127A8"/>
    <w:rsid w:val="00116F99"/>
    <w:rsid w:val="00125426"/>
    <w:rsid w:val="00132808"/>
    <w:rsid w:val="00133DAB"/>
    <w:rsid w:val="00144606"/>
    <w:rsid w:val="00146064"/>
    <w:rsid w:val="001470F4"/>
    <w:rsid w:val="00170D2B"/>
    <w:rsid w:val="001B1E22"/>
    <w:rsid w:val="001C721D"/>
    <w:rsid w:val="001D1E41"/>
    <w:rsid w:val="001F5D86"/>
    <w:rsid w:val="001F624A"/>
    <w:rsid w:val="00200898"/>
    <w:rsid w:val="00206D4D"/>
    <w:rsid w:val="002076E0"/>
    <w:rsid w:val="00212894"/>
    <w:rsid w:val="002135D4"/>
    <w:rsid w:val="00216D28"/>
    <w:rsid w:val="002177DB"/>
    <w:rsid w:val="00220CA4"/>
    <w:rsid w:val="0022347E"/>
    <w:rsid w:val="002309F4"/>
    <w:rsid w:val="002323BB"/>
    <w:rsid w:val="00237741"/>
    <w:rsid w:val="002A6C7E"/>
    <w:rsid w:val="002B5111"/>
    <w:rsid w:val="002B5AD4"/>
    <w:rsid w:val="002B63FD"/>
    <w:rsid w:val="00317B90"/>
    <w:rsid w:val="00320B6C"/>
    <w:rsid w:val="00335585"/>
    <w:rsid w:val="003408F5"/>
    <w:rsid w:val="00353F1F"/>
    <w:rsid w:val="00371AB1"/>
    <w:rsid w:val="003B2311"/>
    <w:rsid w:val="003B7684"/>
    <w:rsid w:val="003C5D33"/>
    <w:rsid w:val="003F35B7"/>
    <w:rsid w:val="003F7CF6"/>
    <w:rsid w:val="0042480F"/>
    <w:rsid w:val="00433E3F"/>
    <w:rsid w:val="00440A16"/>
    <w:rsid w:val="004451C4"/>
    <w:rsid w:val="00446310"/>
    <w:rsid w:val="00447C49"/>
    <w:rsid w:val="00474F11"/>
    <w:rsid w:val="00487203"/>
    <w:rsid w:val="00496917"/>
    <w:rsid w:val="004A4209"/>
    <w:rsid w:val="004B2ACA"/>
    <w:rsid w:val="004D169C"/>
    <w:rsid w:val="004E5E76"/>
    <w:rsid w:val="005005EC"/>
    <w:rsid w:val="005307FC"/>
    <w:rsid w:val="00530BAE"/>
    <w:rsid w:val="00545EEB"/>
    <w:rsid w:val="00553992"/>
    <w:rsid w:val="00592E96"/>
    <w:rsid w:val="005A7145"/>
    <w:rsid w:val="005B051A"/>
    <w:rsid w:val="005B43A7"/>
    <w:rsid w:val="005B73A5"/>
    <w:rsid w:val="005C1A2B"/>
    <w:rsid w:val="005E3699"/>
    <w:rsid w:val="005F2ACA"/>
    <w:rsid w:val="005F4B3D"/>
    <w:rsid w:val="0061046B"/>
    <w:rsid w:val="00621EDF"/>
    <w:rsid w:val="006236A6"/>
    <w:rsid w:val="00677F96"/>
    <w:rsid w:val="006A10A9"/>
    <w:rsid w:val="006A2947"/>
    <w:rsid w:val="006F4A9A"/>
    <w:rsid w:val="00701C2D"/>
    <w:rsid w:val="007246BD"/>
    <w:rsid w:val="00727689"/>
    <w:rsid w:val="00734912"/>
    <w:rsid w:val="00764AF5"/>
    <w:rsid w:val="00771B7B"/>
    <w:rsid w:val="0077530D"/>
    <w:rsid w:val="00782B91"/>
    <w:rsid w:val="00785085"/>
    <w:rsid w:val="0078795A"/>
    <w:rsid w:val="00790CA5"/>
    <w:rsid w:val="00797321"/>
    <w:rsid w:val="00797FE1"/>
    <w:rsid w:val="007B7470"/>
    <w:rsid w:val="007D5748"/>
    <w:rsid w:val="008205B7"/>
    <w:rsid w:val="00832D80"/>
    <w:rsid w:val="00841DEA"/>
    <w:rsid w:val="00893B20"/>
    <w:rsid w:val="00893B76"/>
    <w:rsid w:val="00897BE7"/>
    <w:rsid w:val="00897C72"/>
    <w:rsid w:val="008B4454"/>
    <w:rsid w:val="008D339D"/>
    <w:rsid w:val="008E2736"/>
    <w:rsid w:val="008E3204"/>
    <w:rsid w:val="008E5FEF"/>
    <w:rsid w:val="00912E59"/>
    <w:rsid w:val="00914319"/>
    <w:rsid w:val="00920137"/>
    <w:rsid w:val="00943733"/>
    <w:rsid w:val="00945A2A"/>
    <w:rsid w:val="00947EEE"/>
    <w:rsid w:val="00951781"/>
    <w:rsid w:val="009706B7"/>
    <w:rsid w:val="009A3221"/>
    <w:rsid w:val="009D49F9"/>
    <w:rsid w:val="009D63B6"/>
    <w:rsid w:val="00A411A7"/>
    <w:rsid w:val="00A41C65"/>
    <w:rsid w:val="00A42C6E"/>
    <w:rsid w:val="00A54429"/>
    <w:rsid w:val="00A72E75"/>
    <w:rsid w:val="00A738C0"/>
    <w:rsid w:val="00A82EFF"/>
    <w:rsid w:val="00A835BB"/>
    <w:rsid w:val="00A94F6A"/>
    <w:rsid w:val="00AB5919"/>
    <w:rsid w:val="00B15B33"/>
    <w:rsid w:val="00B5535C"/>
    <w:rsid w:val="00B801BA"/>
    <w:rsid w:val="00B92F23"/>
    <w:rsid w:val="00BC169E"/>
    <w:rsid w:val="00BF3BCC"/>
    <w:rsid w:val="00C15212"/>
    <w:rsid w:val="00C15D88"/>
    <w:rsid w:val="00C16C1B"/>
    <w:rsid w:val="00C246DF"/>
    <w:rsid w:val="00C32D2E"/>
    <w:rsid w:val="00C35146"/>
    <w:rsid w:val="00C455E9"/>
    <w:rsid w:val="00C4639B"/>
    <w:rsid w:val="00C5053B"/>
    <w:rsid w:val="00C51FD4"/>
    <w:rsid w:val="00C6080B"/>
    <w:rsid w:val="00C611AD"/>
    <w:rsid w:val="00C64BDB"/>
    <w:rsid w:val="00C653D7"/>
    <w:rsid w:val="00C740D1"/>
    <w:rsid w:val="00C936CE"/>
    <w:rsid w:val="00CA18F2"/>
    <w:rsid w:val="00CB04E9"/>
    <w:rsid w:val="00CB3623"/>
    <w:rsid w:val="00CB65C7"/>
    <w:rsid w:val="00CC0E46"/>
    <w:rsid w:val="00CD29D9"/>
    <w:rsid w:val="00CE299A"/>
    <w:rsid w:val="00CE359E"/>
    <w:rsid w:val="00CF2C35"/>
    <w:rsid w:val="00D11B6A"/>
    <w:rsid w:val="00D1526A"/>
    <w:rsid w:val="00D200BE"/>
    <w:rsid w:val="00D32B5E"/>
    <w:rsid w:val="00D476E0"/>
    <w:rsid w:val="00D55FF8"/>
    <w:rsid w:val="00D638F5"/>
    <w:rsid w:val="00D7236A"/>
    <w:rsid w:val="00D85029"/>
    <w:rsid w:val="00D9171A"/>
    <w:rsid w:val="00D922E5"/>
    <w:rsid w:val="00DA7503"/>
    <w:rsid w:val="00DB07D8"/>
    <w:rsid w:val="00DC140D"/>
    <w:rsid w:val="00DE04C5"/>
    <w:rsid w:val="00DE5BF1"/>
    <w:rsid w:val="00E07CE9"/>
    <w:rsid w:val="00E22160"/>
    <w:rsid w:val="00E4600B"/>
    <w:rsid w:val="00E4770B"/>
    <w:rsid w:val="00E831F1"/>
    <w:rsid w:val="00E84D90"/>
    <w:rsid w:val="00E963A3"/>
    <w:rsid w:val="00EA1E90"/>
    <w:rsid w:val="00ED2B29"/>
    <w:rsid w:val="00EE0CA3"/>
    <w:rsid w:val="00EE28EB"/>
    <w:rsid w:val="00F03306"/>
    <w:rsid w:val="00F20986"/>
    <w:rsid w:val="00F2530E"/>
    <w:rsid w:val="00F26C39"/>
    <w:rsid w:val="00F348E6"/>
    <w:rsid w:val="00F40136"/>
    <w:rsid w:val="00F6104D"/>
    <w:rsid w:val="00F65801"/>
    <w:rsid w:val="00FB4A4A"/>
    <w:rsid w:val="00FB7ADD"/>
    <w:rsid w:val="00FC2697"/>
    <w:rsid w:val="00FF1AF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1D3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797FE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4378</Words>
  <Characters>24959</Characters>
  <Application>Microsoft Office Word</Application>
  <DocSecurity>0</DocSecurity>
  <Lines>207</Lines>
  <Paragraphs>58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2026-07-30T10:00:00Z</dcterms:created>
  <dcterms:modified xsi:type="dcterms:W3CDTF">2026-07-30T10:00:00Z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d4986f-dcbf-4623-ae9a-8251714e0a88_Enabled">
    <vt:lpwstr>true</vt:lpwstr>
  </property>
  <property fmtid="{D5CDD505-2E9C-101B-9397-08002B2CF9AE}" pid="3" name="MSIP_Label_d8d4986f-dcbf-4623-ae9a-8251714e0a88_SetDate">
    <vt:lpwstr>2026-07-30T10:00:15Z</vt:lpwstr>
  </property>
  <property fmtid="{D5CDD505-2E9C-101B-9397-08002B2CF9AE}" pid="4" name="MSIP_Label_d8d4986f-dcbf-4623-ae9a-8251714e0a88_Method">
    <vt:lpwstr>Privileged</vt:lpwstr>
  </property>
  <property fmtid="{D5CDD505-2E9C-101B-9397-08002B2CF9AE}" pid="5" name="MSIP_Label_d8d4986f-dcbf-4623-ae9a-8251714e0a88_Name">
    <vt:lpwstr>Public</vt:lpwstr>
  </property>
  <property fmtid="{D5CDD505-2E9C-101B-9397-08002B2CF9AE}" pid="6" name="MSIP_Label_d8d4986f-dcbf-4623-ae9a-8251714e0a88_SiteId">
    <vt:lpwstr>579df390-dbff-49fd-8f10-624670566482</vt:lpwstr>
  </property>
  <property fmtid="{D5CDD505-2E9C-101B-9397-08002B2CF9AE}" pid="7" name="MSIP_Label_d8d4986f-dcbf-4623-ae9a-8251714e0a88_ActionId">
    <vt:lpwstr>663cf9fd-cc60-4ed1-af13-d34f9a95ccbf</vt:lpwstr>
  </property>
  <property fmtid="{D5CDD505-2E9C-101B-9397-08002B2CF9AE}" pid="8" name="MSIP_Label_d8d4986f-dcbf-4623-ae9a-8251714e0a88_ContentBits">
    <vt:lpwstr>0</vt:lpwstr>
  </property>
  <property fmtid="{D5CDD505-2E9C-101B-9397-08002B2CF9AE}" pid="9" name="MSIP_Label_d8d4986f-dcbf-4623-ae9a-8251714e0a88_Tag">
    <vt:lpwstr>10, 0, 1, 1</vt:lpwstr>
  </property>
</Properties>
</file>