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2A80D"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06C5C61B" w14:textId="77777777" w:rsidR="00054C41" w:rsidRPr="00895898" w:rsidRDefault="00054C41" w:rsidP="00054C41">
      <w:pPr>
        <w:jc w:val="both"/>
        <w:rPr>
          <w:rFonts w:ascii="Times New Roman" w:eastAsia="Calibri" w:hAnsi="Times New Roman" w:cs="Times New Roman"/>
          <w:b/>
          <w:sz w:val="24"/>
          <w:szCs w:val="24"/>
        </w:rPr>
      </w:pPr>
    </w:p>
    <w:p w14:paraId="6C4DA2F1" w14:textId="73D8E69E" w:rsidR="00054C41" w:rsidRPr="0001529A" w:rsidRDefault="00054C41" w:rsidP="00B50758">
      <w:pPr>
        <w:widowControl w:val="0"/>
        <w:autoSpaceDE w:val="0"/>
        <w:autoSpaceDN w:val="0"/>
        <w:adjustRightInd w:val="0"/>
        <w:spacing w:line="276" w:lineRule="auto"/>
        <w:ind w:left="1843" w:right="140" w:hanging="1843"/>
        <w:jc w:val="both"/>
        <w:rPr>
          <w:rFonts w:ascii="Times New Roman" w:eastAsia="Calibri" w:hAnsi="Times New Roman" w:cs="Times New Roman"/>
          <w:b/>
          <w:sz w:val="24"/>
          <w:szCs w:val="24"/>
        </w:rPr>
      </w:pPr>
      <w:r w:rsidRPr="0001529A">
        <w:rPr>
          <w:rFonts w:ascii="Times New Roman" w:eastAsia="Calibri" w:hAnsi="Times New Roman" w:cs="Times New Roman"/>
          <w:b/>
          <w:sz w:val="24"/>
          <w:szCs w:val="24"/>
        </w:rPr>
        <w:t>Názov materiálu:</w:t>
      </w:r>
      <w:r w:rsidR="0001529A" w:rsidRPr="0001529A">
        <w:rPr>
          <w:rFonts w:ascii="Times New Roman" w:eastAsia="Calibri" w:hAnsi="Times New Roman" w:cs="Times New Roman"/>
          <w:b/>
          <w:sz w:val="24"/>
          <w:szCs w:val="24"/>
        </w:rPr>
        <w:t xml:space="preserve"> </w:t>
      </w:r>
      <w:r w:rsidR="00265254">
        <w:rPr>
          <w:rFonts w:ascii="Times New Roman" w:eastAsia="Calibri" w:hAnsi="Times New Roman" w:cs="Times New Roman"/>
          <w:b/>
          <w:sz w:val="24"/>
          <w:szCs w:val="24"/>
        </w:rPr>
        <w:t>Návrh zákona</w:t>
      </w:r>
      <w:r w:rsidR="00265254">
        <w:rPr>
          <w:rFonts w:ascii="Times New Roman" w:eastAsia="Times New Roman" w:hAnsi="Times New Roman" w:cs="Times New Roman"/>
          <w:bCs/>
          <w:iCs/>
          <w:sz w:val="24"/>
          <w:szCs w:val="24"/>
          <w:lang w:eastAsia="sk-SK"/>
        </w:rPr>
        <w:t xml:space="preserve"> </w:t>
      </w:r>
      <w:r w:rsidR="00265254">
        <w:rPr>
          <w:rFonts w:ascii="Times New Roman" w:eastAsia="Calibri" w:hAnsi="Times New Roman" w:cs="Times New Roman"/>
          <w:b/>
          <w:bCs/>
          <w:iCs/>
          <w:sz w:val="24"/>
          <w:szCs w:val="24"/>
        </w:rPr>
        <w:t xml:space="preserve">o </w:t>
      </w:r>
      <w:r w:rsidR="00265254">
        <w:rPr>
          <w:rFonts w:ascii="Times New Roman" w:eastAsia="Calibri" w:hAnsi="Times New Roman" w:cs="Times New Roman"/>
          <w:b/>
          <w:sz w:val="24"/>
          <w:szCs w:val="24"/>
        </w:rPr>
        <w:t>ochrane pred legalizáciou výnosov z trestnej činnosti, financovaním terorizmu</w:t>
      </w:r>
      <w:r w:rsidR="00DE10BE">
        <w:rPr>
          <w:rFonts w:ascii="Times New Roman" w:eastAsia="Calibri" w:hAnsi="Times New Roman" w:cs="Times New Roman"/>
          <w:b/>
          <w:sz w:val="24"/>
          <w:szCs w:val="24"/>
        </w:rPr>
        <w:t xml:space="preserve"> a financovaním šírenia zbraní hromadného ničenia</w:t>
      </w:r>
      <w:r w:rsidR="00265254">
        <w:rPr>
          <w:rFonts w:ascii="Times New Roman" w:eastAsia="Calibri" w:hAnsi="Times New Roman" w:cs="Times New Roman"/>
          <w:b/>
          <w:sz w:val="24"/>
          <w:szCs w:val="24"/>
        </w:rPr>
        <w:t> a o zmene a doplnení niektorých zákonov</w:t>
      </w:r>
    </w:p>
    <w:p w14:paraId="6D0EEC2C" w14:textId="77777777" w:rsidR="00265254" w:rsidRDefault="00054C41" w:rsidP="00265254">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01529A">
        <w:rPr>
          <w:rFonts w:ascii="Times New Roman" w:eastAsia="Calibri" w:hAnsi="Times New Roman" w:cs="Times New Roman"/>
          <w:b/>
          <w:sz w:val="24"/>
          <w:szCs w:val="24"/>
        </w:rPr>
        <w:t xml:space="preserve"> </w:t>
      </w:r>
      <w:r w:rsidR="00265254">
        <w:rPr>
          <w:rFonts w:ascii="Times New Roman" w:eastAsia="Calibri" w:hAnsi="Times New Roman" w:cs="Times New Roman"/>
          <w:b/>
          <w:sz w:val="24"/>
          <w:szCs w:val="24"/>
        </w:rPr>
        <w:t>Ministerstvo vnútra Slovenskej republiky</w:t>
      </w:r>
    </w:p>
    <w:p w14:paraId="1B1A6A1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5F65ED51"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644E3642" w14:textId="77777777" w:rsidR="00054C41" w:rsidRPr="001F1B43" w:rsidRDefault="00054C41" w:rsidP="00054C41">
      <w:pPr>
        <w:spacing w:after="0"/>
        <w:jc w:val="both"/>
        <w:rPr>
          <w:rFonts w:ascii="Times New Roman" w:eastAsia="Calibri" w:hAnsi="Times New Roman" w:cs="Times New Roman"/>
          <w:b/>
          <w:sz w:val="24"/>
          <w:szCs w:val="24"/>
        </w:rPr>
      </w:pPr>
    </w:p>
    <w:p w14:paraId="27846928"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Tabuľka č. 1: Zmeny nákladov (ročne) v prepočte na podnikateľské prostredie (PP), vyhodnotenie mechanizmu znižovania byrokracie a nákladov. </w:t>
      </w:r>
    </w:p>
    <w:p w14:paraId="1DC2DB94" w14:textId="04E7F003"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8300" w:type="dxa"/>
        <w:tblCellMar>
          <w:left w:w="70" w:type="dxa"/>
          <w:right w:w="70" w:type="dxa"/>
        </w:tblCellMar>
        <w:tblLook w:val="04A0" w:firstRow="1" w:lastRow="0" w:firstColumn="1" w:lastColumn="0" w:noHBand="0" w:noVBand="1"/>
      </w:tblPr>
      <w:tblGrid>
        <w:gridCol w:w="4540"/>
        <w:gridCol w:w="1880"/>
        <w:gridCol w:w="1880"/>
      </w:tblGrid>
      <w:tr w:rsidR="008B08AB" w:rsidRPr="008B08AB" w14:paraId="5462530F" w14:textId="77777777" w:rsidTr="008B08AB">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F43A654" w14:textId="77777777" w:rsidR="008B08AB" w:rsidRPr="008B08AB" w:rsidRDefault="008B08AB" w:rsidP="008B08AB">
            <w:pPr>
              <w:spacing w:after="0" w:line="240" w:lineRule="auto"/>
              <w:jc w:val="center"/>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4150C147"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21395B0"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Zníženie nákladov v € na PP</w:t>
            </w:r>
          </w:p>
        </w:tc>
      </w:tr>
      <w:tr w:rsidR="008B08AB" w:rsidRPr="008B08AB" w14:paraId="50CFD53B" w14:textId="77777777" w:rsidTr="008B08AB">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5B194349"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14:paraId="73372361"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2555349B"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r>
      <w:tr w:rsidR="008B08AB" w:rsidRPr="008B08AB" w14:paraId="5DED25EB" w14:textId="77777777" w:rsidTr="008B08AB">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503417BE"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797FAFA8"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3282C5DB"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r>
      <w:tr w:rsidR="008B08AB" w:rsidRPr="008B08AB" w14:paraId="4D962525" w14:textId="77777777" w:rsidTr="008B08AB">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6DD48D86"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0E462FC4"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35A31CD7"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r>
      <w:tr w:rsidR="008B08AB" w:rsidRPr="008B08AB" w14:paraId="4032C822" w14:textId="77777777" w:rsidTr="008B08AB">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41BC965"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0909F013"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830 420</w:t>
            </w:r>
          </w:p>
        </w:tc>
        <w:tc>
          <w:tcPr>
            <w:tcW w:w="1880" w:type="dxa"/>
            <w:tcBorders>
              <w:top w:val="nil"/>
              <w:left w:val="nil"/>
              <w:bottom w:val="single" w:sz="4" w:space="0" w:color="auto"/>
              <w:right w:val="single" w:sz="8" w:space="0" w:color="auto"/>
            </w:tcBorders>
            <w:shd w:val="clear" w:color="000000" w:fill="92D050"/>
            <w:vAlign w:val="center"/>
            <w:hideMark/>
          </w:tcPr>
          <w:p w14:paraId="5D4BCE36"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r>
      <w:tr w:rsidR="008B08AB" w:rsidRPr="008B08AB" w14:paraId="54D68A47" w14:textId="77777777" w:rsidTr="008B08AB">
        <w:trPr>
          <w:trHeight w:val="300"/>
        </w:trPr>
        <w:tc>
          <w:tcPr>
            <w:tcW w:w="4540" w:type="dxa"/>
            <w:tcBorders>
              <w:top w:val="nil"/>
              <w:left w:val="single" w:sz="8" w:space="0" w:color="auto"/>
              <w:bottom w:val="nil"/>
              <w:right w:val="single" w:sz="4" w:space="0" w:color="auto"/>
            </w:tcBorders>
            <w:shd w:val="clear" w:color="auto" w:fill="auto"/>
            <w:vAlign w:val="center"/>
            <w:hideMark/>
          </w:tcPr>
          <w:p w14:paraId="77348402"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34B941C1"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10 150</w:t>
            </w:r>
          </w:p>
        </w:tc>
        <w:tc>
          <w:tcPr>
            <w:tcW w:w="1880" w:type="dxa"/>
            <w:tcBorders>
              <w:top w:val="nil"/>
              <w:left w:val="nil"/>
              <w:bottom w:val="nil"/>
              <w:right w:val="single" w:sz="8" w:space="0" w:color="auto"/>
            </w:tcBorders>
            <w:shd w:val="clear" w:color="000000" w:fill="92D050"/>
            <w:vAlign w:val="center"/>
            <w:hideMark/>
          </w:tcPr>
          <w:p w14:paraId="421C5ADC"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128 732</w:t>
            </w:r>
          </w:p>
        </w:tc>
      </w:tr>
      <w:tr w:rsidR="008B08AB" w:rsidRPr="008B08AB" w14:paraId="15028701" w14:textId="77777777" w:rsidTr="008B08AB">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583B643"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68F3F477"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840 570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1F6680C"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128 732</w:t>
            </w:r>
          </w:p>
        </w:tc>
      </w:tr>
      <w:tr w:rsidR="008B08AB" w:rsidRPr="008B08AB" w14:paraId="0215E2F5" w14:textId="77777777" w:rsidTr="008B08AB">
        <w:trPr>
          <w:trHeight w:val="300"/>
        </w:trPr>
        <w:tc>
          <w:tcPr>
            <w:tcW w:w="4540" w:type="dxa"/>
            <w:tcBorders>
              <w:top w:val="nil"/>
              <w:left w:val="nil"/>
              <w:bottom w:val="nil"/>
              <w:right w:val="nil"/>
            </w:tcBorders>
            <w:shd w:val="clear" w:color="auto" w:fill="auto"/>
            <w:vAlign w:val="center"/>
            <w:hideMark/>
          </w:tcPr>
          <w:p w14:paraId="1D01E18B"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6C366377"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7D92C17D"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8B08AB" w:rsidRPr="008B08AB" w14:paraId="51E4334B" w14:textId="77777777" w:rsidTr="008B08AB">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CB07EF0"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A027DEE"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CA5DB8C"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Zníženie nákladov v € na PP</w:t>
            </w:r>
          </w:p>
        </w:tc>
      </w:tr>
      <w:tr w:rsidR="008B08AB" w:rsidRPr="008B08AB" w14:paraId="3DE74077" w14:textId="77777777" w:rsidTr="008B08AB">
        <w:trPr>
          <w:trHeight w:val="990"/>
        </w:trPr>
        <w:tc>
          <w:tcPr>
            <w:tcW w:w="4540" w:type="dxa"/>
            <w:tcBorders>
              <w:top w:val="nil"/>
              <w:left w:val="single" w:sz="8" w:space="0" w:color="auto"/>
              <w:bottom w:val="nil"/>
              <w:right w:val="single" w:sz="4" w:space="0" w:color="auto"/>
            </w:tcBorders>
            <w:shd w:val="clear" w:color="auto" w:fill="auto"/>
            <w:vAlign w:val="center"/>
            <w:hideMark/>
          </w:tcPr>
          <w:p w14:paraId="3A90AF3F"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F. Úplná harmonizácia práva EÚ</w:t>
            </w:r>
            <w:r w:rsidRPr="008B08AB">
              <w:rPr>
                <w:rFonts w:ascii="Times New Roman" w:eastAsia="Times New Roman" w:hAnsi="Times New Roman" w:cs="Times New Roman"/>
                <w:b/>
                <w:bCs/>
                <w:i/>
                <w:iCs/>
                <w:color w:val="000000"/>
                <w:sz w:val="20"/>
                <w:szCs w:val="20"/>
                <w:lang w:eastAsia="sk-SK"/>
              </w:rPr>
              <w:br/>
            </w:r>
            <w:r w:rsidRPr="008B08AB">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14:paraId="5B9FC60C"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811 880</w:t>
            </w:r>
          </w:p>
        </w:tc>
        <w:tc>
          <w:tcPr>
            <w:tcW w:w="1880" w:type="dxa"/>
            <w:tcBorders>
              <w:top w:val="nil"/>
              <w:left w:val="nil"/>
              <w:bottom w:val="nil"/>
              <w:right w:val="single" w:sz="8" w:space="0" w:color="auto"/>
            </w:tcBorders>
            <w:shd w:val="clear" w:color="000000" w:fill="92D050"/>
            <w:vAlign w:val="center"/>
            <w:hideMark/>
          </w:tcPr>
          <w:p w14:paraId="1B7DA31D"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128 732</w:t>
            </w:r>
          </w:p>
        </w:tc>
      </w:tr>
      <w:tr w:rsidR="008B08AB" w:rsidRPr="008B08AB" w14:paraId="7E9E7E78" w14:textId="77777777" w:rsidTr="008B08AB">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BA0E028" w14:textId="77777777" w:rsidR="008B08AB" w:rsidRPr="008B08AB" w:rsidRDefault="008B08AB" w:rsidP="008B08AB">
            <w:pPr>
              <w:spacing w:after="0" w:line="240" w:lineRule="auto"/>
              <w:rPr>
                <w:rFonts w:ascii="Times New Roman" w:eastAsia="Times New Roman" w:hAnsi="Times New Roman" w:cs="Times New Roman"/>
                <w:b/>
                <w:bCs/>
                <w:i/>
                <w:iCs/>
                <w:color w:val="000000"/>
                <w:sz w:val="20"/>
                <w:szCs w:val="20"/>
                <w:lang w:eastAsia="sk-SK"/>
              </w:rPr>
            </w:pPr>
            <w:r w:rsidRPr="008B08AB">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5C450F3"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7623BD7"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r>
      <w:tr w:rsidR="008B08AB" w:rsidRPr="008B08AB" w14:paraId="206798FC" w14:textId="77777777" w:rsidTr="008B08AB">
        <w:trPr>
          <w:trHeight w:val="270"/>
        </w:trPr>
        <w:tc>
          <w:tcPr>
            <w:tcW w:w="4540" w:type="dxa"/>
            <w:tcBorders>
              <w:top w:val="nil"/>
              <w:left w:val="nil"/>
              <w:bottom w:val="nil"/>
              <w:right w:val="nil"/>
            </w:tcBorders>
            <w:shd w:val="clear" w:color="auto" w:fill="auto"/>
            <w:noWrap/>
            <w:vAlign w:val="bottom"/>
            <w:hideMark/>
          </w:tcPr>
          <w:p w14:paraId="2166B9DB"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7CF4CE90"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56A55981"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8B08AB" w:rsidRPr="008B08AB" w14:paraId="45C32D72" w14:textId="77777777" w:rsidTr="008B08AB">
        <w:trPr>
          <w:trHeight w:val="270"/>
        </w:trPr>
        <w:tc>
          <w:tcPr>
            <w:tcW w:w="4540" w:type="dxa"/>
            <w:tcBorders>
              <w:top w:val="nil"/>
              <w:left w:val="nil"/>
              <w:bottom w:val="nil"/>
              <w:right w:val="nil"/>
            </w:tcBorders>
            <w:shd w:val="clear" w:color="auto" w:fill="auto"/>
            <w:noWrap/>
            <w:vAlign w:val="bottom"/>
            <w:hideMark/>
          </w:tcPr>
          <w:p w14:paraId="4164BD56"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50C05226"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7D1C67B3"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8B08AB" w:rsidRPr="008B08AB" w14:paraId="46397728" w14:textId="77777777" w:rsidTr="008B08AB">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BB34C26" w14:textId="77777777" w:rsidR="008B08AB" w:rsidRPr="008B08AB" w:rsidRDefault="008B08AB" w:rsidP="008B08AB">
            <w:pPr>
              <w:spacing w:after="0" w:line="240" w:lineRule="auto"/>
              <w:rPr>
                <w:rFonts w:ascii="Times New Roman" w:eastAsia="Times New Roman" w:hAnsi="Times New Roman" w:cs="Times New Roman"/>
                <w:i/>
                <w:iCs/>
                <w:color w:val="000000"/>
                <w:sz w:val="20"/>
                <w:szCs w:val="20"/>
                <w:lang w:eastAsia="sk-SK"/>
              </w:rPr>
            </w:pPr>
            <w:r w:rsidRPr="008B08AB">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587D308F"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55BCC75F"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OUT</w:t>
            </w:r>
          </w:p>
        </w:tc>
      </w:tr>
      <w:tr w:rsidR="008B08AB" w:rsidRPr="008B08AB" w14:paraId="5C6CCF8D" w14:textId="77777777" w:rsidTr="008B08AB">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259D05BC" w14:textId="77777777" w:rsidR="008B08AB" w:rsidRPr="008B08AB" w:rsidRDefault="008B08AB" w:rsidP="008B08AB">
            <w:pPr>
              <w:spacing w:after="0" w:line="240" w:lineRule="auto"/>
              <w:rPr>
                <w:rFonts w:ascii="Times New Roman" w:eastAsia="Times New Roman" w:hAnsi="Times New Roman" w:cs="Times New Roman"/>
                <w:i/>
                <w:iCs/>
                <w:color w:val="000000"/>
                <w:sz w:val="20"/>
                <w:szCs w:val="20"/>
                <w:lang w:eastAsia="sk-SK"/>
              </w:rPr>
            </w:pPr>
            <w:r w:rsidRPr="008B08AB">
              <w:rPr>
                <w:rFonts w:ascii="Times New Roman" w:eastAsia="Times New Roman" w:hAnsi="Times New Roman" w:cs="Times New Roman"/>
                <w:i/>
                <w:iCs/>
                <w:color w:val="000000"/>
                <w:sz w:val="20"/>
                <w:szCs w:val="20"/>
                <w:lang w:eastAsia="sk-SK"/>
              </w:rPr>
              <w:t>H</w:t>
            </w:r>
            <w:r w:rsidRPr="008B08AB">
              <w:rPr>
                <w:rFonts w:ascii="Times New Roman" w:eastAsia="Times New Roman" w:hAnsi="Times New Roman" w:cs="Times New Roman"/>
                <w:b/>
                <w:bCs/>
                <w:i/>
                <w:iCs/>
                <w:color w:val="000000"/>
                <w:sz w:val="20"/>
                <w:szCs w:val="20"/>
                <w:lang w:eastAsia="sk-SK"/>
              </w:rPr>
              <w:t>.</w:t>
            </w:r>
            <w:r w:rsidRPr="008B08AB">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13F1CCB9"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28 690</w:t>
            </w:r>
          </w:p>
        </w:tc>
        <w:tc>
          <w:tcPr>
            <w:tcW w:w="1880" w:type="dxa"/>
            <w:tcBorders>
              <w:top w:val="nil"/>
              <w:left w:val="nil"/>
              <w:bottom w:val="single" w:sz="8" w:space="0" w:color="auto"/>
              <w:right w:val="single" w:sz="8" w:space="0" w:color="auto"/>
            </w:tcBorders>
            <w:shd w:val="clear" w:color="000000" w:fill="92D050"/>
            <w:vAlign w:val="center"/>
            <w:hideMark/>
          </w:tcPr>
          <w:p w14:paraId="3E479D5D"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0</w:t>
            </w:r>
          </w:p>
        </w:tc>
      </w:tr>
    </w:tbl>
    <w:p w14:paraId="5060EC21" w14:textId="314F89DA" w:rsidR="005335A7" w:rsidRDefault="005335A7" w:rsidP="00054C41">
      <w:pPr>
        <w:jc w:val="both"/>
        <w:rPr>
          <w:rFonts w:ascii="Times New Roman" w:eastAsia="Calibri" w:hAnsi="Times New Roman" w:cs="Times New Roman"/>
          <w:i/>
          <w:sz w:val="24"/>
          <w:szCs w:val="24"/>
        </w:rPr>
      </w:pPr>
    </w:p>
    <w:p w14:paraId="53683E32" w14:textId="6126E160" w:rsidR="005335A7" w:rsidRDefault="005335A7" w:rsidP="00054C41">
      <w:pPr>
        <w:jc w:val="both"/>
        <w:rPr>
          <w:rFonts w:ascii="Times New Roman" w:eastAsia="Calibri" w:hAnsi="Times New Roman" w:cs="Times New Roman"/>
          <w:i/>
          <w:sz w:val="24"/>
          <w:szCs w:val="24"/>
        </w:rPr>
      </w:pPr>
    </w:p>
    <w:p w14:paraId="10D79141"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even" r:id="rId10"/>
          <w:footerReference w:type="default" r:id="rId11"/>
          <w:footerReference w:type="first" r:id="rId12"/>
          <w:pgSz w:w="11906" w:h="16838"/>
          <w:pgMar w:top="993" w:right="1417" w:bottom="1417" w:left="1417" w:header="708" w:footer="708" w:gutter="0"/>
          <w:pgNumType w:start="1"/>
          <w:cols w:space="708"/>
          <w:docGrid w:linePitch="360"/>
        </w:sectPr>
      </w:pPr>
    </w:p>
    <w:p w14:paraId="38EC2BF4" w14:textId="77777777" w:rsidR="00054C41" w:rsidRPr="001F1B43" w:rsidRDefault="00054C41" w:rsidP="002912D1">
      <w:pPr>
        <w:spacing w:after="0" w:line="240" w:lineRule="auto"/>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75EF21A" w14:textId="3912F7C4" w:rsidR="00054C41" w:rsidRDefault="00054C41" w:rsidP="002912D1">
      <w:pPr>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9279" w:type="dxa"/>
        <w:tblInd w:w="-998" w:type="dxa"/>
        <w:tblLayout w:type="fixed"/>
        <w:tblCellMar>
          <w:left w:w="70" w:type="dxa"/>
          <w:right w:w="70" w:type="dxa"/>
        </w:tblCellMar>
        <w:tblLook w:val="04A0" w:firstRow="1" w:lastRow="0" w:firstColumn="1" w:lastColumn="0" w:noHBand="0" w:noVBand="1"/>
      </w:tblPr>
      <w:tblGrid>
        <w:gridCol w:w="426"/>
        <w:gridCol w:w="1701"/>
        <w:gridCol w:w="1276"/>
        <w:gridCol w:w="851"/>
        <w:gridCol w:w="992"/>
        <w:gridCol w:w="992"/>
        <w:gridCol w:w="1134"/>
        <w:gridCol w:w="1134"/>
        <w:gridCol w:w="1134"/>
        <w:gridCol w:w="1418"/>
        <w:gridCol w:w="1842"/>
        <w:gridCol w:w="1134"/>
        <w:gridCol w:w="1418"/>
        <w:gridCol w:w="3827"/>
      </w:tblGrid>
      <w:tr w:rsidR="00113AD3" w:rsidRPr="008B08AB" w14:paraId="76FE42CA" w14:textId="77777777" w:rsidTr="001F264A">
        <w:trPr>
          <w:gridAfter w:val="1"/>
          <w:wAfter w:w="3827" w:type="dxa"/>
          <w:trHeight w:val="450"/>
        </w:trPr>
        <w:tc>
          <w:tcPr>
            <w:tcW w:w="42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AD74DE1"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P.č.</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0D36689"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 xml:space="preserve">Zrozumiteľný a stručný opis regulácie </w:t>
            </w:r>
            <w:r w:rsidRPr="008B08AB">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9117FA4"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Číslo normy</w:t>
            </w:r>
            <w:r w:rsidRPr="008B08AB">
              <w:rPr>
                <w:rFonts w:ascii="Times New Roman" w:eastAsia="Times New Roman" w:hAnsi="Times New Roman" w:cs="Times New Roman"/>
                <w:b/>
                <w:bCs/>
                <w:color w:val="000000"/>
                <w:sz w:val="20"/>
                <w:szCs w:val="20"/>
                <w:lang w:eastAsia="sk-SK"/>
              </w:rPr>
              <w:br/>
            </w:r>
            <w:r w:rsidRPr="008B08AB">
              <w:rPr>
                <w:rFonts w:ascii="Times New Roman" w:eastAsia="Times New Roman" w:hAnsi="Times New Roman" w:cs="Times New Roman"/>
                <w:color w:val="000000"/>
                <w:sz w:val="20"/>
                <w:szCs w:val="20"/>
                <w:lang w:eastAsia="sk-SK"/>
              </w:rPr>
              <w:t>(zákona, vyhlášky a pod.)</w:t>
            </w:r>
          </w:p>
        </w:tc>
        <w:tc>
          <w:tcPr>
            <w:tcW w:w="85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F5AA9AC"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Lokalizácia</w:t>
            </w:r>
            <w:r w:rsidRPr="008B08AB">
              <w:rPr>
                <w:rFonts w:ascii="Times New Roman" w:eastAsia="Times New Roman" w:hAnsi="Times New Roman" w:cs="Times New Roman"/>
                <w:b/>
                <w:bCs/>
                <w:color w:val="000000"/>
                <w:sz w:val="20"/>
                <w:szCs w:val="20"/>
                <w:lang w:eastAsia="sk-SK"/>
              </w:rPr>
              <w:br/>
              <w:t>(§, ods., čl.,...)</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42BDEF6"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 xml:space="preserve">Pôvod regulácie: </w:t>
            </w:r>
            <w:r w:rsidRPr="008B08AB">
              <w:rPr>
                <w:rFonts w:ascii="Times New Roman" w:eastAsia="Times New Roman" w:hAnsi="Times New Roman" w:cs="Times New Roman"/>
                <w:b/>
                <w:bCs/>
                <w:color w:val="000000"/>
                <w:sz w:val="20"/>
                <w:szCs w:val="20"/>
                <w:lang w:eastAsia="sk-SK"/>
              </w:rPr>
              <w:br/>
            </w:r>
            <w:r w:rsidRPr="008B08AB">
              <w:rPr>
                <w:rFonts w:ascii="Times New Roman" w:eastAsia="Times New Roman" w:hAnsi="Times New Roman" w:cs="Times New Roman"/>
                <w:color w:val="000000"/>
                <w:sz w:val="20"/>
                <w:szCs w:val="20"/>
                <w:lang w:eastAsia="sk-SK"/>
              </w:rPr>
              <w:t>SK/EÚ úplná harm./</w:t>
            </w:r>
            <w:r w:rsidRPr="008B08AB">
              <w:rPr>
                <w:rFonts w:ascii="Times New Roman" w:eastAsia="Times New Roman" w:hAnsi="Times New Roman" w:cs="Times New Roman"/>
                <w:color w:val="000000"/>
                <w:sz w:val="20"/>
                <w:szCs w:val="20"/>
                <w:lang w:eastAsia="sk-SK"/>
              </w:rPr>
              <w:br/>
              <w:t>goldplating</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215550A"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Účinnosť regulácie</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76C3A06"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Kategória dotk. subjektov</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DFAC668"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 xml:space="preserve">Počet dotk. subjektov spolu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89A4F89"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Vplyv na 1 podnik. v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2EA06C0"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 xml:space="preserve">Vplyv na kategóriu </w:t>
            </w:r>
            <w:bookmarkStart w:id="0" w:name="_GoBack"/>
            <w:bookmarkEnd w:id="0"/>
            <w:r w:rsidRPr="008B08AB">
              <w:rPr>
                <w:rFonts w:ascii="Times New Roman" w:eastAsia="Times New Roman" w:hAnsi="Times New Roman" w:cs="Times New Roman"/>
                <w:b/>
                <w:bCs/>
                <w:color w:val="000000"/>
                <w:sz w:val="20"/>
                <w:szCs w:val="20"/>
                <w:lang w:eastAsia="sk-SK"/>
              </w:rPr>
              <w:t>dotk. subjektov v €</w:t>
            </w:r>
          </w:p>
        </w:tc>
        <w:tc>
          <w:tcPr>
            <w:tcW w:w="184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711AE45"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Druh vplyvu</w:t>
            </w:r>
            <w:r w:rsidRPr="008B08AB">
              <w:rPr>
                <w:rFonts w:ascii="Times New Roman" w:eastAsia="Times New Roman" w:hAnsi="Times New Roman" w:cs="Times New Roman"/>
                <w:b/>
                <w:bCs/>
                <w:color w:val="000000"/>
                <w:sz w:val="20"/>
                <w:szCs w:val="20"/>
                <w:lang w:eastAsia="sk-SK"/>
              </w:rPr>
              <w:br/>
            </w:r>
            <w:r w:rsidRPr="008B08AB">
              <w:rPr>
                <w:rFonts w:ascii="Times New Roman" w:eastAsia="Times New Roman" w:hAnsi="Times New Roman" w:cs="Times New Roman"/>
                <w:color w:val="000000"/>
                <w:sz w:val="20"/>
                <w:szCs w:val="20"/>
                <w:lang w:eastAsia="sk-SK"/>
              </w:rPr>
              <w:t xml:space="preserve">In (zvyšuje náklady) / </w:t>
            </w:r>
            <w:r w:rsidRPr="008B08AB">
              <w:rPr>
                <w:rFonts w:ascii="Times New Roman" w:eastAsia="Times New Roman" w:hAnsi="Times New Roman" w:cs="Times New Roman"/>
                <w:color w:val="000000"/>
                <w:sz w:val="20"/>
                <w:szCs w:val="20"/>
                <w:lang w:eastAsia="sk-SK"/>
              </w:rPr>
              <w:br/>
              <w:t>Out (znižuje náklady) / Nemení sa</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576196"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 xml:space="preserve">1in2out </w:t>
            </w:r>
            <w:r w:rsidRPr="008B08AB">
              <w:rPr>
                <w:rFonts w:ascii="Times New Roman" w:eastAsia="Times New Roman" w:hAnsi="Times New Roman" w:cs="Times New Roman"/>
                <w:b/>
                <w:bCs/>
                <w:color w:val="000000"/>
                <w:sz w:val="20"/>
                <w:szCs w:val="20"/>
                <w:lang w:eastAsia="sk-SK"/>
              </w:rPr>
              <w:br/>
              <w:t>celkom</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478D22"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r w:rsidRPr="008B08AB">
              <w:rPr>
                <w:rFonts w:ascii="Times New Roman" w:eastAsia="Times New Roman" w:hAnsi="Times New Roman" w:cs="Times New Roman"/>
                <w:b/>
                <w:bCs/>
                <w:color w:val="000000"/>
                <w:sz w:val="20"/>
                <w:szCs w:val="20"/>
                <w:lang w:eastAsia="sk-SK"/>
              </w:rPr>
              <w:t>Goldplating celkom</w:t>
            </w:r>
          </w:p>
        </w:tc>
      </w:tr>
      <w:tr w:rsidR="00113AD3" w:rsidRPr="008B08AB" w14:paraId="5BB247B6" w14:textId="77777777" w:rsidTr="001F264A">
        <w:trPr>
          <w:trHeight w:val="255"/>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3553FE3"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880AEB9"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0BBBBF16"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3C9E543B"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1123FD7"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427DDDE"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877616C"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6E1228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F795D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63D889E"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1AEF1E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84442D"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03850FB"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3827" w:type="dxa"/>
            <w:tcBorders>
              <w:top w:val="nil"/>
              <w:left w:val="nil"/>
              <w:bottom w:val="nil"/>
              <w:right w:val="nil"/>
            </w:tcBorders>
            <w:shd w:val="clear" w:color="auto" w:fill="auto"/>
            <w:noWrap/>
            <w:vAlign w:val="bottom"/>
            <w:hideMark/>
          </w:tcPr>
          <w:p w14:paraId="3B8796D5" w14:textId="77777777" w:rsidR="008B08AB" w:rsidRPr="008B08AB" w:rsidRDefault="008B08AB" w:rsidP="008B08AB">
            <w:pPr>
              <w:spacing w:after="0" w:line="240" w:lineRule="auto"/>
              <w:jc w:val="center"/>
              <w:rPr>
                <w:rFonts w:ascii="Times New Roman" w:eastAsia="Times New Roman" w:hAnsi="Times New Roman" w:cs="Times New Roman"/>
                <w:b/>
                <w:bCs/>
                <w:color w:val="000000"/>
                <w:sz w:val="20"/>
                <w:szCs w:val="20"/>
                <w:lang w:eastAsia="sk-SK"/>
              </w:rPr>
            </w:pPr>
          </w:p>
        </w:tc>
      </w:tr>
      <w:tr w:rsidR="00113AD3" w:rsidRPr="008B08AB" w14:paraId="5509C035" w14:textId="77777777" w:rsidTr="001F264A">
        <w:trPr>
          <w:trHeight w:val="255"/>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61760541"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7B47D49"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323717DC"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069B318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AC8FE3D"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BCE21FB"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DFA8064"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E1C2683"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8FE538B"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FD7E12C"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7E6418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76DC5FE"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9518035"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3827" w:type="dxa"/>
            <w:tcBorders>
              <w:top w:val="nil"/>
              <w:left w:val="nil"/>
              <w:bottom w:val="nil"/>
              <w:right w:val="nil"/>
            </w:tcBorders>
            <w:shd w:val="clear" w:color="auto" w:fill="auto"/>
            <w:noWrap/>
            <w:vAlign w:val="bottom"/>
            <w:hideMark/>
          </w:tcPr>
          <w:p w14:paraId="26B0506A"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05C7C28E" w14:textId="77777777" w:rsidTr="001F264A">
        <w:trPr>
          <w:trHeight w:val="255"/>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21F98F4"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13BB177"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2A140091"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5C668873"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48D9272"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638041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E02D188"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2D380E"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ACC4F46"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B09F044"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4753579D"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550610"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FD68075"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3827" w:type="dxa"/>
            <w:tcBorders>
              <w:top w:val="nil"/>
              <w:left w:val="nil"/>
              <w:bottom w:val="nil"/>
              <w:right w:val="nil"/>
            </w:tcBorders>
            <w:shd w:val="clear" w:color="auto" w:fill="auto"/>
            <w:noWrap/>
            <w:vAlign w:val="bottom"/>
            <w:hideMark/>
          </w:tcPr>
          <w:p w14:paraId="730AF0E0"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25EA3116" w14:textId="77777777" w:rsidTr="001F264A">
        <w:trPr>
          <w:trHeight w:val="255"/>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B7F7AC1"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4952EA8"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2A2BB621"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69F6D452"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D3C40CE"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B8EF1B5"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5DB828C"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12C0DE1"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1D1C1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1CCB19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4C6EADD"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E2D12C7"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23624BF"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3827" w:type="dxa"/>
            <w:tcBorders>
              <w:top w:val="nil"/>
              <w:left w:val="nil"/>
              <w:bottom w:val="nil"/>
              <w:right w:val="nil"/>
            </w:tcBorders>
            <w:shd w:val="clear" w:color="auto" w:fill="auto"/>
            <w:noWrap/>
            <w:vAlign w:val="bottom"/>
            <w:hideMark/>
          </w:tcPr>
          <w:p w14:paraId="222CA607"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09C37A32" w14:textId="77777777" w:rsidTr="001F264A">
        <w:trPr>
          <w:trHeight w:val="255"/>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469EAF7"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E67D4A2"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40550898"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19377C79"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0AEEBDA"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19ABF05"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89EFED5"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6A2F26B"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43ABFD2"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CDDCA09"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339C80BB"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6034806"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6EEC99A" w14:textId="77777777" w:rsidR="008B08AB" w:rsidRPr="008B08AB" w:rsidRDefault="008B08AB" w:rsidP="008B08AB">
            <w:pPr>
              <w:spacing w:after="0" w:line="240" w:lineRule="auto"/>
              <w:rPr>
                <w:rFonts w:ascii="Times New Roman" w:eastAsia="Times New Roman" w:hAnsi="Times New Roman" w:cs="Times New Roman"/>
                <w:b/>
                <w:bCs/>
                <w:color w:val="000000"/>
                <w:sz w:val="20"/>
                <w:szCs w:val="20"/>
                <w:lang w:eastAsia="sk-SK"/>
              </w:rPr>
            </w:pPr>
          </w:p>
        </w:tc>
        <w:tc>
          <w:tcPr>
            <w:tcW w:w="3827" w:type="dxa"/>
            <w:tcBorders>
              <w:top w:val="nil"/>
              <w:left w:val="nil"/>
              <w:bottom w:val="nil"/>
              <w:right w:val="nil"/>
            </w:tcBorders>
            <w:shd w:val="clear" w:color="auto" w:fill="auto"/>
            <w:noWrap/>
            <w:vAlign w:val="bottom"/>
            <w:hideMark/>
          </w:tcPr>
          <w:p w14:paraId="61B8CDFE"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586109D9" w14:textId="77777777" w:rsidTr="001F264A">
        <w:trPr>
          <w:trHeight w:val="765"/>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B33796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w:t>
            </w:r>
          </w:p>
        </w:tc>
        <w:tc>
          <w:tcPr>
            <w:tcW w:w="1701" w:type="dxa"/>
            <w:tcBorders>
              <w:top w:val="nil"/>
              <w:left w:val="nil"/>
              <w:bottom w:val="single" w:sz="4" w:space="0" w:color="auto"/>
              <w:right w:val="single" w:sz="4" w:space="0" w:color="auto"/>
            </w:tcBorders>
            <w:shd w:val="clear" w:color="auto" w:fill="auto"/>
            <w:vAlign w:val="center"/>
            <w:hideMark/>
          </w:tcPr>
          <w:p w14:paraId="70C42DF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Zriadenie prístupu do Centrálneho registra účtov - OCP</w:t>
            </w:r>
          </w:p>
        </w:tc>
        <w:tc>
          <w:tcPr>
            <w:tcW w:w="1276" w:type="dxa"/>
            <w:tcBorders>
              <w:top w:val="nil"/>
              <w:left w:val="nil"/>
              <w:bottom w:val="single" w:sz="4" w:space="0" w:color="auto"/>
              <w:right w:val="single" w:sz="4" w:space="0" w:color="auto"/>
            </w:tcBorders>
            <w:shd w:val="clear" w:color="auto" w:fill="auto"/>
            <w:vAlign w:val="center"/>
            <w:hideMark/>
          </w:tcPr>
          <w:p w14:paraId="3124519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595C020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2</w:t>
            </w:r>
          </w:p>
        </w:tc>
        <w:tc>
          <w:tcPr>
            <w:tcW w:w="992" w:type="dxa"/>
            <w:tcBorders>
              <w:top w:val="nil"/>
              <w:left w:val="nil"/>
              <w:bottom w:val="single" w:sz="4" w:space="0" w:color="auto"/>
              <w:right w:val="single" w:sz="4" w:space="0" w:color="auto"/>
            </w:tcBorders>
            <w:shd w:val="clear" w:color="auto" w:fill="auto"/>
            <w:vAlign w:val="center"/>
            <w:hideMark/>
          </w:tcPr>
          <w:p w14:paraId="39C6820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0F7775A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74E94E1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obchodníci s cennými papiermi</w:t>
            </w:r>
          </w:p>
        </w:tc>
        <w:tc>
          <w:tcPr>
            <w:tcW w:w="1134" w:type="dxa"/>
            <w:tcBorders>
              <w:top w:val="nil"/>
              <w:left w:val="nil"/>
              <w:bottom w:val="single" w:sz="4" w:space="0" w:color="auto"/>
              <w:right w:val="single" w:sz="4" w:space="0" w:color="auto"/>
            </w:tcBorders>
            <w:shd w:val="clear" w:color="auto" w:fill="auto"/>
            <w:vAlign w:val="center"/>
            <w:hideMark/>
          </w:tcPr>
          <w:p w14:paraId="35660B65"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25 </w:t>
            </w:r>
          </w:p>
        </w:tc>
        <w:tc>
          <w:tcPr>
            <w:tcW w:w="1134" w:type="dxa"/>
            <w:tcBorders>
              <w:top w:val="nil"/>
              <w:left w:val="nil"/>
              <w:bottom w:val="single" w:sz="4" w:space="0" w:color="auto"/>
              <w:right w:val="single" w:sz="4" w:space="0" w:color="auto"/>
            </w:tcBorders>
            <w:shd w:val="clear" w:color="000000" w:fill="FFFFFF"/>
            <w:vAlign w:val="center"/>
            <w:hideMark/>
          </w:tcPr>
          <w:p w14:paraId="26CFF45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2 586</w:t>
            </w:r>
          </w:p>
        </w:tc>
        <w:tc>
          <w:tcPr>
            <w:tcW w:w="1418" w:type="dxa"/>
            <w:tcBorders>
              <w:top w:val="nil"/>
              <w:left w:val="nil"/>
              <w:bottom w:val="single" w:sz="4" w:space="0" w:color="auto"/>
              <w:right w:val="single" w:sz="4" w:space="0" w:color="auto"/>
            </w:tcBorders>
            <w:shd w:val="clear" w:color="auto" w:fill="auto"/>
            <w:vAlign w:val="center"/>
            <w:hideMark/>
          </w:tcPr>
          <w:p w14:paraId="12DD6E7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64 655</w:t>
            </w:r>
          </w:p>
        </w:tc>
        <w:tc>
          <w:tcPr>
            <w:tcW w:w="1842" w:type="dxa"/>
            <w:tcBorders>
              <w:top w:val="nil"/>
              <w:left w:val="nil"/>
              <w:bottom w:val="single" w:sz="4" w:space="0" w:color="auto"/>
              <w:right w:val="single" w:sz="4" w:space="0" w:color="auto"/>
            </w:tcBorders>
            <w:shd w:val="clear" w:color="auto" w:fill="auto"/>
            <w:vAlign w:val="center"/>
            <w:hideMark/>
          </w:tcPr>
          <w:p w14:paraId="53E4BD2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093951CB"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77039D4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60B69AE4"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6CA47F87" w14:textId="77777777" w:rsidTr="001F264A">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DC3AEB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w:t>
            </w:r>
          </w:p>
        </w:tc>
        <w:tc>
          <w:tcPr>
            <w:tcW w:w="1701" w:type="dxa"/>
            <w:tcBorders>
              <w:top w:val="nil"/>
              <w:left w:val="nil"/>
              <w:bottom w:val="single" w:sz="4" w:space="0" w:color="auto"/>
              <w:right w:val="single" w:sz="4" w:space="0" w:color="auto"/>
            </w:tcBorders>
            <w:shd w:val="clear" w:color="auto" w:fill="auto"/>
            <w:vAlign w:val="center"/>
            <w:hideMark/>
          </w:tcPr>
          <w:p w14:paraId="77115C2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Zriadenie prístupu do Centrálneho registra účtov - CASP</w:t>
            </w:r>
          </w:p>
        </w:tc>
        <w:tc>
          <w:tcPr>
            <w:tcW w:w="1276" w:type="dxa"/>
            <w:tcBorders>
              <w:top w:val="nil"/>
              <w:left w:val="nil"/>
              <w:bottom w:val="single" w:sz="4" w:space="0" w:color="auto"/>
              <w:right w:val="single" w:sz="4" w:space="0" w:color="auto"/>
            </w:tcBorders>
            <w:shd w:val="clear" w:color="auto" w:fill="auto"/>
            <w:vAlign w:val="center"/>
            <w:hideMark/>
          </w:tcPr>
          <w:p w14:paraId="7008D8D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1E73DBC5"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2</w:t>
            </w:r>
          </w:p>
        </w:tc>
        <w:tc>
          <w:tcPr>
            <w:tcW w:w="992" w:type="dxa"/>
            <w:tcBorders>
              <w:top w:val="nil"/>
              <w:left w:val="nil"/>
              <w:bottom w:val="single" w:sz="4" w:space="0" w:color="auto"/>
              <w:right w:val="single" w:sz="4" w:space="0" w:color="auto"/>
            </w:tcBorders>
            <w:shd w:val="clear" w:color="auto" w:fill="auto"/>
            <w:vAlign w:val="center"/>
            <w:hideMark/>
          </w:tcPr>
          <w:p w14:paraId="5DC2CD6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1550165C"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3C7684A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Poskytovatelia služieb kryptoaktív - CASP</w:t>
            </w:r>
          </w:p>
        </w:tc>
        <w:tc>
          <w:tcPr>
            <w:tcW w:w="1134" w:type="dxa"/>
            <w:tcBorders>
              <w:top w:val="nil"/>
              <w:left w:val="nil"/>
              <w:bottom w:val="single" w:sz="4" w:space="0" w:color="auto"/>
              <w:right w:val="single" w:sz="4" w:space="0" w:color="auto"/>
            </w:tcBorders>
            <w:shd w:val="clear" w:color="auto" w:fill="auto"/>
            <w:vAlign w:val="center"/>
            <w:hideMark/>
          </w:tcPr>
          <w:p w14:paraId="29CB4A6A"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6 </w:t>
            </w:r>
          </w:p>
        </w:tc>
        <w:tc>
          <w:tcPr>
            <w:tcW w:w="1134" w:type="dxa"/>
            <w:tcBorders>
              <w:top w:val="nil"/>
              <w:left w:val="nil"/>
              <w:bottom w:val="single" w:sz="4" w:space="0" w:color="auto"/>
              <w:right w:val="single" w:sz="4" w:space="0" w:color="auto"/>
            </w:tcBorders>
            <w:shd w:val="clear" w:color="auto" w:fill="auto"/>
            <w:vAlign w:val="center"/>
            <w:hideMark/>
          </w:tcPr>
          <w:p w14:paraId="76F29F3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2 586</w:t>
            </w:r>
          </w:p>
        </w:tc>
        <w:tc>
          <w:tcPr>
            <w:tcW w:w="1418" w:type="dxa"/>
            <w:tcBorders>
              <w:top w:val="nil"/>
              <w:left w:val="nil"/>
              <w:bottom w:val="single" w:sz="4" w:space="0" w:color="auto"/>
              <w:right w:val="single" w:sz="4" w:space="0" w:color="auto"/>
            </w:tcBorders>
            <w:shd w:val="clear" w:color="auto" w:fill="auto"/>
            <w:vAlign w:val="center"/>
            <w:hideMark/>
          </w:tcPr>
          <w:p w14:paraId="54D40C7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15 517</w:t>
            </w:r>
          </w:p>
        </w:tc>
        <w:tc>
          <w:tcPr>
            <w:tcW w:w="1842" w:type="dxa"/>
            <w:tcBorders>
              <w:top w:val="nil"/>
              <w:left w:val="nil"/>
              <w:bottom w:val="single" w:sz="4" w:space="0" w:color="auto"/>
              <w:right w:val="single" w:sz="4" w:space="0" w:color="auto"/>
            </w:tcBorders>
            <w:shd w:val="clear" w:color="auto" w:fill="auto"/>
            <w:vAlign w:val="center"/>
            <w:hideMark/>
          </w:tcPr>
          <w:p w14:paraId="65EE8C9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0B945D84"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55D4509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4D23ACAE"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25F80140" w14:textId="77777777" w:rsidTr="001F264A">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DBD429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3</w:t>
            </w:r>
          </w:p>
        </w:tc>
        <w:tc>
          <w:tcPr>
            <w:tcW w:w="1701" w:type="dxa"/>
            <w:tcBorders>
              <w:top w:val="nil"/>
              <w:left w:val="nil"/>
              <w:bottom w:val="single" w:sz="4" w:space="0" w:color="auto"/>
              <w:right w:val="single" w:sz="4" w:space="0" w:color="auto"/>
            </w:tcBorders>
            <w:shd w:val="clear" w:color="auto" w:fill="auto"/>
            <w:vAlign w:val="center"/>
            <w:hideMark/>
          </w:tcPr>
          <w:p w14:paraId="60B0B86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Revízia aktuálneho nastavenia reportovania  - banky</w:t>
            </w:r>
          </w:p>
        </w:tc>
        <w:tc>
          <w:tcPr>
            <w:tcW w:w="1276" w:type="dxa"/>
            <w:tcBorders>
              <w:top w:val="nil"/>
              <w:left w:val="nil"/>
              <w:bottom w:val="single" w:sz="4" w:space="0" w:color="auto"/>
              <w:right w:val="single" w:sz="4" w:space="0" w:color="auto"/>
            </w:tcBorders>
            <w:shd w:val="clear" w:color="auto" w:fill="auto"/>
            <w:vAlign w:val="center"/>
            <w:hideMark/>
          </w:tcPr>
          <w:p w14:paraId="76A02D7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79FE63A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4</w:t>
            </w:r>
          </w:p>
        </w:tc>
        <w:tc>
          <w:tcPr>
            <w:tcW w:w="992" w:type="dxa"/>
            <w:tcBorders>
              <w:top w:val="nil"/>
              <w:left w:val="nil"/>
              <w:bottom w:val="single" w:sz="4" w:space="0" w:color="auto"/>
              <w:right w:val="single" w:sz="4" w:space="0" w:color="auto"/>
            </w:tcBorders>
            <w:shd w:val="clear" w:color="auto" w:fill="auto"/>
            <w:vAlign w:val="center"/>
            <w:hideMark/>
          </w:tcPr>
          <w:p w14:paraId="2F42346B"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19E1C79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05B3843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banky a pobočky zahraničných bánk</w:t>
            </w:r>
          </w:p>
        </w:tc>
        <w:tc>
          <w:tcPr>
            <w:tcW w:w="1134" w:type="dxa"/>
            <w:tcBorders>
              <w:top w:val="nil"/>
              <w:left w:val="nil"/>
              <w:bottom w:val="single" w:sz="4" w:space="0" w:color="auto"/>
              <w:right w:val="single" w:sz="4" w:space="0" w:color="auto"/>
            </w:tcBorders>
            <w:shd w:val="clear" w:color="auto" w:fill="auto"/>
            <w:vAlign w:val="center"/>
            <w:hideMark/>
          </w:tcPr>
          <w:p w14:paraId="52E4E676"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20 </w:t>
            </w:r>
          </w:p>
        </w:tc>
        <w:tc>
          <w:tcPr>
            <w:tcW w:w="1134" w:type="dxa"/>
            <w:tcBorders>
              <w:top w:val="nil"/>
              <w:left w:val="nil"/>
              <w:bottom w:val="single" w:sz="4" w:space="0" w:color="auto"/>
              <w:right w:val="single" w:sz="4" w:space="0" w:color="auto"/>
            </w:tcBorders>
            <w:shd w:val="clear" w:color="auto" w:fill="auto"/>
            <w:vAlign w:val="center"/>
            <w:hideMark/>
          </w:tcPr>
          <w:p w14:paraId="326A0F9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20 336</w:t>
            </w:r>
          </w:p>
        </w:tc>
        <w:tc>
          <w:tcPr>
            <w:tcW w:w="1418" w:type="dxa"/>
            <w:tcBorders>
              <w:top w:val="nil"/>
              <w:left w:val="nil"/>
              <w:bottom w:val="single" w:sz="4" w:space="0" w:color="auto"/>
              <w:right w:val="single" w:sz="4" w:space="0" w:color="auto"/>
            </w:tcBorders>
            <w:shd w:val="clear" w:color="auto" w:fill="auto"/>
            <w:vAlign w:val="center"/>
            <w:hideMark/>
          </w:tcPr>
          <w:p w14:paraId="29E4DBB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406 724</w:t>
            </w:r>
          </w:p>
        </w:tc>
        <w:tc>
          <w:tcPr>
            <w:tcW w:w="1842" w:type="dxa"/>
            <w:tcBorders>
              <w:top w:val="nil"/>
              <w:left w:val="nil"/>
              <w:bottom w:val="single" w:sz="4" w:space="0" w:color="auto"/>
              <w:right w:val="single" w:sz="4" w:space="0" w:color="auto"/>
            </w:tcBorders>
            <w:shd w:val="clear" w:color="auto" w:fill="auto"/>
            <w:vAlign w:val="center"/>
            <w:hideMark/>
          </w:tcPr>
          <w:p w14:paraId="4BCDB66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2DDA51E0"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2B83BF6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78531275"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6F9FA1F9" w14:textId="77777777" w:rsidTr="001F264A">
        <w:trPr>
          <w:trHeight w:val="765"/>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3654B9B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4</w:t>
            </w:r>
          </w:p>
        </w:tc>
        <w:tc>
          <w:tcPr>
            <w:tcW w:w="1701" w:type="dxa"/>
            <w:tcBorders>
              <w:top w:val="nil"/>
              <w:left w:val="nil"/>
              <w:bottom w:val="single" w:sz="4" w:space="0" w:color="auto"/>
              <w:right w:val="single" w:sz="4" w:space="0" w:color="auto"/>
            </w:tcBorders>
            <w:shd w:val="clear" w:color="auto" w:fill="auto"/>
            <w:vAlign w:val="center"/>
            <w:hideMark/>
          </w:tcPr>
          <w:p w14:paraId="6B653D3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Revízia aktuálneho nastavenia reportovania  -  OCP</w:t>
            </w:r>
          </w:p>
        </w:tc>
        <w:tc>
          <w:tcPr>
            <w:tcW w:w="1276" w:type="dxa"/>
            <w:tcBorders>
              <w:top w:val="nil"/>
              <w:left w:val="nil"/>
              <w:bottom w:val="single" w:sz="4" w:space="0" w:color="auto"/>
              <w:right w:val="single" w:sz="4" w:space="0" w:color="auto"/>
            </w:tcBorders>
            <w:shd w:val="clear" w:color="auto" w:fill="auto"/>
            <w:vAlign w:val="center"/>
            <w:hideMark/>
          </w:tcPr>
          <w:p w14:paraId="25E9D5A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16B702F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4</w:t>
            </w:r>
          </w:p>
        </w:tc>
        <w:tc>
          <w:tcPr>
            <w:tcW w:w="992" w:type="dxa"/>
            <w:tcBorders>
              <w:top w:val="nil"/>
              <w:left w:val="nil"/>
              <w:bottom w:val="single" w:sz="4" w:space="0" w:color="auto"/>
              <w:right w:val="single" w:sz="4" w:space="0" w:color="auto"/>
            </w:tcBorders>
            <w:shd w:val="clear" w:color="auto" w:fill="auto"/>
            <w:vAlign w:val="center"/>
            <w:hideMark/>
          </w:tcPr>
          <w:p w14:paraId="05F9DBFC"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5D78F7A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04C0FEB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obchodníci s cennými papiermi</w:t>
            </w:r>
          </w:p>
        </w:tc>
        <w:tc>
          <w:tcPr>
            <w:tcW w:w="1134" w:type="dxa"/>
            <w:tcBorders>
              <w:top w:val="nil"/>
              <w:left w:val="nil"/>
              <w:bottom w:val="single" w:sz="4" w:space="0" w:color="auto"/>
              <w:right w:val="single" w:sz="4" w:space="0" w:color="auto"/>
            </w:tcBorders>
            <w:shd w:val="clear" w:color="auto" w:fill="auto"/>
            <w:vAlign w:val="center"/>
            <w:hideMark/>
          </w:tcPr>
          <w:p w14:paraId="7AF74A93"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3 </w:t>
            </w:r>
          </w:p>
        </w:tc>
        <w:tc>
          <w:tcPr>
            <w:tcW w:w="1134" w:type="dxa"/>
            <w:tcBorders>
              <w:top w:val="nil"/>
              <w:left w:val="nil"/>
              <w:bottom w:val="single" w:sz="4" w:space="0" w:color="auto"/>
              <w:right w:val="single" w:sz="4" w:space="0" w:color="auto"/>
            </w:tcBorders>
            <w:shd w:val="clear" w:color="auto" w:fill="auto"/>
            <w:vAlign w:val="center"/>
            <w:hideMark/>
          </w:tcPr>
          <w:p w14:paraId="7BF4E2C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86</w:t>
            </w:r>
          </w:p>
        </w:tc>
        <w:tc>
          <w:tcPr>
            <w:tcW w:w="1418" w:type="dxa"/>
            <w:tcBorders>
              <w:top w:val="nil"/>
              <w:left w:val="nil"/>
              <w:bottom w:val="single" w:sz="4" w:space="0" w:color="auto"/>
              <w:right w:val="single" w:sz="4" w:space="0" w:color="auto"/>
            </w:tcBorders>
            <w:shd w:val="clear" w:color="auto" w:fill="auto"/>
            <w:vAlign w:val="center"/>
            <w:hideMark/>
          </w:tcPr>
          <w:p w14:paraId="7CAD1CB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259</w:t>
            </w:r>
          </w:p>
        </w:tc>
        <w:tc>
          <w:tcPr>
            <w:tcW w:w="1842" w:type="dxa"/>
            <w:tcBorders>
              <w:top w:val="nil"/>
              <w:left w:val="nil"/>
              <w:bottom w:val="single" w:sz="4" w:space="0" w:color="auto"/>
              <w:right w:val="single" w:sz="4" w:space="0" w:color="auto"/>
            </w:tcBorders>
            <w:shd w:val="clear" w:color="auto" w:fill="auto"/>
            <w:vAlign w:val="center"/>
            <w:hideMark/>
          </w:tcPr>
          <w:p w14:paraId="1834C29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3B1A411F"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79411E6C"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5238FF1B"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3857776A" w14:textId="77777777" w:rsidTr="001F264A">
        <w:trPr>
          <w:trHeight w:val="1275"/>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A15AE4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5</w:t>
            </w:r>
          </w:p>
        </w:tc>
        <w:tc>
          <w:tcPr>
            <w:tcW w:w="1701" w:type="dxa"/>
            <w:tcBorders>
              <w:top w:val="nil"/>
              <w:left w:val="nil"/>
              <w:bottom w:val="single" w:sz="4" w:space="0" w:color="auto"/>
              <w:right w:val="single" w:sz="4" w:space="0" w:color="auto"/>
            </w:tcBorders>
            <w:shd w:val="clear" w:color="auto" w:fill="auto"/>
            <w:vAlign w:val="center"/>
            <w:hideMark/>
          </w:tcPr>
          <w:p w14:paraId="0CCB3442"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Revízia aktuálneho nastavenia reportovania  -  PPS</w:t>
            </w:r>
          </w:p>
        </w:tc>
        <w:tc>
          <w:tcPr>
            <w:tcW w:w="1276" w:type="dxa"/>
            <w:tcBorders>
              <w:top w:val="nil"/>
              <w:left w:val="nil"/>
              <w:bottom w:val="single" w:sz="4" w:space="0" w:color="auto"/>
              <w:right w:val="single" w:sz="4" w:space="0" w:color="auto"/>
            </w:tcBorders>
            <w:shd w:val="clear" w:color="auto" w:fill="auto"/>
            <w:vAlign w:val="center"/>
            <w:hideMark/>
          </w:tcPr>
          <w:p w14:paraId="6AA07B6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29AA02F2"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4</w:t>
            </w:r>
          </w:p>
        </w:tc>
        <w:tc>
          <w:tcPr>
            <w:tcW w:w="992" w:type="dxa"/>
            <w:tcBorders>
              <w:top w:val="nil"/>
              <w:left w:val="nil"/>
              <w:bottom w:val="single" w:sz="4" w:space="0" w:color="auto"/>
              <w:right w:val="single" w:sz="4" w:space="0" w:color="auto"/>
            </w:tcBorders>
            <w:shd w:val="clear" w:color="auto" w:fill="auto"/>
            <w:vAlign w:val="center"/>
            <w:hideMark/>
          </w:tcPr>
          <w:p w14:paraId="7A3FB50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7911F4A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40E3ED1B"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platobné inštitúcie, inštitúcia elektronických peňazí</w:t>
            </w:r>
          </w:p>
        </w:tc>
        <w:tc>
          <w:tcPr>
            <w:tcW w:w="1134" w:type="dxa"/>
            <w:tcBorders>
              <w:top w:val="nil"/>
              <w:left w:val="nil"/>
              <w:bottom w:val="single" w:sz="4" w:space="0" w:color="auto"/>
              <w:right w:val="single" w:sz="4" w:space="0" w:color="auto"/>
            </w:tcBorders>
            <w:shd w:val="clear" w:color="auto" w:fill="auto"/>
            <w:vAlign w:val="center"/>
            <w:hideMark/>
          </w:tcPr>
          <w:p w14:paraId="030C0C70"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 </w:t>
            </w:r>
          </w:p>
        </w:tc>
        <w:tc>
          <w:tcPr>
            <w:tcW w:w="1134" w:type="dxa"/>
            <w:tcBorders>
              <w:top w:val="nil"/>
              <w:left w:val="nil"/>
              <w:bottom w:val="single" w:sz="4" w:space="0" w:color="auto"/>
              <w:right w:val="single" w:sz="4" w:space="0" w:color="auto"/>
            </w:tcBorders>
            <w:shd w:val="clear" w:color="auto" w:fill="auto"/>
            <w:vAlign w:val="center"/>
            <w:hideMark/>
          </w:tcPr>
          <w:p w14:paraId="0045E02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86</w:t>
            </w:r>
          </w:p>
        </w:tc>
        <w:tc>
          <w:tcPr>
            <w:tcW w:w="1418" w:type="dxa"/>
            <w:tcBorders>
              <w:top w:val="nil"/>
              <w:left w:val="nil"/>
              <w:bottom w:val="single" w:sz="4" w:space="0" w:color="auto"/>
              <w:right w:val="single" w:sz="4" w:space="0" w:color="auto"/>
            </w:tcBorders>
            <w:shd w:val="clear" w:color="auto" w:fill="auto"/>
            <w:vAlign w:val="center"/>
            <w:hideMark/>
          </w:tcPr>
          <w:p w14:paraId="13B6271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172</w:t>
            </w:r>
          </w:p>
        </w:tc>
        <w:tc>
          <w:tcPr>
            <w:tcW w:w="1842" w:type="dxa"/>
            <w:tcBorders>
              <w:top w:val="nil"/>
              <w:left w:val="nil"/>
              <w:bottom w:val="single" w:sz="4" w:space="0" w:color="auto"/>
              <w:right w:val="single" w:sz="4" w:space="0" w:color="auto"/>
            </w:tcBorders>
            <w:shd w:val="clear" w:color="auto" w:fill="auto"/>
            <w:vAlign w:val="center"/>
            <w:hideMark/>
          </w:tcPr>
          <w:p w14:paraId="4E06A12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6F610BCA"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790E2E2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300E86D5"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7E126507" w14:textId="77777777" w:rsidTr="001F264A">
        <w:trPr>
          <w:trHeight w:val="10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CF5C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lastRenderedPageBreak/>
              <w:t>6</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0BD85B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Pravidelné školenia - CASP</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1BFC70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544041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6 ods. 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5D629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1.SK</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29CD15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518BCB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Poskytovatelia služieb kryptoaktív - CASP</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10BBF52"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6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AB791B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500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F5E0D0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3 000</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626561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7C202D5"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3 000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8F361A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7BF4EC19"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162AF6C5" w14:textId="77777777" w:rsidTr="001F264A">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2BAB7C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7</w:t>
            </w:r>
          </w:p>
        </w:tc>
        <w:tc>
          <w:tcPr>
            <w:tcW w:w="1701" w:type="dxa"/>
            <w:tcBorders>
              <w:top w:val="nil"/>
              <w:left w:val="nil"/>
              <w:bottom w:val="single" w:sz="4" w:space="0" w:color="auto"/>
              <w:right w:val="single" w:sz="4" w:space="0" w:color="auto"/>
            </w:tcBorders>
            <w:shd w:val="clear" w:color="auto" w:fill="auto"/>
            <w:vAlign w:val="center"/>
            <w:hideMark/>
          </w:tcPr>
          <w:p w14:paraId="7028247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Pravidelné školenia - banky</w:t>
            </w:r>
          </w:p>
        </w:tc>
        <w:tc>
          <w:tcPr>
            <w:tcW w:w="1276" w:type="dxa"/>
            <w:tcBorders>
              <w:top w:val="nil"/>
              <w:left w:val="nil"/>
              <w:bottom w:val="single" w:sz="4" w:space="0" w:color="auto"/>
              <w:right w:val="single" w:sz="4" w:space="0" w:color="auto"/>
            </w:tcBorders>
            <w:shd w:val="clear" w:color="auto" w:fill="auto"/>
            <w:vAlign w:val="center"/>
            <w:hideMark/>
          </w:tcPr>
          <w:p w14:paraId="4F0C5375"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26EA822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6 ods. 6</w:t>
            </w:r>
          </w:p>
        </w:tc>
        <w:tc>
          <w:tcPr>
            <w:tcW w:w="992" w:type="dxa"/>
            <w:tcBorders>
              <w:top w:val="nil"/>
              <w:left w:val="nil"/>
              <w:bottom w:val="single" w:sz="4" w:space="0" w:color="auto"/>
              <w:right w:val="single" w:sz="4" w:space="0" w:color="auto"/>
            </w:tcBorders>
            <w:shd w:val="clear" w:color="auto" w:fill="auto"/>
            <w:vAlign w:val="center"/>
            <w:hideMark/>
          </w:tcPr>
          <w:p w14:paraId="0D8FD30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1.SK</w:t>
            </w:r>
          </w:p>
        </w:tc>
        <w:tc>
          <w:tcPr>
            <w:tcW w:w="992" w:type="dxa"/>
            <w:tcBorders>
              <w:top w:val="nil"/>
              <w:left w:val="nil"/>
              <w:bottom w:val="single" w:sz="4" w:space="0" w:color="auto"/>
              <w:right w:val="single" w:sz="4" w:space="0" w:color="auto"/>
            </w:tcBorders>
            <w:shd w:val="clear" w:color="auto" w:fill="auto"/>
            <w:vAlign w:val="center"/>
            <w:hideMark/>
          </w:tcPr>
          <w:p w14:paraId="61A0A57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6AF896D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banky a pobočky zahraničných bánk</w:t>
            </w:r>
          </w:p>
        </w:tc>
        <w:tc>
          <w:tcPr>
            <w:tcW w:w="1134" w:type="dxa"/>
            <w:tcBorders>
              <w:top w:val="nil"/>
              <w:left w:val="nil"/>
              <w:bottom w:val="single" w:sz="4" w:space="0" w:color="auto"/>
              <w:right w:val="single" w:sz="4" w:space="0" w:color="auto"/>
            </w:tcBorders>
            <w:shd w:val="clear" w:color="auto" w:fill="auto"/>
            <w:vAlign w:val="center"/>
            <w:hideMark/>
          </w:tcPr>
          <w:p w14:paraId="5DC0141E"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20 </w:t>
            </w:r>
          </w:p>
        </w:tc>
        <w:tc>
          <w:tcPr>
            <w:tcW w:w="1134" w:type="dxa"/>
            <w:tcBorders>
              <w:top w:val="nil"/>
              <w:left w:val="nil"/>
              <w:bottom w:val="single" w:sz="4" w:space="0" w:color="auto"/>
              <w:right w:val="single" w:sz="4" w:space="0" w:color="auto"/>
            </w:tcBorders>
            <w:shd w:val="clear" w:color="auto" w:fill="auto"/>
            <w:vAlign w:val="center"/>
            <w:hideMark/>
          </w:tcPr>
          <w:p w14:paraId="2CD0A48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513,79025</w:t>
            </w:r>
          </w:p>
        </w:tc>
        <w:tc>
          <w:tcPr>
            <w:tcW w:w="1418" w:type="dxa"/>
            <w:tcBorders>
              <w:top w:val="nil"/>
              <w:left w:val="nil"/>
              <w:bottom w:val="single" w:sz="4" w:space="0" w:color="auto"/>
              <w:right w:val="single" w:sz="4" w:space="0" w:color="auto"/>
            </w:tcBorders>
            <w:shd w:val="clear" w:color="auto" w:fill="auto"/>
            <w:vAlign w:val="center"/>
            <w:hideMark/>
          </w:tcPr>
          <w:p w14:paraId="5B44C2E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10275,805</w:t>
            </w:r>
          </w:p>
        </w:tc>
        <w:tc>
          <w:tcPr>
            <w:tcW w:w="1842" w:type="dxa"/>
            <w:tcBorders>
              <w:top w:val="nil"/>
              <w:left w:val="nil"/>
              <w:bottom w:val="single" w:sz="4" w:space="0" w:color="auto"/>
              <w:right w:val="single" w:sz="4" w:space="0" w:color="auto"/>
            </w:tcBorders>
            <w:shd w:val="clear" w:color="auto" w:fill="auto"/>
            <w:vAlign w:val="center"/>
            <w:hideMark/>
          </w:tcPr>
          <w:p w14:paraId="77F52AE5"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137B8862"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10275,805</w:t>
            </w:r>
          </w:p>
        </w:tc>
        <w:tc>
          <w:tcPr>
            <w:tcW w:w="1418" w:type="dxa"/>
            <w:tcBorders>
              <w:top w:val="nil"/>
              <w:left w:val="nil"/>
              <w:bottom w:val="single" w:sz="4" w:space="0" w:color="auto"/>
              <w:right w:val="single" w:sz="4" w:space="0" w:color="auto"/>
            </w:tcBorders>
            <w:shd w:val="clear" w:color="auto" w:fill="auto"/>
            <w:vAlign w:val="center"/>
            <w:hideMark/>
          </w:tcPr>
          <w:p w14:paraId="052BCE6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7C990A3E"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70B24C32" w14:textId="77777777" w:rsidTr="001F264A">
        <w:trPr>
          <w:trHeight w:val="1275"/>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499BF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8</w:t>
            </w:r>
          </w:p>
        </w:tc>
        <w:tc>
          <w:tcPr>
            <w:tcW w:w="1701" w:type="dxa"/>
            <w:tcBorders>
              <w:top w:val="nil"/>
              <w:left w:val="nil"/>
              <w:bottom w:val="single" w:sz="4" w:space="0" w:color="auto"/>
              <w:right w:val="single" w:sz="4" w:space="0" w:color="auto"/>
            </w:tcBorders>
            <w:shd w:val="clear" w:color="auto" w:fill="auto"/>
            <w:vAlign w:val="center"/>
            <w:hideMark/>
          </w:tcPr>
          <w:p w14:paraId="67F20A2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Pravidelné školenia - PPS</w:t>
            </w:r>
          </w:p>
        </w:tc>
        <w:tc>
          <w:tcPr>
            <w:tcW w:w="1276" w:type="dxa"/>
            <w:tcBorders>
              <w:top w:val="nil"/>
              <w:left w:val="nil"/>
              <w:bottom w:val="single" w:sz="4" w:space="0" w:color="auto"/>
              <w:right w:val="single" w:sz="4" w:space="0" w:color="auto"/>
            </w:tcBorders>
            <w:shd w:val="clear" w:color="auto" w:fill="auto"/>
            <w:vAlign w:val="center"/>
            <w:hideMark/>
          </w:tcPr>
          <w:p w14:paraId="4B7B904B"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5E5B7432"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6 ods. 6</w:t>
            </w:r>
          </w:p>
        </w:tc>
        <w:tc>
          <w:tcPr>
            <w:tcW w:w="992" w:type="dxa"/>
            <w:tcBorders>
              <w:top w:val="nil"/>
              <w:left w:val="nil"/>
              <w:bottom w:val="single" w:sz="4" w:space="0" w:color="auto"/>
              <w:right w:val="single" w:sz="4" w:space="0" w:color="auto"/>
            </w:tcBorders>
            <w:shd w:val="clear" w:color="auto" w:fill="auto"/>
            <w:vAlign w:val="center"/>
            <w:hideMark/>
          </w:tcPr>
          <w:p w14:paraId="7585920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1.SK</w:t>
            </w:r>
          </w:p>
        </w:tc>
        <w:tc>
          <w:tcPr>
            <w:tcW w:w="992" w:type="dxa"/>
            <w:tcBorders>
              <w:top w:val="nil"/>
              <w:left w:val="nil"/>
              <w:bottom w:val="single" w:sz="4" w:space="0" w:color="auto"/>
              <w:right w:val="single" w:sz="4" w:space="0" w:color="auto"/>
            </w:tcBorders>
            <w:shd w:val="clear" w:color="auto" w:fill="auto"/>
            <w:vAlign w:val="center"/>
            <w:hideMark/>
          </w:tcPr>
          <w:p w14:paraId="20401E0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56CC428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platobné inštitúcie, inštitúcia elektronických peňazí</w:t>
            </w:r>
          </w:p>
        </w:tc>
        <w:tc>
          <w:tcPr>
            <w:tcW w:w="1134" w:type="dxa"/>
            <w:tcBorders>
              <w:top w:val="nil"/>
              <w:left w:val="nil"/>
              <w:bottom w:val="single" w:sz="4" w:space="0" w:color="auto"/>
              <w:right w:val="single" w:sz="4" w:space="0" w:color="auto"/>
            </w:tcBorders>
            <w:shd w:val="clear" w:color="auto" w:fill="auto"/>
            <w:vAlign w:val="center"/>
            <w:hideMark/>
          </w:tcPr>
          <w:p w14:paraId="75208B3B"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 </w:t>
            </w:r>
          </w:p>
        </w:tc>
        <w:tc>
          <w:tcPr>
            <w:tcW w:w="1134" w:type="dxa"/>
            <w:tcBorders>
              <w:top w:val="nil"/>
              <w:left w:val="nil"/>
              <w:bottom w:val="single" w:sz="4" w:space="0" w:color="auto"/>
              <w:right w:val="single" w:sz="4" w:space="0" w:color="auto"/>
            </w:tcBorders>
            <w:shd w:val="clear" w:color="auto" w:fill="auto"/>
            <w:vAlign w:val="center"/>
            <w:hideMark/>
          </w:tcPr>
          <w:p w14:paraId="7C8A48F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514</w:t>
            </w:r>
          </w:p>
        </w:tc>
        <w:tc>
          <w:tcPr>
            <w:tcW w:w="1418" w:type="dxa"/>
            <w:tcBorders>
              <w:top w:val="nil"/>
              <w:left w:val="nil"/>
              <w:bottom w:val="single" w:sz="4" w:space="0" w:color="auto"/>
              <w:right w:val="single" w:sz="4" w:space="0" w:color="auto"/>
            </w:tcBorders>
            <w:shd w:val="clear" w:color="auto" w:fill="auto"/>
            <w:vAlign w:val="center"/>
            <w:hideMark/>
          </w:tcPr>
          <w:p w14:paraId="601F547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1 028</w:t>
            </w:r>
          </w:p>
        </w:tc>
        <w:tc>
          <w:tcPr>
            <w:tcW w:w="1842" w:type="dxa"/>
            <w:tcBorders>
              <w:top w:val="nil"/>
              <w:left w:val="nil"/>
              <w:bottom w:val="single" w:sz="4" w:space="0" w:color="auto"/>
              <w:right w:val="single" w:sz="4" w:space="0" w:color="auto"/>
            </w:tcBorders>
            <w:shd w:val="clear" w:color="auto" w:fill="auto"/>
            <w:vAlign w:val="center"/>
            <w:hideMark/>
          </w:tcPr>
          <w:p w14:paraId="2CF981B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7AF189A3"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1 028</w:t>
            </w:r>
          </w:p>
        </w:tc>
        <w:tc>
          <w:tcPr>
            <w:tcW w:w="1418" w:type="dxa"/>
            <w:tcBorders>
              <w:top w:val="nil"/>
              <w:left w:val="nil"/>
              <w:bottom w:val="single" w:sz="4" w:space="0" w:color="auto"/>
              <w:right w:val="single" w:sz="4" w:space="0" w:color="auto"/>
            </w:tcBorders>
            <w:shd w:val="clear" w:color="auto" w:fill="auto"/>
            <w:vAlign w:val="center"/>
            <w:hideMark/>
          </w:tcPr>
          <w:p w14:paraId="1F3A3BB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18117496"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039D43C0" w14:textId="77777777" w:rsidTr="001F264A">
        <w:trPr>
          <w:trHeight w:val="765"/>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32212B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9</w:t>
            </w:r>
          </w:p>
        </w:tc>
        <w:tc>
          <w:tcPr>
            <w:tcW w:w="1701" w:type="dxa"/>
            <w:tcBorders>
              <w:top w:val="nil"/>
              <w:left w:val="nil"/>
              <w:bottom w:val="single" w:sz="4" w:space="0" w:color="auto"/>
              <w:right w:val="single" w:sz="4" w:space="0" w:color="auto"/>
            </w:tcBorders>
            <w:shd w:val="clear" w:color="auto" w:fill="auto"/>
            <w:vAlign w:val="center"/>
            <w:hideMark/>
          </w:tcPr>
          <w:p w14:paraId="4D35271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Pravidelné školenia - OCP</w:t>
            </w:r>
          </w:p>
        </w:tc>
        <w:tc>
          <w:tcPr>
            <w:tcW w:w="1276" w:type="dxa"/>
            <w:tcBorders>
              <w:top w:val="nil"/>
              <w:left w:val="nil"/>
              <w:bottom w:val="single" w:sz="4" w:space="0" w:color="auto"/>
              <w:right w:val="single" w:sz="4" w:space="0" w:color="auto"/>
            </w:tcBorders>
            <w:shd w:val="clear" w:color="auto" w:fill="auto"/>
            <w:vAlign w:val="center"/>
            <w:hideMark/>
          </w:tcPr>
          <w:p w14:paraId="0B2955B5"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4BC9BBA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6 ods. 6</w:t>
            </w:r>
          </w:p>
        </w:tc>
        <w:tc>
          <w:tcPr>
            <w:tcW w:w="992" w:type="dxa"/>
            <w:tcBorders>
              <w:top w:val="nil"/>
              <w:left w:val="nil"/>
              <w:bottom w:val="single" w:sz="4" w:space="0" w:color="auto"/>
              <w:right w:val="single" w:sz="4" w:space="0" w:color="auto"/>
            </w:tcBorders>
            <w:shd w:val="clear" w:color="auto" w:fill="auto"/>
            <w:vAlign w:val="center"/>
            <w:hideMark/>
          </w:tcPr>
          <w:p w14:paraId="1530A04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1.SK</w:t>
            </w:r>
          </w:p>
        </w:tc>
        <w:tc>
          <w:tcPr>
            <w:tcW w:w="992" w:type="dxa"/>
            <w:tcBorders>
              <w:top w:val="nil"/>
              <w:left w:val="nil"/>
              <w:bottom w:val="single" w:sz="4" w:space="0" w:color="auto"/>
              <w:right w:val="single" w:sz="4" w:space="0" w:color="auto"/>
            </w:tcBorders>
            <w:shd w:val="clear" w:color="auto" w:fill="auto"/>
            <w:vAlign w:val="center"/>
            <w:hideMark/>
          </w:tcPr>
          <w:p w14:paraId="0582916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7D0FDCD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obchodníci s cennými papiermi</w:t>
            </w:r>
          </w:p>
        </w:tc>
        <w:tc>
          <w:tcPr>
            <w:tcW w:w="1134" w:type="dxa"/>
            <w:tcBorders>
              <w:top w:val="nil"/>
              <w:left w:val="nil"/>
              <w:bottom w:val="single" w:sz="4" w:space="0" w:color="auto"/>
              <w:right w:val="single" w:sz="4" w:space="0" w:color="auto"/>
            </w:tcBorders>
            <w:shd w:val="clear" w:color="auto" w:fill="auto"/>
            <w:vAlign w:val="center"/>
            <w:hideMark/>
          </w:tcPr>
          <w:p w14:paraId="64977965"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28 </w:t>
            </w:r>
          </w:p>
        </w:tc>
        <w:tc>
          <w:tcPr>
            <w:tcW w:w="1134" w:type="dxa"/>
            <w:tcBorders>
              <w:top w:val="nil"/>
              <w:left w:val="nil"/>
              <w:bottom w:val="single" w:sz="4" w:space="0" w:color="auto"/>
              <w:right w:val="single" w:sz="4" w:space="0" w:color="auto"/>
            </w:tcBorders>
            <w:shd w:val="clear" w:color="auto" w:fill="auto"/>
            <w:vAlign w:val="center"/>
            <w:hideMark/>
          </w:tcPr>
          <w:p w14:paraId="2219038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514</w:t>
            </w:r>
          </w:p>
        </w:tc>
        <w:tc>
          <w:tcPr>
            <w:tcW w:w="1418" w:type="dxa"/>
            <w:tcBorders>
              <w:top w:val="nil"/>
              <w:left w:val="nil"/>
              <w:bottom w:val="single" w:sz="4" w:space="0" w:color="auto"/>
              <w:right w:val="single" w:sz="4" w:space="0" w:color="auto"/>
            </w:tcBorders>
            <w:shd w:val="clear" w:color="auto" w:fill="auto"/>
            <w:vAlign w:val="center"/>
            <w:hideMark/>
          </w:tcPr>
          <w:p w14:paraId="34A8A10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14 386</w:t>
            </w:r>
          </w:p>
        </w:tc>
        <w:tc>
          <w:tcPr>
            <w:tcW w:w="1842" w:type="dxa"/>
            <w:tcBorders>
              <w:top w:val="nil"/>
              <w:left w:val="nil"/>
              <w:bottom w:val="single" w:sz="4" w:space="0" w:color="auto"/>
              <w:right w:val="single" w:sz="4" w:space="0" w:color="auto"/>
            </w:tcBorders>
            <w:shd w:val="clear" w:color="auto" w:fill="auto"/>
            <w:vAlign w:val="center"/>
            <w:hideMark/>
          </w:tcPr>
          <w:p w14:paraId="4436DE6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07FF63ED"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14 386</w:t>
            </w:r>
          </w:p>
        </w:tc>
        <w:tc>
          <w:tcPr>
            <w:tcW w:w="1418" w:type="dxa"/>
            <w:tcBorders>
              <w:top w:val="nil"/>
              <w:left w:val="nil"/>
              <w:bottom w:val="single" w:sz="4" w:space="0" w:color="auto"/>
              <w:right w:val="single" w:sz="4" w:space="0" w:color="auto"/>
            </w:tcBorders>
            <w:shd w:val="clear" w:color="auto" w:fill="auto"/>
            <w:vAlign w:val="center"/>
            <w:hideMark/>
          </w:tcPr>
          <w:p w14:paraId="6BA91F4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52222975"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2E177EA8" w14:textId="77777777" w:rsidTr="001F264A">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433CD2D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w:t>
            </w:r>
          </w:p>
        </w:tc>
        <w:tc>
          <w:tcPr>
            <w:tcW w:w="1701" w:type="dxa"/>
            <w:tcBorders>
              <w:top w:val="nil"/>
              <w:left w:val="nil"/>
              <w:bottom w:val="single" w:sz="4" w:space="0" w:color="auto"/>
              <w:right w:val="single" w:sz="4" w:space="0" w:color="auto"/>
            </w:tcBorders>
            <w:shd w:val="clear" w:color="auto" w:fill="auto"/>
            <w:vAlign w:val="center"/>
            <w:hideMark/>
          </w:tcPr>
          <w:p w14:paraId="0F71AE3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Zriadenie prístupu do centrálneho registra účtov - OCP (zníženie potreby odpovedať na vyžiadania oprávnených orgánov ohľadom účtov klientov, ktorých nemajú banky vo svojej evidencii)</w:t>
            </w:r>
          </w:p>
        </w:tc>
        <w:tc>
          <w:tcPr>
            <w:tcW w:w="1276" w:type="dxa"/>
            <w:tcBorders>
              <w:top w:val="nil"/>
              <w:left w:val="nil"/>
              <w:bottom w:val="single" w:sz="4" w:space="0" w:color="auto"/>
              <w:right w:val="single" w:sz="4" w:space="0" w:color="auto"/>
            </w:tcBorders>
            <w:shd w:val="clear" w:color="auto" w:fill="auto"/>
            <w:vAlign w:val="center"/>
            <w:hideMark/>
          </w:tcPr>
          <w:p w14:paraId="1735569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744793D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4 ods. 1 až 6</w:t>
            </w:r>
          </w:p>
        </w:tc>
        <w:tc>
          <w:tcPr>
            <w:tcW w:w="992" w:type="dxa"/>
            <w:tcBorders>
              <w:top w:val="nil"/>
              <w:left w:val="nil"/>
              <w:bottom w:val="single" w:sz="4" w:space="0" w:color="auto"/>
              <w:right w:val="single" w:sz="4" w:space="0" w:color="auto"/>
            </w:tcBorders>
            <w:shd w:val="clear" w:color="auto" w:fill="auto"/>
            <w:vAlign w:val="center"/>
            <w:hideMark/>
          </w:tcPr>
          <w:p w14:paraId="78FF15F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6CFA789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5FF0832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banky a pobočky zahraničných bánk</w:t>
            </w:r>
          </w:p>
        </w:tc>
        <w:tc>
          <w:tcPr>
            <w:tcW w:w="1134" w:type="dxa"/>
            <w:tcBorders>
              <w:top w:val="nil"/>
              <w:left w:val="nil"/>
              <w:bottom w:val="single" w:sz="4" w:space="0" w:color="auto"/>
              <w:right w:val="single" w:sz="4" w:space="0" w:color="auto"/>
            </w:tcBorders>
            <w:shd w:val="clear" w:color="auto" w:fill="auto"/>
            <w:vAlign w:val="center"/>
            <w:hideMark/>
          </w:tcPr>
          <w:p w14:paraId="28E38033"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25 </w:t>
            </w:r>
          </w:p>
        </w:tc>
        <w:tc>
          <w:tcPr>
            <w:tcW w:w="1134" w:type="dxa"/>
            <w:tcBorders>
              <w:top w:val="nil"/>
              <w:left w:val="nil"/>
              <w:bottom w:val="single" w:sz="4" w:space="0" w:color="auto"/>
              <w:right w:val="single" w:sz="4" w:space="0" w:color="auto"/>
            </w:tcBorders>
            <w:shd w:val="clear" w:color="auto" w:fill="auto"/>
            <w:vAlign w:val="center"/>
            <w:hideMark/>
          </w:tcPr>
          <w:p w14:paraId="3AB9FDF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4 137</w:t>
            </w:r>
          </w:p>
        </w:tc>
        <w:tc>
          <w:tcPr>
            <w:tcW w:w="1418" w:type="dxa"/>
            <w:tcBorders>
              <w:top w:val="nil"/>
              <w:left w:val="nil"/>
              <w:bottom w:val="single" w:sz="4" w:space="0" w:color="auto"/>
              <w:right w:val="single" w:sz="4" w:space="0" w:color="auto"/>
            </w:tcBorders>
            <w:shd w:val="clear" w:color="auto" w:fill="auto"/>
            <w:vAlign w:val="center"/>
            <w:hideMark/>
          </w:tcPr>
          <w:p w14:paraId="0C51CE7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103 427</w:t>
            </w:r>
          </w:p>
        </w:tc>
        <w:tc>
          <w:tcPr>
            <w:tcW w:w="1842" w:type="dxa"/>
            <w:tcBorders>
              <w:top w:val="nil"/>
              <w:left w:val="nil"/>
              <w:bottom w:val="single" w:sz="4" w:space="0" w:color="auto"/>
              <w:right w:val="single" w:sz="4" w:space="0" w:color="auto"/>
            </w:tcBorders>
            <w:shd w:val="clear" w:color="auto" w:fill="auto"/>
            <w:vAlign w:val="center"/>
            <w:hideMark/>
          </w:tcPr>
          <w:p w14:paraId="396A993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Out (znižuje náklady)</w:t>
            </w:r>
          </w:p>
        </w:tc>
        <w:tc>
          <w:tcPr>
            <w:tcW w:w="1134" w:type="dxa"/>
            <w:tcBorders>
              <w:top w:val="nil"/>
              <w:left w:val="nil"/>
              <w:bottom w:val="single" w:sz="4" w:space="0" w:color="auto"/>
              <w:right w:val="single" w:sz="4" w:space="0" w:color="auto"/>
            </w:tcBorders>
            <w:shd w:val="clear" w:color="auto" w:fill="auto"/>
            <w:vAlign w:val="center"/>
            <w:hideMark/>
          </w:tcPr>
          <w:p w14:paraId="4985126C"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1120969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tcBorders>
              <w:bottom w:val="single" w:sz="4" w:space="0" w:color="auto"/>
            </w:tcBorders>
            <w:vAlign w:val="center"/>
            <w:hideMark/>
          </w:tcPr>
          <w:p w14:paraId="2A3E2B7F"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5AFF27B3" w14:textId="77777777" w:rsidTr="001F264A">
        <w:trPr>
          <w:trHeight w:val="127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62AC8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280908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Zriadenie prístupu do centrálneho registra účtov - CASP  (zníženie potreby odpovedať na vyžiadania oprávnených orgánov ohľadom </w:t>
            </w:r>
            <w:r w:rsidRPr="008B08AB">
              <w:rPr>
                <w:rFonts w:ascii="Times New Roman" w:eastAsia="Times New Roman" w:hAnsi="Times New Roman" w:cs="Times New Roman"/>
                <w:color w:val="000000"/>
                <w:sz w:val="20"/>
                <w:szCs w:val="20"/>
                <w:lang w:eastAsia="sk-SK"/>
              </w:rPr>
              <w:lastRenderedPageBreak/>
              <w:t>účtov klientov, ktorých nemajú platobné inštitúcie vo svojej evidencii)</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9365A3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lastRenderedPageBreak/>
              <w:t>Zákon 123/2022 Z. z.</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52F1C5C"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4 ods. 1 až 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B5FDA5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7487BF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2C7D72B"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platobné inštitúcie, inštitúcia elektronických peňazí</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79667CF"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6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0194C3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4 137</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58D8F8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24 822</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2C90F8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Out (znižuje náklady)</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66693AD"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83C2C9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tcBorders>
              <w:top w:val="single" w:sz="4" w:space="0" w:color="auto"/>
            </w:tcBorders>
            <w:vAlign w:val="center"/>
            <w:hideMark/>
          </w:tcPr>
          <w:p w14:paraId="57866C8C"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23DB4292" w14:textId="77777777" w:rsidTr="001F264A">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09A2ED0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12</w:t>
            </w:r>
          </w:p>
        </w:tc>
        <w:tc>
          <w:tcPr>
            <w:tcW w:w="1701" w:type="dxa"/>
            <w:tcBorders>
              <w:top w:val="nil"/>
              <w:left w:val="nil"/>
              <w:bottom w:val="single" w:sz="4" w:space="0" w:color="auto"/>
              <w:right w:val="single" w:sz="4" w:space="0" w:color="auto"/>
            </w:tcBorders>
            <w:shd w:val="clear" w:color="auto" w:fill="auto"/>
            <w:vAlign w:val="center"/>
            <w:hideMark/>
          </w:tcPr>
          <w:p w14:paraId="4A6ACCD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prevádzkové náklady - banky</w:t>
            </w:r>
          </w:p>
        </w:tc>
        <w:tc>
          <w:tcPr>
            <w:tcW w:w="1276" w:type="dxa"/>
            <w:tcBorders>
              <w:top w:val="nil"/>
              <w:left w:val="nil"/>
              <w:bottom w:val="single" w:sz="4" w:space="0" w:color="auto"/>
              <w:right w:val="single" w:sz="4" w:space="0" w:color="auto"/>
            </w:tcBorders>
            <w:shd w:val="clear" w:color="auto" w:fill="auto"/>
            <w:vAlign w:val="center"/>
            <w:hideMark/>
          </w:tcPr>
          <w:p w14:paraId="7E41955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350B3C1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6</w:t>
            </w:r>
          </w:p>
        </w:tc>
        <w:tc>
          <w:tcPr>
            <w:tcW w:w="992" w:type="dxa"/>
            <w:tcBorders>
              <w:top w:val="nil"/>
              <w:left w:val="nil"/>
              <w:bottom w:val="single" w:sz="4" w:space="0" w:color="auto"/>
              <w:right w:val="single" w:sz="4" w:space="0" w:color="auto"/>
            </w:tcBorders>
            <w:shd w:val="clear" w:color="auto" w:fill="auto"/>
            <w:vAlign w:val="center"/>
            <w:hideMark/>
          </w:tcPr>
          <w:p w14:paraId="0B0E1B2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373448E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6BDCFC4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banky a pobočky zahraničných bánk</w:t>
            </w:r>
          </w:p>
        </w:tc>
        <w:tc>
          <w:tcPr>
            <w:tcW w:w="1134" w:type="dxa"/>
            <w:tcBorders>
              <w:top w:val="nil"/>
              <w:left w:val="nil"/>
              <w:bottom w:val="single" w:sz="4" w:space="0" w:color="auto"/>
              <w:right w:val="single" w:sz="4" w:space="0" w:color="auto"/>
            </w:tcBorders>
            <w:shd w:val="clear" w:color="auto" w:fill="auto"/>
            <w:vAlign w:val="center"/>
            <w:hideMark/>
          </w:tcPr>
          <w:p w14:paraId="17C68157"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20 </w:t>
            </w:r>
          </w:p>
        </w:tc>
        <w:tc>
          <w:tcPr>
            <w:tcW w:w="1134" w:type="dxa"/>
            <w:tcBorders>
              <w:top w:val="nil"/>
              <w:left w:val="nil"/>
              <w:bottom w:val="single" w:sz="4" w:space="0" w:color="auto"/>
              <w:right w:val="single" w:sz="4" w:space="0" w:color="auto"/>
            </w:tcBorders>
            <w:shd w:val="clear" w:color="auto" w:fill="auto"/>
            <w:vAlign w:val="center"/>
            <w:hideMark/>
          </w:tcPr>
          <w:p w14:paraId="355CA8C5"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16 079</w:t>
            </w:r>
          </w:p>
        </w:tc>
        <w:tc>
          <w:tcPr>
            <w:tcW w:w="1418" w:type="dxa"/>
            <w:tcBorders>
              <w:top w:val="nil"/>
              <w:left w:val="nil"/>
              <w:bottom w:val="single" w:sz="4" w:space="0" w:color="auto"/>
              <w:right w:val="single" w:sz="4" w:space="0" w:color="auto"/>
            </w:tcBorders>
            <w:shd w:val="clear" w:color="auto" w:fill="auto"/>
            <w:vAlign w:val="center"/>
            <w:hideMark/>
          </w:tcPr>
          <w:p w14:paraId="3EC34FF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321 575</w:t>
            </w:r>
          </w:p>
        </w:tc>
        <w:tc>
          <w:tcPr>
            <w:tcW w:w="1842" w:type="dxa"/>
            <w:tcBorders>
              <w:top w:val="nil"/>
              <w:left w:val="nil"/>
              <w:bottom w:val="single" w:sz="4" w:space="0" w:color="auto"/>
              <w:right w:val="single" w:sz="4" w:space="0" w:color="auto"/>
            </w:tcBorders>
            <w:shd w:val="clear" w:color="auto" w:fill="auto"/>
            <w:vAlign w:val="center"/>
            <w:hideMark/>
          </w:tcPr>
          <w:p w14:paraId="65DF1AE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3B190DC1"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4B31712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42CF401C"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5477D15E" w14:textId="77777777" w:rsidTr="001F264A">
        <w:trPr>
          <w:trHeight w:val="765"/>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2D95B10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13</w:t>
            </w:r>
          </w:p>
        </w:tc>
        <w:tc>
          <w:tcPr>
            <w:tcW w:w="1701" w:type="dxa"/>
            <w:tcBorders>
              <w:top w:val="nil"/>
              <w:left w:val="nil"/>
              <w:bottom w:val="single" w:sz="4" w:space="0" w:color="auto"/>
              <w:right w:val="single" w:sz="4" w:space="0" w:color="auto"/>
            </w:tcBorders>
            <w:shd w:val="clear" w:color="auto" w:fill="auto"/>
            <w:vAlign w:val="center"/>
            <w:hideMark/>
          </w:tcPr>
          <w:p w14:paraId="62B6540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prevádzkové náklady - OCP</w:t>
            </w:r>
          </w:p>
        </w:tc>
        <w:tc>
          <w:tcPr>
            <w:tcW w:w="1276" w:type="dxa"/>
            <w:tcBorders>
              <w:top w:val="nil"/>
              <w:left w:val="nil"/>
              <w:bottom w:val="single" w:sz="4" w:space="0" w:color="auto"/>
              <w:right w:val="single" w:sz="4" w:space="0" w:color="auto"/>
            </w:tcBorders>
            <w:shd w:val="clear" w:color="auto" w:fill="auto"/>
            <w:vAlign w:val="center"/>
            <w:hideMark/>
          </w:tcPr>
          <w:p w14:paraId="07C1961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28A891A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6</w:t>
            </w:r>
          </w:p>
        </w:tc>
        <w:tc>
          <w:tcPr>
            <w:tcW w:w="992" w:type="dxa"/>
            <w:tcBorders>
              <w:top w:val="nil"/>
              <w:left w:val="nil"/>
              <w:bottom w:val="single" w:sz="4" w:space="0" w:color="auto"/>
              <w:right w:val="single" w:sz="4" w:space="0" w:color="auto"/>
            </w:tcBorders>
            <w:shd w:val="clear" w:color="auto" w:fill="auto"/>
            <w:vAlign w:val="center"/>
            <w:hideMark/>
          </w:tcPr>
          <w:p w14:paraId="65E89992"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27585114"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022B3A58"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obchodníci s cennými papiermi</w:t>
            </w:r>
          </w:p>
        </w:tc>
        <w:tc>
          <w:tcPr>
            <w:tcW w:w="1134" w:type="dxa"/>
            <w:tcBorders>
              <w:top w:val="nil"/>
              <w:left w:val="nil"/>
              <w:bottom w:val="single" w:sz="4" w:space="0" w:color="auto"/>
              <w:right w:val="single" w:sz="4" w:space="0" w:color="auto"/>
            </w:tcBorders>
            <w:shd w:val="clear" w:color="auto" w:fill="auto"/>
            <w:vAlign w:val="center"/>
            <w:hideMark/>
          </w:tcPr>
          <w:p w14:paraId="4F69FFC9"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28 </w:t>
            </w:r>
          </w:p>
        </w:tc>
        <w:tc>
          <w:tcPr>
            <w:tcW w:w="1134" w:type="dxa"/>
            <w:tcBorders>
              <w:top w:val="nil"/>
              <w:left w:val="nil"/>
              <w:bottom w:val="single" w:sz="4" w:space="0" w:color="auto"/>
              <w:right w:val="single" w:sz="4" w:space="0" w:color="auto"/>
            </w:tcBorders>
            <w:shd w:val="clear" w:color="auto" w:fill="auto"/>
            <w:vAlign w:val="center"/>
            <w:hideMark/>
          </w:tcPr>
          <w:p w14:paraId="3086963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83</w:t>
            </w:r>
          </w:p>
        </w:tc>
        <w:tc>
          <w:tcPr>
            <w:tcW w:w="1418" w:type="dxa"/>
            <w:tcBorders>
              <w:top w:val="nil"/>
              <w:left w:val="nil"/>
              <w:bottom w:val="single" w:sz="4" w:space="0" w:color="auto"/>
              <w:right w:val="single" w:sz="4" w:space="0" w:color="auto"/>
            </w:tcBorders>
            <w:shd w:val="clear" w:color="auto" w:fill="auto"/>
            <w:vAlign w:val="center"/>
            <w:hideMark/>
          </w:tcPr>
          <w:p w14:paraId="363E994C"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2 317</w:t>
            </w:r>
          </w:p>
        </w:tc>
        <w:tc>
          <w:tcPr>
            <w:tcW w:w="1842" w:type="dxa"/>
            <w:tcBorders>
              <w:top w:val="nil"/>
              <w:left w:val="nil"/>
              <w:bottom w:val="single" w:sz="4" w:space="0" w:color="auto"/>
              <w:right w:val="single" w:sz="4" w:space="0" w:color="auto"/>
            </w:tcBorders>
            <w:shd w:val="clear" w:color="auto" w:fill="auto"/>
            <w:vAlign w:val="center"/>
            <w:hideMark/>
          </w:tcPr>
          <w:p w14:paraId="1A8BCB1C"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7FFBA41F"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73D426E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2CE47C0D"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3A99007A" w14:textId="77777777" w:rsidTr="001F264A">
        <w:trPr>
          <w:trHeight w:val="1275"/>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3A7EA6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14</w:t>
            </w:r>
          </w:p>
        </w:tc>
        <w:tc>
          <w:tcPr>
            <w:tcW w:w="1701" w:type="dxa"/>
            <w:tcBorders>
              <w:top w:val="nil"/>
              <w:left w:val="nil"/>
              <w:bottom w:val="single" w:sz="4" w:space="0" w:color="auto"/>
              <w:right w:val="single" w:sz="4" w:space="0" w:color="auto"/>
            </w:tcBorders>
            <w:shd w:val="clear" w:color="auto" w:fill="auto"/>
            <w:vAlign w:val="center"/>
            <w:hideMark/>
          </w:tcPr>
          <w:p w14:paraId="2BD8306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prevádzkové náklady - PSS</w:t>
            </w:r>
          </w:p>
        </w:tc>
        <w:tc>
          <w:tcPr>
            <w:tcW w:w="1276" w:type="dxa"/>
            <w:tcBorders>
              <w:top w:val="nil"/>
              <w:left w:val="nil"/>
              <w:bottom w:val="single" w:sz="4" w:space="0" w:color="auto"/>
              <w:right w:val="single" w:sz="4" w:space="0" w:color="auto"/>
            </w:tcBorders>
            <w:shd w:val="clear" w:color="auto" w:fill="auto"/>
            <w:vAlign w:val="center"/>
            <w:hideMark/>
          </w:tcPr>
          <w:p w14:paraId="1FC6E2F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2BFD48D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6</w:t>
            </w:r>
          </w:p>
        </w:tc>
        <w:tc>
          <w:tcPr>
            <w:tcW w:w="992" w:type="dxa"/>
            <w:tcBorders>
              <w:top w:val="nil"/>
              <w:left w:val="nil"/>
              <w:bottom w:val="single" w:sz="4" w:space="0" w:color="auto"/>
              <w:right w:val="single" w:sz="4" w:space="0" w:color="auto"/>
            </w:tcBorders>
            <w:shd w:val="clear" w:color="auto" w:fill="auto"/>
            <w:vAlign w:val="center"/>
            <w:hideMark/>
          </w:tcPr>
          <w:p w14:paraId="2EE01B4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66841F7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75B8889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platobné inštitúcie, inštitúcia elektronických peňazí</w:t>
            </w:r>
          </w:p>
        </w:tc>
        <w:tc>
          <w:tcPr>
            <w:tcW w:w="1134" w:type="dxa"/>
            <w:tcBorders>
              <w:top w:val="nil"/>
              <w:left w:val="nil"/>
              <w:bottom w:val="single" w:sz="4" w:space="0" w:color="auto"/>
              <w:right w:val="single" w:sz="4" w:space="0" w:color="auto"/>
            </w:tcBorders>
            <w:shd w:val="clear" w:color="auto" w:fill="auto"/>
            <w:vAlign w:val="center"/>
            <w:hideMark/>
          </w:tcPr>
          <w:p w14:paraId="435D4A65"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2 </w:t>
            </w:r>
          </w:p>
        </w:tc>
        <w:tc>
          <w:tcPr>
            <w:tcW w:w="1134" w:type="dxa"/>
            <w:tcBorders>
              <w:top w:val="nil"/>
              <w:left w:val="nil"/>
              <w:bottom w:val="single" w:sz="4" w:space="0" w:color="auto"/>
              <w:right w:val="single" w:sz="4" w:space="0" w:color="auto"/>
            </w:tcBorders>
            <w:shd w:val="clear" w:color="auto" w:fill="auto"/>
            <w:vAlign w:val="center"/>
            <w:hideMark/>
          </w:tcPr>
          <w:p w14:paraId="6CFBE56C"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83</w:t>
            </w:r>
          </w:p>
        </w:tc>
        <w:tc>
          <w:tcPr>
            <w:tcW w:w="1418" w:type="dxa"/>
            <w:tcBorders>
              <w:top w:val="nil"/>
              <w:left w:val="nil"/>
              <w:bottom w:val="single" w:sz="4" w:space="0" w:color="auto"/>
              <w:right w:val="single" w:sz="4" w:space="0" w:color="auto"/>
            </w:tcBorders>
            <w:shd w:val="clear" w:color="auto" w:fill="auto"/>
            <w:vAlign w:val="center"/>
            <w:hideMark/>
          </w:tcPr>
          <w:p w14:paraId="169D4D2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165</w:t>
            </w:r>
          </w:p>
        </w:tc>
        <w:tc>
          <w:tcPr>
            <w:tcW w:w="1842" w:type="dxa"/>
            <w:tcBorders>
              <w:top w:val="nil"/>
              <w:left w:val="nil"/>
              <w:bottom w:val="single" w:sz="4" w:space="0" w:color="auto"/>
              <w:right w:val="single" w:sz="4" w:space="0" w:color="auto"/>
            </w:tcBorders>
            <w:shd w:val="clear" w:color="auto" w:fill="auto"/>
            <w:vAlign w:val="center"/>
            <w:hideMark/>
          </w:tcPr>
          <w:p w14:paraId="2BA6BBB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367D66A7"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03D7ED7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0DBD84B6"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7C9FC071" w14:textId="77777777" w:rsidTr="001F264A">
        <w:trPr>
          <w:trHeight w:val="102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AB4114E"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15</w:t>
            </w:r>
          </w:p>
        </w:tc>
        <w:tc>
          <w:tcPr>
            <w:tcW w:w="1701" w:type="dxa"/>
            <w:tcBorders>
              <w:top w:val="nil"/>
              <w:left w:val="nil"/>
              <w:bottom w:val="single" w:sz="4" w:space="0" w:color="auto"/>
              <w:right w:val="single" w:sz="4" w:space="0" w:color="auto"/>
            </w:tcBorders>
            <w:shd w:val="clear" w:color="auto" w:fill="auto"/>
            <w:vAlign w:val="center"/>
            <w:hideMark/>
          </w:tcPr>
          <w:p w14:paraId="09088DAB"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prevádzkové náklady CASP</w:t>
            </w:r>
          </w:p>
        </w:tc>
        <w:tc>
          <w:tcPr>
            <w:tcW w:w="1276" w:type="dxa"/>
            <w:tcBorders>
              <w:top w:val="nil"/>
              <w:left w:val="nil"/>
              <w:bottom w:val="single" w:sz="4" w:space="0" w:color="auto"/>
              <w:right w:val="single" w:sz="4" w:space="0" w:color="auto"/>
            </w:tcBorders>
            <w:shd w:val="clear" w:color="auto" w:fill="auto"/>
            <w:vAlign w:val="center"/>
            <w:hideMark/>
          </w:tcPr>
          <w:p w14:paraId="282F92AB"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Zákon 123/2022 Z. z.</w:t>
            </w:r>
          </w:p>
        </w:tc>
        <w:tc>
          <w:tcPr>
            <w:tcW w:w="851" w:type="dxa"/>
            <w:tcBorders>
              <w:top w:val="nil"/>
              <w:left w:val="nil"/>
              <w:bottom w:val="single" w:sz="4" w:space="0" w:color="auto"/>
              <w:right w:val="single" w:sz="4" w:space="0" w:color="auto"/>
            </w:tcBorders>
            <w:shd w:val="clear" w:color="auto" w:fill="auto"/>
            <w:vAlign w:val="center"/>
            <w:hideMark/>
          </w:tcPr>
          <w:p w14:paraId="441A70C7"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6</w:t>
            </w:r>
          </w:p>
        </w:tc>
        <w:tc>
          <w:tcPr>
            <w:tcW w:w="992" w:type="dxa"/>
            <w:tcBorders>
              <w:top w:val="nil"/>
              <w:left w:val="nil"/>
              <w:bottom w:val="single" w:sz="4" w:space="0" w:color="auto"/>
              <w:right w:val="single" w:sz="4" w:space="0" w:color="auto"/>
            </w:tcBorders>
            <w:shd w:val="clear" w:color="auto" w:fill="auto"/>
            <w:vAlign w:val="center"/>
            <w:hideMark/>
          </w:tcPr>
          <w:p w14:paraId="45656725"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5E32E30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613BCB7F"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Poskytovatelia služieb kryptoaktív - CASP</w:t>
            </w:r>
          </w:p>
        </w:tc>
        <w:tc>
          <w:tcPr>
            <w:tcW w:w="1134" w:type="dxa"/>
            <w:tcBorders>
              <w:top w:val="nil"/>
              <w:left w:val="nil"/>
              <w:bottom w:val="single" w:sz="4" w:space="0" w:color="auto"/>
              <w:right w:val="single" w:sz="4" w:space="0" w:color="auto"/>
            </w:tcBorders>
            <w:shd w:val="clear" w:color="auto" w:fill="auto"/>
            <w:vAlign w:val="center"/>
            <w:hideMark/>
          </w:tcPr>
          <w:p w14:paraId="4DFAA612"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6 </w:t>
            </w:r>
          </w:p>
        </w:tc>
        <w:tc>
          <w:tcPr>
            <w:tcW w:w="1134" w:type="dxa"/>
            <w:tcBorders>
              <w:top w:val="nil"/>
              <w:left w:val="nil"/>
              <w:bottom w:val="single" w:sz="4" w:space="0" w:color="auto"/>
              <w:right w:val="single" w:sz="4" w:space="0" w:color="auto"/>
            </w:tcBorders>
            <w:shd w:val="clear" w:color="auto" w:fill="auto"/>
            <w:vAlign w:val="center"/>
            <w:hideMark/>
          </w:tcPr>
          <w:p w14:paraId="23C1DFB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83</w:t>
            </w:r>
          </w:p>
        </w:tc>
        <w:tc>
          <w:tcPr>
            <w:tcW w:w="1418" w:type="dxa"/>
            <w:tcBorders>
              <w:top w:val="nil"/>
              <w:left w:val="nil"/>
              <w:bottom w:val="single" w:sz="4" w:space="0" w:color="auto"/>
              <w:right w:val="single" w:sz="4" w:space="0" w:color="auto"/>
            </w:tcBorders>
            <w:shd w:val="clear" w:color="auto" w:fill="auto"/>
            <w:vAlign w:val="center"/>
            <w:hideMark/>
          </w:tcPr>
          <w:p w14:paraId="5FAFA3B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496</w:t>
            </w:r>
          </w:p>
        </w:tc>
        <w:tc>
          <w:tcPr>
            <w:tcW w:w="1842" w:type="dxa"/>
            <w:tcBorders>
              <w:top w:val="nil"/>
              <w:left w:val="nil"/>
              <w:bottom w:val="single" w:sz="4" w:space="0" w:color="auto"/>
              <w:right w:val="single" w:sz="4" w:space="0" w:color="auto"/>
            </w:tcBorders>
            <w:shd w:val="clear" w:color="auto" w:fill="auto"/>
            <w:vAlign w:val="center"/>
            <w:hideMark/>
          </w:tcPr>
          <w:p w14:paraId="7028FE45"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In (zvyšuje náklady)</w:t>
            </w:r>
          </w:p>
        </w:tc>
        <w:tc>
          <w:tcPr>
            <w:tcW w:w="1134" w:type="dxa"/>
            <w:tcBorders>
              <w:top w:val="nil"/>
              <w:left w:val="nil"/>
              <w:bottom w:val="single" w:sz="4" w:space="0" w:color="auto"/>
              <w:right w:val="single" w:sz="4" w:space="0" w:color="auto"/>
            </w:tcBorders>
            <w:shd w:val="clear" w:color="auto" w:fill="auto"/>
            <w:vAlign w:val="center"/>
            <w:hideMark/>
          </w:tcPr>
          <w:p w14:paraId="6FAF85E3"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3BB05A2A"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777FCB1B"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r w:rsidR="00113AD3" w:rsidRPr="008B08AB" w14:paraId="3A2222AC" w14:textId="77777777" w:rsidTr="001F264A">
        <w:trPr>
          <w:trHeight w:val="78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17A6B62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16</w:t>
            </w:r>
          </w:p>
        </w:tc>
        <w:tc>
          <w:tcPr>
            <w:tcW w:w="1701" w:type="dxa"/>
            <w:tcBorders>
              <w:top w:val="nil"/>
              <w:left w:val="nil"/>
              <w:bottom w:val="single" w:sz="4" w:space="0" w:color="auto"/>
              <w:right w:val="single" w:sz="4" w:space="0" w:color="auto"/>
            </w:tcBorders>
            <w:shd w:val="clear" w:color="auto" w:fill="auto"/>
            <w:vAlign w:val="center"/>
            <w:hideMark/>
          </w:tcPr>
          <w:p w14:paraId="71A69676"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zníženie rozsahu požiadaviek vo vzťahu k vnútroštátnemu správcovi emisných kvót</w:t>
            </w:r>
          </w:p>
        </w:tc>
        <w:tc>
          <w:tcPr>
            <w:tcW w:w="1276" w:type="dxa"/>
            <w:tcBorders>
              <w:top w:val="nil"/>
              <w:left w:val="nil"/>
              <w:bottom w:val="single" w:sz="4" w:space="0" w:color="auto"/>
              <w:right w:val="single" w:sz="4" w:space="0" w:color="auto"/>
            </w:tcBorders>
            <w:shd w:val="clear" w:color="auto" w:fill="auto"/>
            <w:vAlign w:val="center"/>
            <w:hideMark/>
          </w:tcPr>
          <w:p w14:paraId="1EE711B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.../2027</w:t>
            </w:r>
          </w:p>
        </w:tc>
        <w:tc>
          <w:tcPr>
            <w:tcW w:w="851" w:type="dxa"/>
            <w:tcBorders>
              <w:top w:val="nil"/>
              <w:left w:val="nil"/>
              <w:bottom w:val="single" w:sz="4" w:space="0" w:color="auto"/>
              <w:right w:val="single" w:sz="4" w:space="0" w:color="auto"/>
            </w:tcBorders>
            <w:shd w:val="clear" w:color="auto" w:fill="auto"/>
            <w:vAlign w:val="center"/>
            <w:hideMark/>
          </w:tcPr>
          <w:p w14:paraId="219FAC91"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§9 ods. 2</w:t>
            </w:r>
          </w:p>
        </w:tc>
        <w:tc>
          <w:tcPr>
            <w:tcW w:w="992" w:type="dxa"/>
            <w:tcBorders>
              <w:top w:val="nil"/>
              <w:left w:val="nil"/>
              <w:bottom w:val="single" w:sz="4" w:space="0" w:color="auto"/>
              <w:right w:val="single" w:sz="4" w:space="0" w:color="auto"/>
            </w:tcBorders>
            <w:shd w:val="clear" w:color="auto" w:fill="auto"/>
            <w:vAlign w:val="center"/>
            <w:hideMark/>
          </w:tcPr>
          <w:p w14:paraId="05ABFFA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327BA6B9"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10.07.27</w:t>
            </w:r>
          </w:p>
        </w:tc>
        <w:tc>
          <w:tcPr>
            <w:tcW w:w="1134" w:type="dxa"/>
            <w:tcBorders>
              <w:top w:val="nil"/>
              <w:left w:val="nil"/>
              <w:bottom w:val="single" w:sz="4" w:space="0" w:color="auto"/>
              <w:right w:val="single" w:sz="4" w:space="0" w:color="auto"/>
            </w:tcBorders>
            <w:shd w:val="clear" w:color="auto" w:fill="auto"/>
            <w:vAlign w:val="center"/>
            <w:hideMark/>
          </w:tcPr>
          <w:p w14:paraId="4CB7E71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vnútroštátny správca emisných kvót</w:t>
            </w:r>
          </w:p>
        </w:tc>
        <w:tc>
          <w:tcPr>
            <w:tcW w:w="1134" w:type="dxa"/>
            <w:tcBorders>
              <w:top w:val="nil"/>
              <w:left w:val="nil"/>
              <w:bottom w:val="single" w:sz="4" w:space="0" w:color="auto"/>
              <w:right w:val="single" w:sz="4" w:space="0" w:color="auto"/>
            </w:tcBorders>
            <w:shd w:val="clear" w:color="auto" w:fill="auto"/>
            <w:vAlign w:val="center"/>
            <w:hideMark/>
          </w:tcPr>
          <w:p w14:paraId="462A308E" w14:textId="77777777" w:rsidR="008B08AB" w:rsidRPr="008B08AB" w:rsidRDefault="008B08AB" w:rsidP="008B08AB">
            <w:pPr>
              <w:spacing w:after="0" w:line="240" w:lineRule="auto"/>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 xml:space="preserve">                   1 </w:t>
            </w:r>
          </w:p>
        </w:tc>
        <w:tc>
          <w:tcPr>
            <w:tcW w:w="1134" w:type="dxa"/>
            <w:tcBorders>
              <w:top w:val="nil"/>
              <w:left w:val="nil"/>
              <w:bottom w:val="single" w:sz="4" w:space="0" w:color="auto"/>
              <w:right w:val="single" w:sz="4" w:space="0" w:color="auto"/>
            </w:tcBorders>
            <w:shd w:val="clear" w:color="auto" w:fill="auto"/>
            <w:vAlign w:val="center"/>
            <w:hideMark/>
          </w:tcPr>
          <w:p w14:paraId="5B959C70"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483</w:t>
            </w:r>
          </w:p>
        </w:tc>
        <w:tc>
          <w:tcPr>
            <w:tcW w:w="1418" w:type="dxa"/>
            <w:tcBorders>
              <w:top w:val="nil"/>
              <w:left w:val="nil"/>
              <w:bottom w:val="single" w:sz="4" w:space="0" w:color="auto"/>
              <w:right w:val="single" w:sz="4" w:space="0" w:color="auto"/>
            </w:tcBorders>
            <w:shd w:val="clear" w:color="auto" w:fill="auto"/>
            <w:vAlign w:val="center"/>
            <w:hideMark/>
          </w:tcPr>
          <w:p w14:paraId="159F614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483</w:t>
            </w:r>
          </w:p>
        </w:tc>
        <w:tc>
          <w:tcPr>
            <w:tcW w:w="1842" w:type="dxa"/>
            <w:tcBorders>
              <w:top w:val="nil"/>
              <w:left w:val="nil"/>
              <w:bottom w:val="single" w:sz="4" w:space="0" w:color="auto"/>
              <w:right w:val="single" w:sz="4" w:space="0" w:color="auto"/>
            </w:tcBorders>
            <w:shd w:val="clear" w:color="auto" w:fill="auto"/>
            <w:vAlign w:val="center"/>
            <w:hideMark/>
          </w:tcPr>
          <w:p w14:paraId="1E630263"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Out (znižuje náklady)</w:t>
            </w:r>
          </w:p>
        </w:tc>
        <w:tc>
          <w:tcPr>
            <w:tcW w:w="1134" w:type="dxa"/>
            <w:tcBorders>
              <w:top w:val="nil"/>
              <w:left w:val="nil"/>
              <w:bottom w:val="single" w:sz="4" w:space="0" w:color="auto"/>
              <w:right w:val="single" w:sz="4" w:space="0" w:color="auto"/>
            </w:tcBorders>
            <w:shd w:val="clear" w:color="auto" w:fill="auto"/>
            <w:vAlign w:val="center"/>
            <w:hideMark/>
          </w:tcPr>
          <w:p w14:paraId="575F4889" w14:textId="77777777" w:rsidR="008B08AB" w:rsidRPr="008B08AB" w:rsidRDefault="008B08AB" w:rsidP="008B08AB">
            <w:pPr>
              <w:spacing w:after="0" w:line="240" w:lineRule="auto"/>
              <w:jc w:val="center"/>
              <w:rPr>
                <w:rFonts w:ascii="Times New Roman" w:eastAsia="Times New Roman" w:hAnsi="Times New Roman" w:cs="Times New Roman"/>
                <w:sz w:val="20"/>
                <w:szCs w:val="20"/>
                <w:lang w:eastAsia="sk-SK"/>
              </w:rPr>
            </w:pPr>
            <w:r w:rsidRPr="008B08AB">
              <w:rPr>
                <w:rFonts w:ascii="Times New Roman" w:eastAsia="Times New Roman" w:hAnsi="Times New Roman" w:cs="Times New Roman"/>
                <w:sz w:val="20"/>
                <w:szCs w:val="20"/>
                <w:lang w:eastAsia="sk-SK"/>
              </w:rPr>
              <w:t>0</w:t>
            </w:r>
          </w:p>
        </w:tc>
        <w:tc>
          <w:tcPr>
            <w:tcW w:w="1418" w:type="dxa"/>
            <w:tcBorders>
              <w:top w:val="nil"/>
              <w:left w:val="nil"/>
              <w:bottom w:val="single" w:sz="4" w:space="0" w:color="auto"/>
              <w:right w:val="single" w:sz="4" w:space="0" w:color="auto"/>
            </w:tcBorders>
            <w:shd w:val="clear" w:color="auto" w:fill="auto"/>
            <w:vAlign w:val="center"/>
            <w:hideMark/>
          </w:tcPr>
          <w:p w14:paraId="7D6E8EED" w14:textId="77777777" w:rsidR="008B08AB" w:rsidRPr="008B08AB" w:rsidRDefault="008B08AB" w:rsidP="008B08AB">
            <w:pPr>
              <w:spacing w:after="0" w:line="240" w:lineRule="auto"/>
              <w:jc w:val="center"/>
              <w:rPr>
                <w:rFonts w:ascii="Times New Roman" w:eastAsia="Times New Roman" w:hAnsi="Times New Roman" w:cs="Times New Roman"/>
                <w:color w:val="000000"/>
                <w:sz w:val="20"/>
                <w:szCs w:val="20"/>
                <w:lang w:eastAsia="sk-SK"/>
              </w:rPr>
            </w:pPr>
            <w:r w:rsidRPr="008B08AB">
              <w:rPr>
                <w:rFonts w:ascii="Times New Roman" w:eastAsia="Times New Roman" w:hAnsi="Times New Roman" w:cs="Times New Roman"/>
                <w:color w:val="000000"/>
                <w:sz w:val="20"/>
                <w:szCs w:val="20"/>
                <w:lang w:eastAsia="sk-SK"/>
              </w:rPr>
              <w:t>0</w:t>
            </w:r>
          </w:p>
        </w:tc>
        <w:tc>
          <w:tcPr>
            <w:tcW w:w="3827" w:type="dxa"/>
            <w:vAlign w:val="center"/>
            <w:hideMark/>
          </w:tcPr>
          <w:p w14:paraId="156E0E2A" w14:textId="77777777" w:rsidR="008B08AB" w:rsidRPr="008B08AB" w:rsidRDefault="008B08AB" w:rsidP="008B08AB">
            <w:pPr>
              <w:spacing w:after="0" w:line="240" w:lineRule="auto"/>
              <w:rPr>
                <w:rFonts w:ascii="Times New Roman" w:eastAsia="Times New Roman" w:hAnsi="Times New Roman" w:cs="Times New Roman"/>
                <w:sz w:val="20"/>
                <w:szCs w:val="20"/>
                <w:lang w:eastAsia="sk-SK"/>
              </w:rPr>
            </w:pPr>
          </w:p>
        </w:tc>
      </w:tr>
    </w:tbl>
    <w:p w14:paraId="62BAC8CB" w14:textId="3F9E0473" w:rsidR="005335A7" w:rsidRDefault="005335A7" w:rsidP="002912D1">
      <w:pPr>
        <w:spacing w:after="0" w:line="240" w:lineRule="auto"/>
        <w:jc w:val="both"/>
        <w:rPr>
          <w:rFonts w:ascii="Times New Roman" w:eastAsia="Calibri" w:hAnsi="Times New Roman" w:cs="Times New Roman"/>
          <w:i/>
          <w:sz w:val="24"/>
          <w:szCs w:val="24"/>
        </w:rPr>
      </w:pPr>
    </w:p>
    <w:p w14:paraId="0D8A0A11" w14:textId="03B0DDAF" w:rsidR="005335A7" w:rsidRDefault="005335A7" w:rsidP="002912D1">
      <w:pPr>
        <w:spacing w:after="0" w:line="240" w:lineRule="auto"/>
        <w:jc w:val="both"/>
        <w:rPr>
          <w:rFonts w:ascii="Times New Roman" w:eastAsia="Calibri" w:hAnsi="Times New Roman" w:cs="Times New Roman"/>
          <w:i/>
          <w:sz w:val="24"/>
          <w:szCs w:val="24"/>
        </w:rPr>
      </w:pPr>
    </w:p>
    <w:p w14:paraId="16C895EB" w14:textId="1F3CC5B7" w:rsidR="00113AD3" w:rsidRDefault="00113AD3" w:rsidP="00054C41">
      <w:pPr>
        <w:jc w:val="both"/>
        <w:rPr>
          <w:rFonts w:ascii="Times New Roman" w:eastAsia="Calibri" w:hAnsi="Times New Roman" w:cs="Times New Roman"/>
          <w:b/>
          <w:bCs/>
          <w:i/>
          <w:sz w:val="24"/>
          <w:szCs w:val="24"/>
          <w:u w:val="single"/>
        </w:rPr>
      </w:pPr>
    </w:p>
    <w:p w14:paraId="7979CBA1" w14:textId="77777777" w:rsidR="00113AD3" w:rsidRDefault="00113AD3" w:rsidP="00054C41">
      <w:pPr>
        <w:jc w:val="both"/>
        <w:rPr>
          <w:rFonts w:ascii="Times New Roman" w:eastAsia="Calibri" w:hAnsi="Times New Roman" w:cs="Times New Roman"/>
          <w:b/>
          <w:bCs/>
          <w:i/>
          <w:sz w:val="24"/>
          <w:szCs w:val="24"/>
          <w:u w:val="single"/>
        </w:rPr>
      </w:pPr>
    </w:p>
    <w:p w14:paraId="346A1A59" w14:textId="77777777" w:rsidR="00113AD3" w:rsidRDefault="00113AD3" w:rsidP="00054C41">
      <w:pPr>
        <w:jc w:val="both"/>
        <w:rPr>
          <w:rFonts w:ascii="Times New Roman" w:eastAsia="Calibri" w:hAnsi="Times New Roman" w:cs="Times New Roman"/>
          <w:b/>
          <w:bCs/>
          <w:i/>
          <w:sz w:val="24"/>
          <w:szCs w:val="24"/>
          <w:u w:val="single"/>
        </w:rPr>
      </w:pPr>
    </w:p>
    <w:p w14:paraId="2D66BF90" w14:textId="725B521D" w:rsidR="00054C41" w:rsidRPr="001F1B43" w:rsidRDefault="00054C41" w:rsidP="00054C41">
      <w:pPr>
        <w:jc w:val="both"/>
        <w:rPr>
          <w:rFonts w:ascii="Times New Roman" w:eastAsia="Calibri" w:hAnsi="Times New Roman" w:cs="Times New Roman"/>
          <w:b/>
          <w:bCs/>
          <w:i/>
          <w:sz w:val="24"/>
          <w:szCs w:val="24"/>
          <w:u w:val="single"/>
        </w:rPr>
      </w:pPr>
      <w:r w:rsidRPr="001F1B43">
        <w:rPr>
          <w:rFonts w:ascii="Times New Roman" w:eastAsia="Calibri" w:hAnsi="Times New Roman" w:cs="Times New Roman"/>
          <w:b/>
          <w:bCs/>
          <w:i/>
          <w:sz w:val="24"/>
          <w:szCs w:val="24"/>
          <w:u w:val="single"/>
        </w:rPr>
        <w:lastRenderedPageBreak/>
        <w:t xml:space="preserve">Doplňujúce informácie k spôsobu výpočtu vplyvov jednotlivých regulácií na zmenu nákladov </w:t>
      </w:r>
    </w:p>
    <w:p w14:paraId="2EBE22EB" w14:textId="12CC17C1" w:rsidR="001B1E9F" w:rsidRDefault="00054C41" w:rsidP="001B1E9F">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 xml:space="preserve">oplatky, C. Nepriame finančné náklady, D. Administratívne náklady). Rozčleňte ich a vypočítajte v súlade s metodickým postupom. </w:t>
      </w:r>
    </w:p>
    <w:p w14:paraId="3AB8030E" w14:textId="12C36FF6" w:rsidR="001B1E9F" w:rsidRPr="001B1E9F" w:rsidRDefault="001B1E9F" w:rsidP="001B1E9F">
      <w:pPr>
        <w:tabs>
          <w:tab w:val="left" w:pos="1843"/>
        </w:tabs>
        <w:jc w:val="both"/>
        <w:rPr>
          <w:rFonts w:ascii="Times New Roman" w:eastAsia="Calibri" w:hAnsi="Times New Roman" w:cs="Times New Roman"/>
          <w:b/>
          <w:i/>
          <w:iCs/>
          <w:color w:val="000000"/>
          <w:sz w:val="24"/>
          <w:szCs w:val="24"/>
        </w:rPr>
      </w:pPr>
      <w:r w:rsidRPr="001B1E9F">
        <w:rPr>
          <w:rFonts w:ascii="Times New Roman" w:eastAsia="Calibri" w:hAnsi="Times New Roman" w:cs="Times New Roman"/>
          <w:b/>
          <w:i/>
          <w:iCs/>
          <w:color w:val="000000"/>
          <w:sz w:val="24"/>
          <w:szCs w:val="24"/>
        </w:rPr>
        <w:t>Opatrenia vo vzťahu k novele zákona č. 123/2022 Z. z. o centrálnom registri účtov</w:t>
      </w:r>
    </w:p>
    <w:p w14:paraId="1297EDDD" w14:textId="79E3AF04" w:rsidR="00054C41" w:rsidRDefault="006215B5" w:rsidP="00054C41">
      <w:pPr>
        <w:rPr>
          <w:rFonts w:ascii="Times New Roman" w:eastAsia="Calibri" w:hAnsi="Times New Roman" w:cs="Times New Roman"/>
          <w:i/>
          <w:sz w:val="24"/>
          <w:szCs w:val="24"/>
          <w:u w:val="single"/>
        </w:rPr>
      </w:pPr>
      <w:r w:rsidRPr="006071A9">
        <w:rPr>
          <w:rFonts w:ascii="Times New Roman" w:eastAsia="Calibri" w:hAnsi="Times New Roman" w:cs="Times New Roman"/>
          <w:i/>
          <w:sz w:val="24"/>
          <w:szCs w:val="24"/>
          <w:u w:val="single"/>
        </w:rPr>
        <w:t xml:space="preserve">Opatrenia (opisy </w:t>
      </w:r>
      <w:r w:rsidRPr="001715B8">
        <w:rPr>
          <w:rFonts w:ascii="Times New Roman" w:eastAsia="Calibri" w:hAnsi="Times New Roman" w:cs="Times New Roman"/>
          <w:i/>
          <w:sz w:val="24"/>
          <w:szCs w:val="24"/>
          <w:u w:val="single"/>
        </w:rPr>
        <w:t xml:space="preserve">regulácií) č. 1 až </w:t>
      </w:r>
      <w:r w:rsidR="004B79D1" w:rsidRPr="001715B8">
        <w:rPr>
          <w:rFonts w:ascii="Times New Roman" w:eastAsia="Calibri" w:hAnsi="Times New Roman" w:cs="Times New Roman"/>
          <w:i/>
          <w:sz w:val="24"/>
          <w:szCs w:val="24"/>
          <w:u w:val="single"/>
        </w:rPr>
        <w:t>12</w:t>
      </w:r>
    </w:p>
    <w:p w14:paraId="698CEEF4" w14:textId="3B19333B" w:rsidR="007B6516" w:rsidRDefault="007B6516" w:rsidP="00594FDF">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Náklady na opatrenia </w:t>
      </w:r>
      <w:r w:rsidR="00320745">
        <w:rPr>
          <w:rFonts w:ascii="Times New Roman" w:eastAsia="Calibri" w:hAnsi="Times New Roman" w:cs="Times New Roman"/>
          <w:sz w:val="24"/>
          <w:szCs w:val="24"/>
        </w:rPr>
        <w:t>upravené novelou</w:t>
      </w:r>
      <w:r>
        <w:rPr>
          <w:rFonts w:ascii="Times New Roman" w:eastAsia="Calibri" w:hAnsi="Times New Roman" w:cs="Times New Roman"/>
          <w:sz w:val="24"/>
          <w:szCs w:val="24"/>
        </w:rPr>
        <w:t xml:space="preserve"> zákon</w:t>
      </w:r>
      <w:r w:rsidR="00320745">
        <w:rPr>
          <w:rFonts w:ascii="Times New Roman" w:eastAsia="Calibri" w:hAnsi="Times New Roman" w:cs="Times New Roman"/>
          <w:sz w:val="24"/>
          <w:szCs w:val="24"/>
        </w:rPr>
        <w:t>a</w:t>
      </w:r>
      <w:r>
        <w:rPr>
          <w:rFonts w:ascii="Times New Roman" w:eastAsia="Calibri" w:hAnsi="Times New Roman" w:cs="Times New Roman"/>
          <w:sz w:val="24"/>
          <w:szCs w:val="24"/>
        </w:rPr>
        <w:t xml:space="preserve"> </w:t>
      </w:r>
      <w:r w:rsidR="00B862E1">
        <w:rPr>
          <w:rFonts w:ascii="Times New Roman" w:eastAsia="Calibri" w:hAnsi="Times New Roman" w:cs="Times New Roman"/>
          <w:sz w:val="24"/>
          <w:szCs w:val="24"/>
        </w:rPr>
        <w:t>č. 123/2022 Z.</w:t>
      </w:r>
      <w:r w:rsidR="00F45EEB">
        <w:rPr>
          <w:rFonts w:ascii="Times New Roman" w:eastAsia="Calibri" w:hAnsi="Times New Roman" w:cs="Times New Roman"/>
          <w:sz w:val="24"/>
          <w:szCs w:val="24"/>
        </w:rPr>
        <w:t xml:space="preserve"> </w:t>
      </w:r>
      <w:r w:rsidR="00B862E1">
        <w:rPr>
          <w:rFonts w:ascii="Times New Roman" w:eastAsia="Calibri" w:hAnsi="Times New Roman" w:cs="Times New Roman"/>
          <w:sz w:val="24"/>
          <w:szCs w:val="24"/>
        </w:rPr>
        <w:t xml:space="preserve">z. o centrálnom registri účtov a o zmene a doplnení niektorých zákonov (ďalej len „zákon“) </w:t>
      </w:r>
      <w:r w:rsidR="00320745">
        <w:rPr>
          <w:rFonts w:ascii="Times New Roman" w:eastAsia="Calibri" w:hAnsi="Times New Roman" w:cs="Times New Roman"/>
          <w:sz w:val="24"/>
          <w:szCs w:val="24"/>
        </w:rPr>
        <w:t>nie je možné presne stanoviť. O</w:t>
      </w:r>
      <w:r>
        <w:rPr>
          <w:rFonts w:ascii="Times New Roman" w:eastAsia="Calibri" w:hAnsi="Times New Roman" w:cs="Times New Roman"/>
          <w:sz w:val="24"/>
          <w:szCs w:val="24"/>
        </w:rPr>
        <w:t>sloven</w:t>
      </w:r>
      <w:r w:rsidR="00320745">
        <w:rPr>
          <w:rFonts w:ascii="Times New Roman" w:eastAsia="Calibri" w:hAnsi="Times New Roman" w:cs="Times New Roman"/>
          <w:sz w:val="24"/>
          <w:szCs w:val="24"/>
        </w:rPr>
        <w:t>é</w:t>
      </w:r>
      <w:r>
        <w:rPr>
          <w:rFonts w:ascii="Times New Roman" w:eastAsia="Calibri" w:hAnsi="Times New Roman" w:cs="Times New Roman"/>
          <w:sz w:val="24"/>
          <w:szCs w:val="24"/>
        </w:rPr>
        <w:t xml:space="preserve"> subjekt</w:t>
      </w:r>
      <w:r w:rsidR="00320745">
        <w:rPr>
          <w:rFonts w:ascii="Times New Roman" w:eastAsia="Calibri" w:hAnsi="Times New Roman" w:cs="Times New Roman"/>
          <w:sz w:val="24"/>
          <w:szCs w:val="24"/>
        </w:rPr>
        <w:t>y</w:t>
      </w:r>
      <w:r>
        <w:rPr>
          <w:rFonts w:ascii="Times New Roman" w:eastAsia="Calibri" w:hAnsi="Times New Roman" w:cs="Times New Roman"/>
          <w:sz w:val="24"/>
          <w:szCs w:val="24"/>
        </w:rPr>
        <w:t xml:space="preserve"> nevedia presne stanoviť nákladovosť implementácie zákona a pri diskusiách sa uchýlili len k expertným odhadom, resp. nevedeli, s ohľadom na stav implementácie, odhadovať náklady. Pri stanovení výšky nákladov regulácie vychádzame z odhadu nákladov, ktorý poskytla Slovenská banková asociácia</w:t>
      </w:r>
      <w:r w:rsidR="005335A7">
        <w:rPr>
          <w:rFonts w:ascii="Times New Roman" w:eastAsia="Calibri" w:hAnsi="Times New Roman" w:cs="Times New Roman"/>
          <w:sz w:val="24"/>
          <w:szCs w:val="24"/>
        </w:rPr>
        <w:t xml:space="preserve"> a vybraní obchodníci s cennými papiermi a poskytovatelia služieb kryptoaktív, pričom sa zohľadňovala </w:t>
      </w:r>
      <w:r>
        <w:rPr>
          <w:rFonts w:ascii="Times New Roman" w:eastAsia="Calibri" w:hAnsi="Times New Roman" w:cs="Times New Roman"/>
          <w:sz w:val="24"/>
          <w:szCs w:val="24"/>
        </w:rPr>
        <w:t>veľkosť subjektov a komplikovanosť riešenia implementácie centrálneho registra účtov.</w:t>
      </w:r>
    </w:p>
    <w:p w14:paraId="5EB80545" w14:textId="3A1F88F1" w:rsidR="00B862E1" w:rsidRDefault="007B6516" w:rsidP="00594FDF">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Rozsah subjektov spadajúcich pod reguláciu vychádza z § 2 </w:t>
      </w:r>
      <w:r w:rsidR="00415B76">
        <w:rPr>
          <w:rFonts w:ascii="Times New Roman" w:eastAsia="Calibri" w:hAnsi="Times New Roman" w:cs="Times New Roman"/>
          <w:sz w:val="24"/>
          <w:szCs w:val="24"/>
        </w:rPr>
        <w:t>zákona, pričom sme vychádzali zo zoznamov Národnou bankou Slovenska dohliadaných subjektov.</w:t>
      </w:r>
      <w:r w:rsidR="00415B76">
        <w:rPr>
          <w:rStyle w:val="Odkaznapoznmkupodiarou"/>
          <w:rFonts w:ascii="Times New Roman" w:eastAsia="Calibri" w:hAnsi="Times New Roman" w:cs="Times New Roman"/>
          <w:sz w:val="24"/>
          <w:szCs w:val="24"/>
        </w:rPr>
        <w:footnoteReference w:id="1"/>
      </w:r>
      <w:r w:rsidR="00415B76">
        <w:rPr>
          <w:rFonts w:ascii="Times New Roman" w:eastAsia="Calibri" w:hAnsi="Times New Roman" w:cs="Times New Roman"/>
          <w:sz w:val="24"/>
          <w:szCs w:val="24"/>
        </w:rPr>
        <w:t xml:space="preserve"> Počet bánk a pobočiek zahraničných bánk a stavebných sporiteľní pôsobiacich v čase tvorby regulácie na Slovensku je 2</w:t>
      </w:r>
      <w:r w:rsidR="00E808E6">
        <w:rPr>
          <w:rFonts w:ascii="Times New Roman" w:eastAsia="Calibri" w:hAnsi="Times New Roman" w:cs="Times New Roman"/>
          <w:sz w:val="24"/>
          <w:szCs w:val="24"/>
        </w:rPr>
        <w:t>0</w:t>
      </w:r>
      <w:r w:rsidR="00415B76">
        <w:rPr>
          <w:rFonts w:ascii="Times New Roman" w:eastAsia="Calibri" w:hAnsi="Times New Roman" w:cs="Times New Roman"/>
          <w:sz w:val="24"/>
          <w:szCs w:val="24"/>
        </w:rPr>
        <w:t xml:space="preserve">. Počet platobných inštitúcií a pobočiek zahraničných platobných inštitúcií </w:t>
      </w:r>
      <w:r w:rsidR="00B546A6">
        <w:rPr>
          <w:rFonts w:ascii="Times New Roman" w:eastAsia="Calibri" w:hAnsi="Times New Roman" w:cs="Times New Roman"/>
          <w:sz w:val="24"/>
          <w:szCs w:val="24"/>
        </w:rPr>
        <w:t xml:space="preserve">je znížený s ohľadom na skutočnosť, že nie všetky subjekty z tejto skupiny poskytujú službu vedenia platobného účtu. V súčasnosti je týchto subjektov </w:t>
      </w:r>
      <w:r w:rsidR="00E808E6">
        <w:rPr>
          <w:rFonts w:ascii="Times New Roman" w:eastAsia="Calibri" w:hAnsi="Times New Roman" w:cs="Times New Roman"/>
          <w:sz w:val="24"/>
          <w:szCs w:val="24"/>
        </w:rPr>
        <w:t>v počte 2</w:t>
      </w:r>
      <w:r w:rsidR="00B546A6">
        <w:rPr>
          <w:rFonts w:ascii="Times New Roman" w:eastAsia="Calibri" w:hAnsi="Times New Roman" w:cs="Times New Roman"/>
          <w:sz w:val="24"/>
          <w:szCs w:val="24"/>
        </w:rPr>
        <w:t>. Jediná slovenská inštitúcia elektronických peňazí nevedie platobné účty a na Slovensku nepôsobia pobočky zahraničných inštitúcií elektronických peňazí. Obchodníci s cennými papiermi v súčasnosti pôsobia na finančnom trhu Slovenskej republiky v počte 2</w:t>
      </w:r>
      <w:r w:rsidR="00320745">
        <w:rPr>
          <w:rFonts w:ascii="Times New Roman" w:eastAsia="Calibri" w:hAnsi="Times New Roman" w:cs="Times New Roman"/>
          <w:sz w:val="24"/>
          <w:szCs w:val="24"/>
        </w:rPr>
        <w:t>8</w:t>
      </w:r>
      <w:r w:rsidR="00B546A6">
        <w:rPr>
          <w:rFonts w:ascii="Times New Roman" w:eastAsia="Calibri" w:hAnsi="Times New Roman" w:cs="Times New Roman"/>
          <w:sz w:val="24"/>
          <w:szCs w:val="24"/>
        </w:rPr>
        <w:t xml:space="preserve"> subjektov, vrátane pobočiek zahraničných obchodníkov s cennými papiermi</w:t>
      </w:r>
      <w:r w:rsidR="00E808E6">
        <w:rPr>
          <w:rFonts w:ascii="Times New Roman" w:eastAsia="Calibri" w:hAnsi="Times New Roman" w:cs="Times New Roman"/>
          <w:sz w:val="24"/>
          <w:szCs w:val="24"/>
        </w:rPr>
        <w:t xml:space="preserve"> (3. z nich už poskytujú údaje do Centrálneho registra účtov)</w:t>
      </w:r>
      <w:r w:rsidR="00B546A6">
        <w:rPr>
          <w:rFonts w:ascii="Times New Roman" w:eastAsia="Calibri" w:hAnsi="Times New Roman" w:cs="Times New Roman"/>
          <w:sz w:val="24"/>
          <w:szCs w:val="24"/>
        </w:rPr>
        <w:t>.</w:t>
      </w:r>
      <w:r w:rsidR="00320745">
        <w:rPr>
          <w:rFonts w:ascii="Times New Roman" w:eastAsia="Calibri" w:hAnsi="Times New Roman" w:cs="Times New Roman"/>
          <w:sz w:val="24"/>
          <w:szCs w:val="24"/>
        </w:rPr>
        <w:t xml:space="preserve"> </w:t>
      </w:r>
      <w:r w:rsidR="0003208B">
        <w:rPr>
          <w:rFonts w:ascii="Times New Roman" w:eastAsia="Calibri" w:hAnsi="Times New Roman" w:cs="Times New Roman"/>
          <w:sz w:val="24"/>
          <w:szCs w:val="24"/>
        </w:rPr>
        <w:t xml:space="preserve">Celkový počet podnikateľských subjektov dotknutých reguláciou odhadujeme na </w:t>
      </w:r>
      <w:r w:rsidR="00E808E6">
        <w:rPr>
          <w:rFonts w:ascii="Times New Roman" w:eastAsia="Calibri" w:hAnsi="Times New Roman" w:cs="Times New Roman"/>
          <w:sz w:val="24"/>
          <w:szCs w:val="24"/>
        </w:rPr>
        <w:t>56</w:t>
      </w:r>
      <w:r w:rsidR="0003208B">
        <w:rPr>
          <w:rFonts w:ascii="Times New Roman" w:eastAsia="Calibri" w:hAnsi="Times New Roman" w:cs="Times New Roman"/>
          <w:sz w:val="24"/>
          <w:szCs w:val="24"/>
        </w:rPr>
        <w:t>.</w:t>
      </w:r>
      <w:r w:rsidR="0095305E">
        <w:rPr>
          <w:rFonts w:ascii="Times New Roman" w:eastAsia="Calibri" w:hAnsi="Times New Roman" w:cs="Times New Roman"/>
          <w:sz w:val="24"/>
          <w:szCs w:val="24"/>
        </w:rPr>
        <w:t xml:space="preserve"> </w:t>
      </w:r>
      <w:r w:rsidR="0003208B">
        <w:rPr>
          <w:rFonts w:ascii="Times New Roman" w:eastAsia="Calibri" w:hAnsi="Times New Roman" w:cs="Times New Roman"/>
          <w:sz w:val="24"/>
          <w:szCs w:val="24"/>
        </w:rPr>
        <w:t>Národnú banku Slovenska a Centrálny depozitár cenných papierov nezahŕňame do súhrnného počtu dotknutých podnikateľských subjektov, nakoľko sú špecifickými subjektmi vykonávajúcimi činnosti vo verejnom záujme, aj keď charakter niektorých nimi vykonávaných činností môže byť považovaný za podnikateľskú činnosť.</w:t>
      </w:r>
    </w:p>
    <w:p w14:paraId="58C0B4C3" w14:textId="2D35520B" w:rsidR="006215B5" w:rsidRPr="001715B8" w:rsidRDefault="00E47968" w:rsidP="00594FDF">
      <w:pPr>
        <w:pStyle w:val="Odsekzoznamu"/>
        <w:numPr>
          <w:ilvl w:val="0"/>
          <w:numId w:val="10"/>
        </w:numPr>
        <w:jc w:val="both"/>
        <w:rPr>
          <w:rFonts w:ascii="Times New Roman" w:eastAsia="Calibri" w:hAnsi="Times New Roman" w:cs="Times New Roman"/>
          <w:i/>
          <w:sz w:val="24"/>
          <w:szCs w:val="24"/>
          <w:u w:val="single"/>
        </w:rPr>
      </w:pPr>
      <w:r w:rsidRPr="001715B8">
        <w:rPr>
          <w:rFonts w:ascii="Times New Roman" w:eastAsia="Calibri" w:hAnsi="Times New Roman" w:cs="Times New Roman"/>
          <w:i/>
          <w:sz w:val="24"/>
          <w:szCs w:val="24"/>
          <w:u w:val="single"/>
        </w:rPr>
        <w:t>Zriadenie prístupu</w:t>
      </w:r>
      <w:r w:rsidR="006215B5" w:rsidRPr="001715B8">
        <w:rPr>
          <w:rFonts w:ascii="Times New Roman" w:eastAsia="Calibri" w:hAnsi="Times New Roman" w:cs="Times New Roman"/>
          <w:i/>
          <w:sz w:val="24"/>
          <w:szCs w:val="24"/>
          <w:u w:val="single"/>
        </w:rPr>
        <w:t xml:space="preserve"> do Centrálneho registra účtov </w:t>
      </w:r>
      <w:r w:rsidR="00AA7C19" w:rsidRPr="001715B8">
        <w:rPr>
          <w:rFonts w:ascii="Times New Roman" w:eastAsia="Calibri" w:hAnsi="Times New Roman" w:cs="Times New Roman"/>
          <w:i/>
          <w:sz w:val="24"/>
          <w:szCs w:val="24"/>
          <w:u w:val="single"/>
        </w:rPr>
        <w:t>– opatrenia 1 a</w:t>
      </w:r>
      <w:r w:rsidR="00A12F71">
        <w:rPr>
          <w:rFonts w:ascii="Times New Roman" w:eastAsia="Calibri" w:hAnsi="Times New Roman" w:cs="Times New Roman"/>
          <w:i/>
          <w:sz w:val="24"/>
          <w:szCs w:val="24"/>
          <w:u w:val="single"/>
        </w:rPr>
        <w:t xml:space="preserve"> </w:t>
      </w:r>
      <w:r w:rsidR="00E808E6">
        <w:rPr>
          <w:rFonts w:ascii="Times New Roman" w:eastAsia="Calibri" w:hAnsi="Times New Roman" w:cs="Times New Roman"/>
          <w:i/>
          <w:sz w:val="24"/>
          <w:szCs w:val="24"/>
          <w:u w:val="single"/>
        </w:rPr>
        <w:t>2</w:t>
      </w:r>
      <w:r w:rsidR="00A12F71">
        <w:rPr>
          <w:rFonts w:ascii="Times New Roman" w:eastAsia="Calibri" w:hAnsi="Times New Roman" w:cs="Times New Roman"/>
          <w:i/>
          <w:sz w:val="24"/>
          <w:szCs w:val="24"/>
          <w:u w:val="single"/>
        </w:rPr>
        <w:t> </w:t>
      </w:r>
    </w:p>
    <w:p w14:paraId="73E3898F" w14:textId="4E6FFA50" w:rsidR="00D91734" w:rsidRDefault="006215B5" w:rsidP="00594FDF">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Predmetná finančná regulácia zvyšuje </w:t>
      </w:r>
      <w:r w:rsidR="007B6516">
        <w:rPr>
          <w:rFonts w:ascii="Times New Roman" w:eastAsia="Calibri" w:hAnsi="Times New Roman" w:cs="Times New Roman"/>
          <w:sz w:val="24"/>
          <w:szCs w:val="24"/>
        </w:rPr>
        <w:t>ne</w:t>
      </w:r>
      <w:r>
        <w:rPr>
          <w:rFonts w:ascii="Times New Roman" w:eastAsia="Calibri" w:hAnsi="Times New Roman" w:cs="Times New Roman"/>
          <w:sz w:val="24"/>
          <w:szCs w:val="24"/>
        </w:rPr>
        <w:t xml:space="preserve">priame finančné náklady finančných inštitúcií </w:t>
      </w:r>
      <w:r w:rsidR="00320745">
        <w:rPr>
          <w:rFonts w:ascii="Times New Roman" w:eastAsia="Calibri" w:hAnsi="Times New Roman" w:cs="Times New Roman"/>
          <w:sz w:val="24"/>
          <w:szCs w:val="24"/>
        </w:rPr>
        <w:t xml:space="preserve">– obchodníkov s cennými papiermi, ktorí ešte neboli na základe aktuálneho znenia zákona povinné reportovať do Centrálneho registra účtov a CASP (poskytovateľov služieb kryptoaktív) </w:t>
      </w:r>
      <w:r w:rsidR="0003208B">
        <w:rPr>
          <w:rFonts w:ascii="Times New Roman" w:eastAsia="Calibri" w:hAnsi="Times New Roman" w:cs="Times New Roman"/>
          <w:sz w:val="24"/>
          <w:szCs w:val="24"/>
        </w:rPr>
        <w:t xml:space="preserve">vo forme investičných nákladov </w:t>
      </w:r>
      <w:r>
        <w:rPr>
          <w:rFonts w:ascii="Times New Roman" w:eastAsia="Calibri" w:hAnsi="Times New Roman" w:cs="Times New Roman"/>
          <w:sz w:val="24"/>
          <w:szCs w:val="24"/>
        </w:rPr>
        <w:t xml:space="preserve">spojených s potrebou </w:t>
      </w:r>
      <w:r w:rsidR="00B862E1">
        <w:rPr>
          <w:rFonts w:ascii="Times New Roman" w:eastAsia="Calibri" w:hAnsi="Times New Roman" w:cs="Times New Roman"/>
          <w:sz w:val="24"/>
          <w:szCs w:val="24"/>
        </w:rPr>
        <w:t>integrácie</w:t>
      </w:r>
      <w:r>
        <w:rPr>
          <w:rFonts w:ascii="Times New Roman" w:eastAsia="Calibri" w:hAnsi="Times New Roman" w:cs="Times New Roman"/>
          <w:sz w:val="24"/>
          <w:szCs w:val="24"/>
        </w:rPr>
        <w:t xml:space="preserve"> </w:t>
      </w:r>
      <w:r w:rsidR="0003208B">
        <w:rPr>
          <w:rFonts w:ascii="Times New Roman" w:eastAsia="Calibri" w:hAnsi="Times New Roman" w:cs="Times New Roman"/>
          <w:sz w:val="24"/>
          <w:szCs w:val="24"/>
        </w:rPr>
        <w:t>na</w:t>
      </w:r>
      <w:r>
        <w:rPr>
          <w:rFonts w:ascii="Times New Roman" w:eastAsia="Calibri" w:hAnsi="Times New Roman" w:cs="Times New Roman"/>
          <w:sz w:val="24"/>
          <w:szCs w:val="24"/>
        </w:rPr>
        <w:t xml:space="preserve"> Centrálny register účtov, ktorý vyplýva zo </w:t>
      </w:r>
      <w:r w:rsidR="00B862E1">
        <w:rPr>
          <w:rFonts w:ascii="Times New Roman" w:eastAsia="Calibri" w:hAnsi="Times New Roman" w:cs="Times New Roman"/>
          <w:sz w:val="24"/>
          <w:szCs w:val="24"/>
        </w:rPr>
        <w:t xml:space="preserve">samotného </w:t>
      </w:r>
      <w:r>
        <w:rPr>
          <w:rFonts w:ascii="Times New Roman" w:eastAsia="Calibri" w:hAnsi="Times New Roman" w:cs="Times New Roman"/>
          <w:sz w:val="24"/>
          <w:szCs w:val="24"/>
        </w:rPr>
        <w:t>zákona. Zákon</w:t>
      </w:r>
      <w:r w:rsidR="00B862E1">
        <w:rPr>
          <w:rFonts w:ascii="Times New Roman" w:eastAsia="Calibri" w:hAnsi="Times New Roman" w:cs="Times New Roman"/>
          <w:sz w:val="24"/>
          <w:szCs w:val="24"/>
        </w:rPr>
        <w:t xml:space="preserve"> v</w:t>
      </w:r>
      <w:r>
        <w:rPr>
          <w:rFonts w:ascii="Times New Roman" w:eastAsia="Calibri" w:hAnsi="Times New Roman" w:cs="Times New Roman"/>
          <w:sz w:val="24"/>
          <w:szCs w:val="24"/>
        </w:rPr>
        <w:t xml:space="preserve"> § 4 </w:t>
      </w:r>
      <w:r w:rsidR="00320745">
        <w:rPr>
          <w:rFonts w:ascii="Times New Roman" w:eastAsia="Calibri" w:hAnsi="Times New Roman" w:cs="Times New Roman"/>
          <w:sz w:val="24"/>
          <w:szCs w:val="24"/>
        </w:rPr>
        <w:t xml:space="preserve">rozširuje pre tieto finančné inštitúcie </w:t>
      </w:r>
      <w:r>
        <w:rPr>
          <w:rFonts w:ascii="Times New Roman" w:eastAsia="Calibri" w:hAnsi="Times New Roman" w:cs="Times New Roman"/>
          <w:sz w:val="24"/>
          <w:szCs w:val="24"/>
        </w:rPr>
        <w:t>povinnosť zasielať údaje do Centrálneho registra účtov, resp. informačného systému verejnej správy, ktorého cieľom je uľahčenie prístupu orgánov uvedených v </w:t>
      </w:r>
      <w:r w:rsidR="00B862E1">
        <w:rPr>
          <w:rFonts w:ascii="Times New Roman" w:eastAsia="Calibri" w:hAnsi="Times New Roman" w:cs="Times New Roman"/>
          <w:sz w:val="24"/>
          <w:szCs w:val="24"/>
        </w:rPr>
        <w:t xml:space="preserve">§ 5 </w:t>
      </w:r>
      <w:r>
        <w:rPr>
          <w:rFonts w:ascii="Times New Roman" w:eastAsia="Calibri" w:hAnsi="Times New Roman" w:cs="Times New Roman"/>
          <w:sz w:val="24"/>
          <w:szCs w:val="24"/>
        </w:rPr>
        <w:t>zákon</w:t>
      </w:r>
      <w:r w:rsidR="00B862E1">
        <w:rPr>
          <w:rFonts w:ascii="Times New Roman" w:eastAsia="Calibri" w:hAnsi="Times New Roman" w:cs="Times New Roman"/>
          <w:sz w:val="24"/>
          <w:szCs w:val="24"/>
        </w:rPr>
        <w:t>a</w:t>
      </w:r>
      <w:r>
        <w:rPr>
          <w:rFonts w:ascii="Times New Roman" w:eastAsia="Calibri" w:hAnsi="Times New Roman" w:cs="Times New Roman"/>
          <w:sz w:val="24"/>
          <w:szCs w:val="24"/>
        </w:rPr>
        <w:t xml:space="preserve"> k údajom o účtoch a bezpečnostných schránkach vedených alebo prenajímaných na území Slovenskej republiky. Na základe uskutočnenej komunikácie s</w:t>
      </w:r>
      <w:r w:rsidR="00E808E6">
        <w:rPr>
          <w:rFonts w:ascii="Times New Roman" w:eastAsia="Calibri" w:hAnsi="Times New Roman" w:cs="Times New Roman"/>
          <w:sz w:val="24"/>
          <w:szCs w:val="24"/>
        </w:rPr>
        <w:t> obchodníkmi s cennými papiermi (oslovili sme 2 obchodníkov, ktorí už sú pripojení do CRU – jeden obchodník si náklady pokrýval kompletne z vlastných zdrojov internými zamestnancami – tu bola naj</w:t>
      </w:r>
      <w:r w:rsidR="0050015C">
        <w:rPr>
          <w:rFonts w:ascii="Times New Roman" w:eastAsia="Calibri" w:hAnsi="Times New Roman" w:cs="Times New Roman"/>
          <w:sz w:val="24"/>
          <w:szCs w:val="24"/>
        </w:rPr>
        <w:t xml:space="preserve">viac náročnou </w:t>
      </w:r>
      <w:r w:rsidR="00E808E6">
        <w:rPr>
          <w:rFonts w:ascii="Times New Roman" w:eastAsia="Calibri" w:hAnsi="Times New Roman" w:cs="Times New Roman"/>
          <w:sz w:val="24"/>
          <w:szCs w:val="24"/>
        </w:rPr>
        <w:t xml:space="preserve">digitalizácia dát z papierovej formy – reálne zabralo cca 2 týždne 2 zamestnancom celú databázu digitalizovať a druhého obchodníka stála integrácia na CRU vo výške cca 15 000,- eur, keďže si zvolili dodávateľský prístup) a spriemerovaním nákladov na sektor môžeme odhadnúť náklad spoločnosti na úrovni 10 000,- eur. </w:t>
      </w:r>
    </w:p>
    <w:p w14:paraId="452ED978" w14:textId="7E5BA9C8" w:rsidR="00E808E6" w:rsidRDefault="00E808E6" w:rsidP="00594FDF">
      <w:pPr>
        <w:jc w:val="both"/>
        <w:rPr>
          <w:rFonts w:ascii="Times New Roman" w:eastAsia="Calibri" w:hAnsi="Times New Roman" w:cs="Times New Roman"/>
          <w:sz w:val="24"/>
          <w:szCs w:val="24"/>
        </w:rPr>
      </w:pPr>
      <w:r>
        <w:rPr>
          <w:rFonts w:ascii="Times New Roman" w:eastAsia="Calibri" w:hAnsi="Times New Roman" w:cs="Times New Roman"/>
          <w:sz w:val="24"/>
          <w:szCs w:val="24"/>
        </w:rPr>
        <w:t>Pri oslovení jedného z </w:t>
      </w:r>
      <w:r w:rsidR="00B13F88">
        <w:rPr>
          <w:rFonts w:ascii="Times New Roman" w:eastAsia="Calibri" w:hAnsi="Times New Roman" w:cs="Times New Roman"/>
          <w:sz w:val="24"/>
          <w:szCs w:val="24"/>
        </w:rPr>
        <w:t>CASP</w:t>
      </w:r>
      <w:r>
        <w:rPr>
          <w:rFonts w:ascii="Times New Roman" w:eastAsia="Calibri" w:hAnsi="Times New Roman" w:cs="Times New Roman"/>
          <w:sz w:val="24"/>
          <w:szCs w:val="24"/>
        </w:rPr>
        <w:t xml:space="preserve"> nám bolo zo strany tohto podnikateľského subjektu </w:t>
      </w:r>
      <w:r w:rsidR="00B13F88">
        <w:rPr>
          <w:rFonts w:ascii="Times New Roman" w:eastAsia="Calibri" w:hAnsi="Times New Roman" w:cs="Times New Roman"/>
          <w:sz w:val="24"/>
          <w:szCs w:val="24"/>
        </w:rPr>
        <w:t xml:space="preserve">odhadnuté náklady približne 15-20 </w:t>
      </w:r>
      <w:r w:rsidR="0050015C">
        <w:rPr>
          <w:rFonts w:ascii="Times New Roman" w:eastAsia="Calibri" w:hAnsi="Times New Roman" w:cs="Times New Roman"/>
          <w:sz w:val="24"/>
          <w:szCs w:val="24"/>
        </w:rPr>
        <w:t>človekodní</w:t>
      </w:r>
      <w:r w:rsidR="00B13F88">
        <w:rPr>
          <w:rFonts w:ascii="Times New Roman" w:eastAsia="Calibri" w:hAnsi="Times New Roman" w:cs="Times New Roman"/>
          <w:sz w:val="24"/>
          <w:szCs w:val="24"/>
        </w:rPr>
        <w:t xml:space="preserve"> (ďalej len „MD“) na jednu spoločnosť. Tu je zároveň potrebné zvážiť aké má daná spoločnosti rozpočty na riešenie takýchto situácií (cena za 1 MD sa môže pohybovať v rozmedzí 60 – 150 eur). Ak teda tieto náklady spriemerujeme, vychádza priemerná cena za 1MD 105,- eur. Zároveň pri priemere 17,5 MD x 8hod. x 105 eur vychádza suma približne 15 000 eur. Ak by sme vychádzali z predpokladu, že tak ako pri obchodníkoch s cennými papiermi si niektorí CASP budú zabezpečovať tieto služby z vlastných zdrojov, môžeme vychádzať z obdobného výpočtu ako pri obchodníkoch s cennými papiermi, kde priemerné náklady sektora CASP odhadujeme na úrovni 10 000,- eur. </w:t>
      </w:r>
    </w:p>
    <w:p w14:paraId="412D6E17" w14:textId="0767BB1C" w:rsidR="006215B5" w:rsidRDefault="006215B5" w:rsidP="00594FDF">
      <w:pPr>
        <w:jc w:val="both"/>
        <w:rPr>
          <w:rFonts w:ascii="Times New Roman" w:eastAsia="Calibri" w:hAnsi="Times New Roman" w:cs="Times New Roman"/>
          <w:sz w:val="24"/>
          <w:szCs w:val="24"/>
        </w:rPr>
      </w:pPr>
    </w:p>
    <w:p w14:paraId="06E52FEA" w14:textId="2FC0DB21" w:rsidR="006215B5" w:rsidRPr="001715B8" w:rsidRDefault="00E47968" w:rsidP="00594FDF">
      <w:pPr>
        <w:pStyle w:val="Odsekzoznamu"/>
        <w:numPr>
          <w:ilvl w:val="0"/>
          <w:numId w:val="10"/>
        </w:numPr>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Poskytovanie údajov do centrálneho registra </w:t>
      </w:r>
      <w:r w:rsidRPr="001715B8">
        <w:rPr>
          <w:rFonts w:ascii="Times New Roman" w:eastAsia="Calibri" w:hAnsi="Times New Roman" w:cs="Times New Roman"/>
          <w:i/>
          <w:sz w:val="24"/>
          <w:szCs w:val="24"/>
        </w:rPr>
        <w:t>účtov</w:t>
      </w:r>
      <w:r w:rsidR="00AA7C19" w:rsidRPr="001715B8">
        <w:rPr>
          <w:rFonts w:ascii="Times New Roman" w:eastAsia="Calibri" w:hAnsi="Times New Roman" w:cs="Times New Roman"/>
          <w:i/>
          <w:sz w:val="24"/>
          <w:szCs w:val="24"/>
        </w:rPr>
        <w:t xml:space="preserve"> – opatrenia </w:t>
      </w:r>
      <w:r w:rsidR="009B21C1">
        <w:rPr>
          <w:rFonts w:ascii="Times New Roman" w:eastAsia="Calibri" w:hAnsi="Times New Roman" w:cs="Times New Roman"/>
          <w:i/>
          <w:sz w:val="24"/>
          <w:szCs w:val="24"/>
        </w:rPr>
        <w:t>3</w:t>
      </w:r>
      <w:r w:rsidR="00AA7C19" w:rsidRPr="001715B8">
        <w:rPr>
          <w:rFonts w:ascii="Times New Roman" w:eastAsia="Calibri" w:hAnsi="Times New Roman" w:cs="Times New Roman"/>
          <w:i/>
          <w:sz w:val="24"/>
          <w:szCs w:val="24"/>
        </w:rPr>
        <w:t xml:space="preserve"> až </w:t>
      </w:r>
      <w:r w:rsidR="00380593">
        <w:rPr>
          <w:rFonts w:ascii="Times New Roman" w:eastAsia="Calibri" w:hAnsi="Times New Roman" w:cs="Times New Roman"/>
          <w:i/>
          <w:sz w:val="24"/>
          <w:szCs w:val="24"/>
        </w:rPr>
        <w:t>5</w:t>
      </w:r>
    </w:p>
    <w:p w14:paraId="216BE965" w14:textId="70714EBB" w:rsidR="00D91734" w:rsidRDefault="006215B5" w:rsidP="00594FDF">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Predmetná finančná regulácia zvyšuje </w:t>
      </w:r>
      <w:r w:rsidR="0003208B">
        <w:rPr>
          <w:rFonts w:ascii="Times New Roman" w:eastAsia="Calibri" w:hAnsi="Times New Roman" w:cs="Times New Roman"/>
          <w:sz w:val="24"/>
          <w:szCs w:val="24"/>
        </w:rPr>
        <w:t>ne</w:t>
      </w:r>
      <w:r>
        <w:rPr>
          <w:rFonts w:ascii="Times New Roman" w:eastAsia="Calibri" w:hAnsi="Times New Roman" w:cs="Times New Roman"/>
          <w:sz w:val="24"/>
          <w:szCs w:val="24"/>
        </w:rPr>
        <w:t>priame finančné náklady a administratívnu záťaž finančných inštitúcií z povinnosti vyplývajúcej z</w:t>
      </w:r>
      <w:r w:rsidR="00F23264">
        <w:rPr>
          <w:rFonts w:ascii="Times New Roman" w:eastAsia="Calibri" w:hAnsi="Times New Roman" w:cs="Times New Roman"/>
          <w:sz w:val="24"/>
          <w:szCs w:val="24"/>
        </w:rPr>
        <w:t xml:space="preserve"> n</w:t>
      </w:r>
      <w:r>
        <w:rPr>
          <w:rFonts w:ascii="Times New Roman" w:eastAsia="Calibri" w:hAnsi="Times New Roman" w:cs="Times New Roman"/>
          <w:sz w:val="24"/>
          <w:szCs w:val="24"/>
        </w:rPr>
        <w:t>o</w:t>
      </w:r>
      <w:r w:rsidR="00F23264">
        <w:rPr>
          <w:rFonts w:ascii="Times New Roman" w:eastAsia="Calibri" w:hAnsi="Times New Roman" w:cs="Times New Roman"/>
          <w:sz w:val="24"/>
          <w:szCs w:val="24"/>
        </w:rPr>
        <w:t>vely</w:t>
      </w:r>
      <w:r>
        <w:rPr>
          <w:rFonts w:ascii="Times New Roman" w:eastAsia="Calibri" w:hAnsi="Times New Roman" w:cs="Times New Roman"/>
          <w:sz w:val="24"/>
          <w:szCs w:val="24"/>
        </w:rPr>
        <w:t xml:space="preserve"> zákona, konkrétne § 4, na základe ktorého musia finančné inštitúcie pravidelne zasielať </w:t>
      </w:r>
      <w:r w:rsidR="00F23264">
        <w:rPr>
          <w:rFonts w:ascii="Times New Roman" w:eastAsia="Calibri" w:hAnsi="Times New Roman" w:cs="Times New Roman"/>
          <w:sz w:val="24"/>
          <w:szCs w:val="24"/>
        </w:rPr>
        <w:t xml:space="preserve">rozšírené </w:t>
      </w:r>
      <w:r>
        <w:rPr>
          <w:rFonts w:ascii="Times New Roman" w:eastAsia="Calibri" w:hAnsi="Times New Roman" w:cs="Times New Roman"/>
          <w:sz w:val="24"/>
          <w:szCs w:val="24"/>
        </w:rPr>
        <w:t xml:space="preserve">údaje vymedzené zákonom do </w:t>
      </w:r>
      <w:r w:rsidR="00F23264">
        <w:rPr>
          <w:rFonts w:ascii="Times New Roman" w:eastAsia="Calibri" w:hAnsi="Times New Roman" w:cs="Times New Roman"/>
          <w:sz w:val="24"/>
          <w:szCs w:val="24"/>
        </w:rPr>
        <w:t>CRU</w:t>
      </w:r>
      <w:r>
        <w:rPr>
          <w:rFonts w:ascii="Times New Roman" w:eastAsia="Calibri" w:hAnsi="Times New Roman" w:cs="Times New Roman"/>
          <w:sz w:val="24"/>
          <w:szCs w:val="24"/>
        </w:rPr>
        <w:t>. Po predbežných konzultáciách s finančným sektorom</w:t>
      </w:r>
      <w:r w:rsidR="00B13F88">
        <w:rPr>
          <w:rFonts w:ascii="Times New Roman" w:eastAsia="Calibri" w:hAnsi="Times New Roman" w:cs="Times New Roman"/>
          <w:sz w:val="24"/>
          <w:szCs w:val="24"/>
        </w:rPr>
        <w:t xml:space="preserve"> (Slovenskou bankovou asociáciou)</w:t>
      </w:r>
      <w:r>
        <w:rPr>
          <w:rFonts w:ascii="Times New Roman" w:eastAsia="Calibri" w:hAnsi="Times New Roman" w:cs="Times New Roman"/>
          <w:sz w:val="24"/>
          <w:szCs w:val="24"/>
        </w:rPr>
        <w:t xml:space="preserve">, nám boli ročné náklady na jednu banku a pobočku zahraničnej banky vyčíslené vo výške približne </w:t>
      </w:r>
      <w:r w:rsidR="00380593">
        <w:rPr>
          <w:rFonts w:ascii="Times New Roman" w:eastAsia="Calibri" w:hAnsi="Times New Roman" w:cs="Times New Roman"/>
          <w:sz w:val="24"/>
          <w:szCs w:val="24"/>
        </w:rPr>
        <w:t>81</w:t>
      </w:r>
      <w:r w:rsidR="00F23264">
        <w:rPr>
          <w:rFonts w:ascii="Times New Roman" w:eastAsia="Calibri" w:hAnsi="Times New Roman" w:cs="Times New Roman"/>
          <w:sz w:val="24"/>
          <w:szCs w:val="24"/>
        </w:rPr>
        <w:t> 000,- eur (náklady spojené s implementáciou zmien vo výške 1 452 500,- eur/sektor, ,- eur/sektor a náklady na projektové riadenie 175 000,- eur/sektor, pričom v tomto sektore aktuálne poskytuje svoje služby 20 bánk)</w:t>
      </w:r>
      <w:r>
        <w:rPr>
          <w:rFonts w:ascii="Times New Roman" w:eastAsia="Calibri" w:hAnsi="Times New Roman" w:cs="Times New Roman"/>
          <w:sz w:val="24"/>
          <w:szCs w:val="24"/>
        </w:rPr>
        <w:t>. Tieto náklady predstavujú pre banky primárne náklady spojené s dedikovaním zamestnancov na pracovné úlohy</w:t>
      </w:r>
      <w:r w:rsidR="0003208B">
        <w:rPr>
          <w:rFonts w:ascii="Times New Roman" w:eastAsia="Calibri" w:hAnsi="Times New Roman" w:cs="Times New Roman"/>
          <w:sz w:val="24"/>
          <w:szCs w:val="24"/>
        </w:rPr>
        <w:t xml:space="preserve"> spojené </w:t>
      </w:r>
      <w:r w:rsidR="000001D0">
        <w:rPr>
          <w:rFonts w:ascii="Times New Roman" w:eastAsia="Calibri" w:hAnsi="Times New Roman" w:cs="Times New Roman"/>
          <w:sz w:val="24"/>
          <w:szCs w:val="24"/>
        </w:rPr>
        <w:t xml:space="preserve">s projektovým riadením, zosúladením systémov s AML legislatívou a taktiež </w:t>
      </w:r>
      <w:r w:rsidR="0003208B">
        <w:rPr>
          <w:rFonts w:ascii="Times New Roman" w:eastAsia="Calibri" w:hAnsi="Times New Roman" w:cs="Times New Roman"/>
          <w:sz w:val="24"/>
          <w:szCs w:val="24"/>
        </w:rPr>
        <w:t>so zasielaním údajov do centrálneho registra účtov</w:t>
      </w:r>
      <w:r>
        <w:rPr>
          <w:rFonts w:ascii="Times New Roman" w:eastAsia="Calibri" w:hAnsi="Times New Roman" w:cs="Times New Roman"/>
          <w:sz w:val="24"/>
          <w:szCs w:val="24"/>
        </w:rPr>
        <w:t xml:space="preserve">. </w:t>
      </w:r>
      <w:r w:rsidR="009B21C1">
        <w:rPr>
          <w:rFonts w:ascii="Times New Roman" w:eastAsia="Calibri" w:hAnsi="Times New Roman" w:cs="Times New Roman"/>
          <w:sz w:val="24"/>
          <w:szCs w:val="24"/>
        </w:rPr>
        <w:t xml:space="preserve">Pri obchodníkoch s cennými papiermi možno predpokladať, že úprava systémov na zasielanie revidovaných údajov do CRU bude predstavovať približne tretinu nákladov na samotnú implementáciu napojenia do CRU – tu teda vychádzame zo sumy 3 330,- eur. </w:t>
      </w:r>
    </w:p>
    <w:p w14:paraId="56D8251A" w14:textId="77777777" w:rsidR="006215B5" w:rsidRDefault="006215B5" w:rsidP="00594FDF">
      <w:pPr>
        <w:jc w:val="both"/>
        <w:rPr>
          <w:rFonts w:ascii="Times New Roman" w:eastAsia="Calibri" w:hAnsi="Times New Roman" w:cs="Times New Roman"/>
          <w:sz w:val="24"/>
          <w:szCs w:val="24"/>
        </w:rPr>
      </w:pPr>
    </w:p>
    <w:p w14:paraId="3D14317C" w14:textId="59E048B0" w:rsidR="006215B5" w:rsidRPr="001715B8" w:rsidRDefault="006215B5" w:rsidP="00594FDF">
      <w:pPr>
        <w:pStyle w:val="Odsekzoznamu"/>
        <w:numPr>
          <w:ilvl w:val="0"/>
          <w:numId w:val="10"/>
        </w:numPr>
        <w:jc w:val="both"/>
        <w:rPr>
          <w:rFonts w:ascii="Times New Roman" w:eastAsia="Calibri" w:hAnsi="Times New Roman" w:cs="Times New Roman"/>
          <w:i/>
          <w:sz w:val="24"/>
          <w:szCs w:val="24"/>
        </w:rPr>
      </w:pPr>
      <w:r w:rsidRPr="00F02952">
        <w:rPr>
          <w:rFonts w:ascii="Times New Roman" w:eastAsia="Calibri" w:hAnsi="Times New Roman" w:cs="Times New Roman"/>
          <w:i/>
          <w:sz w:val="24"/>
          <w:szCs w:val="24"/>
        </w:rPr>
        <w:t xml:space="preserve">Pravidelné </w:t>
      </w:r>
      <w:r w:rsidRPr="001715B8">
        <w:rPr>
          <w:rFonts w:ascii="Times New Roman" w:eastAsia="Calibri" w:hAnsi="Times New Roman" w:cs="Times New Roman"/>
          <w:i/>
          <w:sz w:val="24"/>
          <w:szCs w:val="24"/>
        </w:rPr>
        <w:t>školenia</w:t>
      </w:r>
      <w:r w:rsidR="00AA7C19" w:rsidRPr="001715B8">
        <w:rPr>
          <w:rFonts w:ascii="Times New Roman" w:eastAsia="Calibri" w:hAnsi="Times New Roman" w:cs="Times New Roman"/>
          <w:i/>
          <w:sz w:val="24"/>
          <w:szCs w:val="24"/>
        </w:rPr>
        <w:t xml:space="preserve"> - </w:t>
      </w:r>
      <w:r w:rsidR="00AA7C19" w:rsidRPr="001715B8">
        <w:rPr>
          <w:rFonts w:ascii="Times New Roman" w:eastAsia="Calibri" w:hAnsi="Times New Roman" w:cs="Times New Roman"/>
          <w:i/>
          <w:sz w:val="24"/>
          <w:szCs w:val="24"/>
          <w:u w:val="single"/>
        </w:rPr>
        <w:t xml:space="preserve">opatrenia </w:t>
      </w:r>
      <w:r w:rsidR="00380593">
        <w:rPr>
          <w:rFonts w:ascii="Times New Roman" w:eastAsia="Calibri" w:hAnsi="Times New Roman" w:cs="Times New Roman"/>
          <w:i/>
          <w:sz w:val="24"/>
          <w:szCs w:val="24"/>
          <w:u w:val="single"/>
        </w:rPr>
        <w:t>6</w:t>
      </w:r>
      <w:r w:rsidR="00AA7C19" w:rsidRPr="001715B8">
        <w:rPr>
          <w:rFonts w:ascii="Times New Roman" w:eastAsia="Calibri" w:hAnsi="Times New Roman" w:cs="Times New Roman"/>
          <w:i/>
          <w:sz w:val="24"/>
          <w:szCs w:val="24"/>
          <w:u w:val="single"/>
        </w:rPr>
        <w:t xml:space="preserve"> až 9</w:t>
      </w:r>
    </w:p>
    <w:p w14:paraId="4ABB301F" w14:textId="5166A2CB" w:rsidR="00D91734" w:rsidRDefault="006215B5" w:rsidP="00594FDF">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Predmetná finančná regulácia zvyšuje priame finančné náklady a administratívnu záťaž finančných inštitúcií z povinnosti vyplývajúcej zo zákona, konkrétne § 6 ods. 3, na základe ktorého sú finančné </w:t>
      </w:r>
      <w:r w:rsidR="00F02952">
        <w:rPr>
          <w:rFonts w:ascii="Times New Roman" w:eastAsia="Calibri" w:hAnsi="Times New Roman" w:cs="Times New Roman"/>
          <w:sz w:val="24"/>
          <w:szCs w:val="24"/>
        </w:rPr>
        <w:t>inštitúcie</w:t>
      </w:r>
      <w:r>
        <w:rPr>
          <w:rFonts w:ascii="Times New Roman" w:eastAsia="Calibri" w:hAnsi="Times New Roman" w:cs="Times New Roman"/>
          <w:sz w:val="24"/>
          <w:szCs w:val="24"/>
        </w:rPr>
        <w:t xml:space="preserve"> povinné vykonať také </w:t>
      </w:r>
      <w:r w:rsidRPr="006215B5">
        <w:rPr>
          <w:rFonts w:ascii="Times New Roman" w:eastAsia="Calibri" w:hAnsi="Times New Roman" w:cs="Times New Roman"/>
          <w:sz w:val="24"/>
          <w:szCs w:val="24"/>
        </w:rPr>
        <w:t>organizačné, personálne, kontrolné a technické opatrenia, aby bola zaistená primeraná bezpečnosť údajov zasielaných do centrálneho registra účtov vrátane ich ochrany pred neoprávneným spracúvaním, zneužitím, stratou, zničením alebo poškodením</w:t>
      </w:r>
      <w:r>
        <w:rPr>
          <w:rFonts w:ascii="Times New Roman" w:eastAsia="Calibri" w:hAnsi="Times New Roman" w:cs="Times New Roman"/>
          <w:sz w:val="24"/>
          <w:szCs w:val="24"/>
        </w:rPr>
        <w:t xml:space="preserve"> – primárne by teda malo ísť o náklady vynaložené na projektové riadenie a školení zamestnancov finančnej inštitúcie zodpovedných za zasielanie údajov do centrálneho registra účtov</w:t>
      </w:r>
      <w:r w:rsidRPr="006215B5">
        <w:rPr>
          <w:rFonts w:ascii="Times New Roman" w:eastAsia="Calibri" w:hAnsi="Times New Roman" w:cs="Times New Roman"/>
          <w:sz w:val="24"/>
          <w:szCs w:val="24"/>
        </w:rPr>
        <w:t>.</w:t>
      </w:r>
      <w:r>
        <w:rPr>
          <w:rFonts w:ascii="Times New Roman" w:eastAsia="Calibri" w:hAnsi="Times New Roman" w:cs="Times New Roman"/>
          <w:sz w:val="24"/>
          <w:szCs w:val="24"/>
        </w:rPr>
        <w:t xml:space="preserve"> Tieto náklady boli vyčíslené vo výške približne </w:t>
      </w:r>
      <w:r w:rsidR="000001D0">
        <w:rPr>
          <w:rFonts w:ascii="Times New Roman" w:eastAsia="Calibri" w:hAnsi="Times New Roman" w:cs="Times New Roman"/>
          <w:sz w:val="24"/>
          <w:szCs w:val="24"/>
        </w:rPr>
        <w:t>500</w:t>
      </w:r>
      <w:r>
        <w:rPr>
          <w:rFonts w:ascii="Times New Roman" w:eastAsia="Calibri" w:hAnsi="Times New Roman" w:cs="Times New Roman"/>
          <w:sz w:val="24"/>
          <w:szCs w:val="24"/>
        </w:rPr>
        <w:t xml:space="preserve">,- </w:t>
      </w:r>
      <w:r w:rsidR="00F02952">
        <w:rPr>
          <w:rFonts w:ascii="Times New Roman" w:eastAsia="Calibri" w:hAnsi="Times New Roman" w:cs="Times New Roman"/>
          <w:sz w:val="24"/>
          <w:szCs w:val="24"/>
        </w:rPr>
        <w:t>EUR</w:t>
      </w:r>
      <w:r>
        <w:rPr>
          <w:rFonts w:ascii="Times New Roman" w:eastAsia="Calibri" w:hAnsi="Times New Roman" w:cs="Times New Roman"/>
          <w:sz w:val="24"/>
          <w:szCs w:val="24"/>
        </w:rPr>
        <w:t xml:space="preserve"> ročne na jednu</w:t>
      </w:r>
      <w:r w:rsidRPr="006215B5">
        <w:t xml:space="preserve"> </w:t>
      </w:r>
      <w:r w:rsidRPr="006215B5">
        <w:rPr>
          <w:rFonts w:ascii="Times New Roman" w:eastAsia="Calibri" w:hAnsi="Times New Roman" w:cs="Times New Roman"/>
          <w:sz w:val="24"/>
          <w:szCs w:val="24"/>
        </w:rPr>
        <w:t>ba</w:t>
      </w:r>
      <w:r>
        <w:rPr>
          <w:rFonts w:ascii="Times New Roman" w:eastAsia="Calibri" w:hAnsi="Times New Roman" w:cs="Times New Roman"/>
          <w:sz w:val="24"/>
          <w:szCs w:val="24"/>
        </w:rPr>
        <w:t xml:space="preserve">nku a pobočku zahraničnej banky. </w:t>
      </w:r>
      <w:r w:rsidR="00D91734">
        <w:rPr>
          <w:rFonts w:ascii="Times New Roman" w:eastAsia="Calibri" w:hAnsi="Times New Roman" w:cs="Times New Roman"/>
          <w:sz w:val="24"/>
          <w:szCs w:val="24"/>
        </w:rPr>
        <w:t xml:space="preserve">Na základe odborného odhadu predpokladáme, že </w:t>
      </w:r>
      <w:r w:rsidR="00F02952">
        <w:rPr>
          <w:rFonts w:ascii="Times New Roman" w:eastAsia="Calibri" w:hAnsi="Times New Roman" w:cs="Times New Roman"/>
          <w:sz w:val="24"/>
          <w:szCs w:val="24"/>
        </w:rPr>
        <w:t xml:space="preserve">operačné náklady spojené so školením zamestnancov pre </w:t>
      </w:r>
      <w:r w:rsidR="000001D0">
        <w:rPr>
          <w:rFonts w:ascii="Times New Roman" w:eastAsia="Calibri" w:hAnsi="Times New Roman" w:cs="Times New Roman"/>
          <w:sz w:val="24"/>
          <w:szCs w:val="24"/>
        </w:rPr>
        <w:t>obchodníkov s cennými papiermi a CASP</w:t>
      </w:r>
      <w:r w:rsidR="00F02952">
        <w:rPr>
          <w:rFonts w:ascii="Times New Roman" w:eastAsia="Calibri" w:hAnsi="Times New Roman" w:cs="Times New Roman"/>
          <w:sz w:val="24"/>
          <w:szCs w:val="24"/>
        </w:rPr>
        <w:t xml:space="preserve">  budú</w:t>
      </w:r>
      <w:r w:rsidR="00D91734">
        <w:rPr>
          <w:rFonts w:ascii="Times New Roman" w:eastAsia="Calibri" w:hAnsi="Times New Roman" w:cs="Times New Roman"/>
          <w:sz w:val="24"/>
          <w:szCs w:val="24"/>
        </w:rPr>
        <w:t xml:space="preserve"> vo výške približne </w:t>
      </w:r>
      <w:r w:rsidR="00994A0B">
        <w:rPr>
          <w:rFonts w:ascii="Times New Roman" w:eastAsia="Calibri" w:hAnsi="Times New Roman" w:cs="Times New Roman"/>
          <w:sz w:val="24"/>
          <w:szCs w:val="24"/>
        </w:rPr>
        <w:t>500</w:t>
      </w:r>
      <w:r w:rsidR="00F02952">
        <w:rPr>
          <w:rFonts w:ascii="Times New Roman" w:eastAsia="Calibri" w:hAnsi="Times New Roman" w:cs="Times New Roman"/>
          <w:sz w:val="24"/>
          <w:szCs w:val="24"/>
        </w:rPr>
        <w:t>,- EUR</w:t>
      </w:r>
      <w:r w:rsidR="00D91734">
        <w:rPr>
          <w:rFonts w:ascii="Times New Roman" w:eastAsia="Calibri" w:hAnsi="Times New Roman" w:cs="Times New Roman"/>
          <w:sz w:val="24"/>
          <w:szCs w:val="24"/>
        </w:rPr>
        <w:t xml:space="preserve"> na jednu inštitúciu.</w:t>
      </w:r>
    </w:p>
    <w:p w14:paraId="3A3B3845" w14:textId="77777777" w:rsidR="00BD06F5" w:rsidRPr="00BD06F5" w:rsidRDefault="00BD06F5" w:rsidP="00BD06F5">
      <w:pPr>
        <w:jc w:val="both"/>
        <w:rPr>
          <w:rFonts w:ascii="Times New Roman" w:eastAsia="Calibri" w:hAnsi="Times New Roman" w:cs="Times New Roman"/>
          <w:sz w:val="24"/>
          <w:szCs w:val="24"/>
        </w:rPr>
      </w:pPr>
    </w:p>
    <w:p w14:paraId="0CEA8F34" w14:textId="7AEB9E74" w:rsidR="00BD06F5" w:rsidRPr="001715B8" w:rsidRDefault="00BD06F5" w:rsidP="00BD06F5">
      <w:pPr>
        <w:pStyle w:val="Normlnywebov"/>
        <w:numPr>
          <w:ilvl w:val="0"/>
          <w:numId w:val="14"/>
        </w:numPr>
        <w:spacing w:after="160" w:line="252" w:lineRule="auto"/>
        <w:ind w:left="709"/>
        <w:contextualSpacing/>
        <w:rPr>
          <w:i/>
          <w:color w:val="000000"/>
        </w:rPr>
      </w:pPr>
      <w:r w:rsidRPr="00BD06F5">
        <w:rPr>
          <w:i/>
          <w:color w:val="000000"/>
        </w:rPr>
        <w:t xml:space="preserve">Zriadenie prístupu do centrálneho registra účtov (zníženie potreby odpovedať na vyžiadania oprávnených orgánov ohľadom účtov klientov, ktorých nemajú banky vo svojej </w:t>
      </w:r>
      <w:r w:rsidRPr="001715B8">
        <w:rPr>
          <w:i/>
          <w:color w:val="000000"/>
        </w:rPr>
        <w:t>evidencii)</w:t>
      </w:r>
      <w:r w:rsidR="00AA7C19" w:rsidRPr="001715B8">
        <w:rPr>
          <w:i/>
          <w:color w:val="000000"/>
        </w:rPr>
        <w:t xml:space="preserve"> – opatrenia 10 a</w:t>
      </w:r>
      <w:r w:rsidR="00F3694E">
        <w:rPr>
          <w:i/>
          <w:color w:val="000000"/>
        </w:rPr>
        <w:t xml:space="preserve"> </w:t>
      </w:r>
      <w:r w:rsidR="00AA7C19" w:rsidRPr="001715B8">
        <w:rPr>
          <w:i/>
          <w:color w:val="000000"/>
        </w:rPr>
        <w:t>1</w:t>
      </w:r>
      <w:r w:rsidR="00F3694E">
        <w:rPr>
          <w:i/>
          <w:color w:val="000000"/>
        </w:rPr>
        <w:t>1</w:t>
      </w:r>
    </w:p>
    <w:p w14:paraId="1D847318" w14:textId="21959D57" w:rsidR="00BD06F5" w:rsidRDefault="00BD06F5" w:rsidP="00BD06F5">
      <w:pPr>
        <w:jc w:val="both"/>
        <w:rPr>
          <w:rFonts w:ascii="Times New Roman" w:hAnsi="Times New Roman"/>
          <w:color w:val="000000"/>
          <w:sz w:val="24"/>
          <w:szCs w:val="24"/>
        </w:rPr>
      </w:pPr>
      <w:r>
        <w:rPr>
          <w:rFonts w:ascii="Times New Roman" w:hAnsi="Times New Roman"/>
          <w:color w:val="000000"/>
          <w:sz w:val="24"/>
          <w:szCs w:val="24"/>
        </w:rPr>
        <w:t xml:space="preserve">Predmetná finančná regulácia znižuje nepriame finančné náklady finančných inštitúcií formou zníženia administratívnych nákladov finančných inštitúcií v dôsledku vytvorenia centrálneho registra účtov. Vytvorením centrálneho registra účtov a poskytnutím prístupu do centrálneho registra účtov orgánom činným v trestnom konaní a orgánom podieľajúcim sa na vyšetrovaní trestnej činnosti, sa finančným inštitúciám zníži administratívna náročnosť formou zníženia potreby dedikovania zamestnancov finančnej inštitúcie </w:t>
      </w:r>
      <w:r w:rsidR="00F3694E">
        <w:rPr>
          <w:rFonts w:ascii="Times New Roman" w:hAnsi="Times New Roman"/>
          <w:color w:val="000000"/>
          <w:sz w:val="24"/>
          <w:szCs w:val="24"/>
        </w:rPr>
        <w:t xml:space="preserve">(obchodníkov s cennými papiermi a CASP) </w:t>
      </w:r>
      <w:r>
        <w:rPr>
          <w:rFonts w:ascii="Times New Roman" w:hAnsi="Times New Roman"/>
          <w:color w:val="000000"/>
          <w:sz w:val="24"/>
          <w:szCs w:val="24"/>
        </w:rPr>
        <w:t>na overovanie dožiadaní, ich spracovanie a zaslanie dopytujúcim sa orgánom činným v trestnom konaní, orgánom podieľajúcim sa na vyšetrovaní trestnej činnosti, resp. ostatným orgánom, ktoré na vykonávanie svojej operatívnej činnosti potrebujú informácie o klientoch jednotlivých bánk, ktoré sú v súčasnosti zasielané  listinnou formou.</w:t>
      </w:r>
      <w:r w:rsidR="00380593">
        <w:rPr>
          <w:rFonts w:ascii="Times New Roman" w:hAnsi="Times New Roman"/>
          <w:color w:val="000000"/>
          <w:sz w:val="24"/>
          <w:szCs w:val="24"/>
        </w:rPr>
        <w:t xml:space="preserve"> </w:t>
      </w:r>
    </w:p>
    <w:p w14:paraId="464507ED" w14:textId="09CD8A10" w:rsidR="006215B5" w:rsidRPr="00F949B8" w:rsidRDefault="00380593" w:rsidP="00380593">
      <w:pPr>
        <w:pStyle w:val="Odsekzoznamu"/>
        <w:numPr>
          <w:ilvl w:val="0"/>
          <w:numId w:val="14"/>
        </w:numPr>
        <w:rPr>
          <w:rFonts w:ascii="Times New Roman" w:eastAsia="Calibri" w:hAnsi="Times New Roman" w:cs="Times New Roman"/>
          <w:i/>
          <w:iCs/>
          <w:sz w:val="24"/>
          <w:szCs w:val="24"/>
        </w:rPr>
      </w:pPr>
      <w:r w:rsidRPr="00F949B8">
        <w:rPr>
          <w:rFonts w:ascii="Times New Roman" w:eastAsia="Calibri" w:hAnsi="Times New Roman" w:cs="Times New Roman"/>
          <w:i/>
          <w:iCs/>
          <w:sz w:val="24"/>
          <w:szCs w:val="24"/>
        </w:rPr>
        <w:t>prevádzkové náklady finančných inštitúcií</w:t>
      </w:r>
      <w:r w:rsidR="00F949B8" w:rsidRPr="00F949B8">
        <w:rPr>
          <w:rFonts w:ascii="Times New Roman" w:eastAsia="Calibri" w:hAnsi="Times New Roman" w:cs="Times New Roman"/>
          <w:i/>
          <w:iCs/>
          <w:sz w:val="24"/>
          <w:szCs w:val="24"/>
        </w:rPr>
        <w:t xml:space="preserve"> – opatrenia 12 - 15</w:t>
      </w:r>
    </w:p>
    <w:p w14:paraId="51AFB28E" w14:textId="78CAE891" w:rsidR="00380593" w:rsidRDefault="00380593" w:rsidP="00380593">
      <w:pPr>
        <w:rPr>
          <w:rFonts w:ascii="Times New Roman" w:eastAsia="Calibri" w:hAnsi="Times New Roman" w:cs="Times New Roman"/>
          <w:sz w:val="24"/>
          <w:szCs w:val="24"/>
        </w:rPr>
      </w:pPr>
      <w:r>
        <w:rPr>
          <w:rFonts w:ascii="Times New Roman" w:eastAsia="Calibri" w:hAnsi="Times New Roman" w:cs="Times New Roman"/>
          <w:sz w:val="24"/>
          <w:szCs w:val="24"/>
        </w:rPr>
        <w:t>Z predbežných diskusií so Slovenskou bankovou asociáciou bolo predbežne vyčíslené, že náklady na prevádzku systému na zasielanie údajov do CRÚ budú za celý sektor predstavovať sumu 320 000,- eur za celý sektor</w:t>
      </w:r>
      <w:r w:rsidR="00F949B8">
        <w:rPr>
          <w:rFonts w:ascii="Times New Roman" w:eastAsia="Calibri" w:hAnsi="Times New Roman" w:cs="Times New Roman"/>
          <w:sz w:val="24"/>
          <w:szCs w:val="24"/>
        </w:rPr>
        <w:t>/rok</w:t>
      </w:r>
      <w:r>
        <w:rPr>
          <w:rFonts w:ascii="Times New Roman" w:eastAsia="Calibri" w:hAnsi="Times New Roman" w:cs="Times New Roman"/>
          <w:sz w:val="24"/>
          <w:szCs w:val="24"/>
        </w:rPr>
        <w:t xml:space="preserve">, čo v prepočte na jednu banku </w:t>
      </w:r>
      <w:r w:rsidR="00F949B8">
        <w:rPr>
          <w:rFonts w:ascii="Times New Roman" w:eastAsia="Calibri" w:hAnsi="Times New Roman" w:cs="Times New Roman"/>
          <w:sz w:val="24"/>
          <w:szCs w:val="24"/>
        </w:rPr>
        <w:t xml:space="preserve">je približne 16 000 eur/ročne. </w:t>
      </w:r>
      <w:r>
        <w:rPr>
          <w:rFonts w:ascii="Times New Roman" w:eastAsia="Calibri" w:hAnsi="Times New Roman" w:cs="Times New Roman"/>
          <w:sz w:val="24"/>
          <w:szCs w:val="24"/>
        </w:rPr>
        <w:t>Na základe odborného odhadu z dôvodu menšej komplexnosti systémov platobných inštitúcií a obchodníkov s cennými papiermi a CASP v porovnaní s bankovým sektorom, predpokladáme, že nepriame finančné náklady a náklady na administratívnu záťaž z dôvodu plnenia zákonnej požiadavky pravidelne zasielať rozšírené údaje do CRU budú pokrývané existujúcimi zamestnancami v rozsahu niekoľko hodín mesačne.</w:t>
      </w:r>
    </w:p>
    <w:p w14:paraId="1B48F757" w14:textId="59459766" w:rsidR="00702E96" w:rsidRDefault="00702E96" w:rsidP="00380593">
      <w:pPr>
        <w:rPr>
          <w:rFonts w:ascii="Times New Roman" w:eastAsia="Calibri" w:hAnsi="Times New Roman" w:cs="Times New Roman"/>
          <w:sz w:val="24"/>
          <w:szCs w:val="24"/>
        </w:rPr>
      </w:pPr>
    </w:p>
    <w:p w14:paraId="5DCE193E" w14:textId="69737C67" w:rsidR="00702E96" w:rsidRDefault="00702E96" w:rsidP="00702E96">
      <w:pPr>
        <w:jc w:val="both"/>
        <w:rPr>
          <w:rFonts w:ascii="Times New Roman" w:eastAsia="Calibri" w:hAnsi="Times New Roman" w:cs="Times New Roman"/>
          <w:b/>
          <w:bCs/>
          <w:i/>
          <w:iCs/>
          <w:sz w:val="24"/>
          <w:szCs w:val="24"/>
        </w:rPr>
      </w:pPr>
      <w:r w:rsidRPr="00702E96">
        <w:rPr>
          <w:rFonts w:ascii="Times New Roman" w:eastAsia="Calibri" w:hAnsi="Times New Roman" w:cs="Times New Roman"/>
          <w:b/>
          <w:bCs/>
          <w:i/>
          <w:iCs/>
          <w:sz w:val="24"/>
          <w:szCs w:val="24"/>
        </w:rPr>
        <w:t>Opatrenia vo vzťahu k</w:t>
      </w:r>
      <w:r w:rsidR="00A843B5">
        <w:rPr>
          <w:rFonts w:ascii="Times New Roman" w:eastAsia="Calibri" w:hAnsi="Times New Roman" w:cs="Times New Roman"/>
          <w:b/>
          <w:bCs/>
          <w:i/>
          <w:iCs/>
          <w:sz w:val="24"/>
          <w:szCs w:val="24"/>
        </w:rPr>
        <w:t xml:space="preserve"> novému AML zákonu (zákon č. .../2027 Z. z. o </w:t>
      </w:r>
      <w:r w:rsidRPr="00702E96">
        <w:rPr>
          <w:rFonts w:ascii="Times New Roman" w:eastAsia="Calibri" w:hAnsi="Times New Roman" w:cs="Times New Roman"/>
          <w:b/>
          <w:bCs/>
          <w:i/>
          <w:iCs/>
          <w:sz w:val="24"/>
          <w:szCs w:val="24"/>
        </w:rPr>
        <w:t>ochrane pred legalizáciou výnosov z trestnej činnosti, financovaním terorizmu</w:t>
      </w:r>
      <w:r w:rsidR="006B4926">
        <w:rPr>
          <w:rFonts w:ascii="Times New Roman" w:eastAsia="Calibri" w:hAnsi="Times New Roman" w:cs="Times New Roman"/>
          <w:b/>
          <w:bCs/>
          <w:i/>
          <w:iCs/>
          <w:sz w:val="24"/>
          <w:szCs w:val="24"/>
        </w:rPr>
        <w:t xml:space="preserve"> a financovaním šírenia zbraní hromadného ničenia</w:t>
      </w:r>
      <w:r w:rsidRPr="00702E96">
        <w:rPr>
          <w:rFonts w:ascii="Times New Roman" w:eastAsia="Calibri" w:hAnsi="Times New Roman" w:cs="Times New Roman"/>
          <w:b/>
          <w:bCs/>
          <w:i/>
          <w:iCs/>
          <w:sz w:val="24"/>
          <w:szCs w:val="24"/>
        </w:rPr>
        <w:t> a o zmene a doplnení niektorých zákonov</w:t>
      </w:r>
      <w:r w:rsidR="00A843B5">
        <w:rPr>
          <w:rFonts w:ascii="Times New Roman" w:eastAsia="Calibri" w:hAnsi="Times New Roman" w:cs="Times New Roman"/>
          <w:b/>
          <w:bCs/>
          <w:i/>
          <w:iCs/>
          <w:sz w:val="24"/>
          <w:szCs w:val="24"/>
        </w:rPr>
        <w:t xml:space="preserve"> (ďalej len „AML zákon“).</w:t>
      </w:r>
    </w:p>
    <w:p w14:paraId="5FEEA4F6" w14:textId="470D43E9" w:rsidR="00702E96" w:rsidRDefault="00702E96" w:rsidP="00702E96">
      <w:pPr>
        <w:jc w:val="both"/>
        <w:rPr>
          <w:rFonts w:ascii="Times New Roman" w:eastAsia="Calibri" w:hAnsi="Times New Roman" w:cs="Times New Roman"/>
          <w:bCs/>
          <w:iCs/>
          <w:color w:val="000000"/>
          <w:sz w:val="24"/>
          <w:szCs w:val="24"/>
        </w:rPr>
      </w:pPr>
      <w:r w:rsidRPr="00281786">
        <w:rPr>
          <w:rFonts w:ascii="Times New Roman" w:eastAsia="Calibri" w:hAnsi="Times New Roman" w:cs="Times New Roman"/>
          <w:bCs/>
          <w:iCs/>
          <w:color w:val="000000"/>
          <w:sz w:val="24"/>
          <w:szCs w:val="24"/>
        </w:rPr>
        <w:t>V predkladanom návrhu</w:t>
      </w:r>
      <w:r w:rsidR="00A843B5">
        <w:rPr>
          <w:rFonts w:ascii="Times New Roman" w:eastAsia="Calibri" w:hAnsi="Times New Roman" w:cs="Times New Roman"/>
          <w:bCs/>
          <w:iCs/>
          <w:color w:val="000000"/>
          <w:sz w:val="24"/>
          <w:szCs w:val="24"/>
        </w:rPr>
        <w:t xml:space="preserve"> nového AML </w:t>
      </w:r>
      <w:r w:rsidRPr="00281786">
        <w:rPr>
          <w:rFonts w:ascii="Times New Roman" w:eastAsia="Calibri" w:hAnsi="Times New Roman" w:cs="Times New Roman"/>
          <w:bCs/>
          <w:iCs/>
          <w:color w:val="000000"/>
          <w:sz w:val="24"/>
          <w:szCs w:val="24"/>
        </w:rPr>
        <w:t xml:space="preserve">zákona </w:t>
      </w:r>
      <w:r w:rsidRPr="008E209E">
        <w:rPr>
          <w:rFonts w:ascii="Times New Roman" w:eastAsia="Calibri" w:hAnsi="Times New Roman" w:cs="Times New Roman"/>
          <w:bCs/>
          <w:iCs/>
          <w:color w:val="000000"/>
          <w:sz w:val="24"/>
          <w:szCs w:val="24"/>
        </w:rPr>
        <w:t xml:space="preserve">bolo identifikovaných spolu </w:t>
      </w:r>
      <w:r w:rsidR="00065F66" w:rsidRPr="00065F66">
        <w:rPr>
          <w:rFonts w:ascii="Times New Roman" w:eastAsia="Calibri" w:hAnsi="Times New Roman" w:cs="Times New Roman"/>
          <w:bCs/>
          <w:iCs/>
          <w:color w:val="000000"/>
          <w:sz w:val="24"/>
          <w:szCs w:val="24"/>
        </w:rPr>
        <w:t>6</w:t>
      </w:r>
      <w:r w:rsidRPr="00065F66">
        <w:rPr>
          <w:rFonts w:ascii="Times New Roman" w:eastAsia="Calibri" w:hAnsi="Times New Roman" w:cs="Times New Roman"/>
          <w:bCs/>
          <w:iCs/>
          <w:color w:val="000000"/>
          <w:sz w:val="24"/>
          <w:szCs w:val="24"/>
        </w:rPr>
        <w:t xml:space="preserve"> regulácií</w:t>
      </w:r>
      <w:r w:rsidRPr="008E209E">
        <w:rPr>
          <w:rFonts w:ascii="Times New Roman" w:eastAsia="Calibri" w:hAnsi="Times New Roman" w:cs="Times New Roman"/>
          <w:bCs/>
          <w:iCs/>
          <w:color w:val="000000"/>
          <w:sz w:val="24"/>
          <w:szCs w:val="24"/>
        </w:rPr>
        <w:t xml:space="preserve"> s vplyvom na podnikateľské prostredie. Predmetom kalkulačky nákladov </w:t>
      </w:r>
      <w:r w:rsidR="00D34639">
        <w:rPr>
          <w:rFonts w:ascii="Times New Roman" w:eastAsia="Calibri" w:hAnsi="Times New Roman" w:cs="Times New Roman"/>
          <w:bCs/>
          <w:iCs/>
          <w:color w:val="000000"/>
          <w:sz w:val="24"/>
          <w:szCs w:val="24"/>
        </w:rPr>
        <w:t>je</w:t>
      </w:r>
      <w:r w:rsidRPr="008E209E">
        <w:rPr>
          <w:rFonts w:ascii="Times New Roman" w:eastAsia="Calibri" w:hAnsi="Times New Roman" w:cs="Times New Roman"/>
          <w:bCs/>
          <w:iCs/>
          <w:color w:val="000000"/>
          <w:sz w:val="24"/>
          <w:szCs w:val="24"/>
        </w:rPr>
        <w:t xml:space="preserve"> však iba</w:t>
      </w:r>
      <w:r>
        <w:rPr>
          <w:rFonts w:ascii="Times New Roman" w:eastAsia="Calibri" w:hAnsi="Times New Roman" w:cs="Times New Roman"/>
          <w:bCs/>
          <w:iCs/>
          <w:color w:val="000000"/>
          <w:sz w:val="24"/>
          <w:szCs w:val="24"/>
        </w:rPr>
        <w:t xml:space="preserve"> </w:t>
      </w:r>
      <w:r w:rsidR="00D34639">
        <w:rPr>
          <w:rFonts w:ascii="Times New Roman" w:eastAsia="Calibri" w:hAnsi="Times New Roman" w:cs="Times New Roman"/>
          <w:bCs/>
          <w:iCs/>
          <w:color w:val="000000"/>
          <w:sz w:val="24"/>
          <w:szCs w:val="24"/>
        </w:rPr>
        <w:t>1</w:t>
      </w:r>
      <w:r w:rsidRPr="008E209E">
        <w:rPr>
          <w:rFonts w:ascii="Times New Roman" w:eastAsia="Calibri" w:hAnsi="Times New Roman" w:cs="Times New Roman"/>
          <w:bCs/>
          <w:iCs/>
          <w:color w:val="000000"/>
          <w:sz w:val="24"/>
          <w:szCs w:val="24"/>
        </w:rPr>
        <w:t xml:space="preserve"> reguláci</w:t>
      </w:r>
      <w:r w:rsidR="00D34639">
        <w:rPr>
          <w:rFonts w:ascii="Times New Roman" w:eastAsia="Calibri" w:hAnsi="Times New Roman" w:cs="Times New Roman"/>
          <w:bCs/>
          <w:iCs/>
          <w:color w:val="000000"/>
          <w:sz w:val="24"/>
          <w:szCs w:val="24"/>
        </w:rPr>
        <w:t>a</w:t>
      </w:r>
      <w:r>
        <w:rPr>
          <w:rFonts w:ascii="Times New Roman" w:eastAsia="Calibri" w:hAnsi="Times New Roman" w:cs="Times New Roman"/>
          <w:bCs/>
          <w:iCs/>
          <w:color w:val="000000"/>
          <w:sz w:val="24"/>
          <w:szCs w:val="24"/>
        </w:rPr>
        <w:t>, pri ktor</w:t>
      </w:r>
      <w:r w:rsidR="00D34639">
        <w:rPr>
          <w:rFonts w:ascii="Times New Roman" w:eastAsia="Calibri" w:hAnsi="Times New Roman" w:cs="Times New Roman"/>
          <w:bCs/>
          <w:iCs/>
          <w:color w:val="000000"/>
          <w:sz w:val="24"/>
          <w:szCs w:val="24"/>
        </w:rPr>
        <w:t>ej</w:t>
      </w:r>
      <w:r>
        <w:rPr>
          <w:rFonts w:ascii="Times New Roman" w:eastAsia="Calibri" w:hAnsi="Times New Roman" w:cs="Times New Roman"/>
          <w:bCs/>
          <w:iCs/>
          <w:color w:val="000000"/>
          <w:sz w:val="24"/>
          <w:szCs w:val="24"/>
        </w:rPr>
        <w:t xml:space="preserve"> bolo možné určiť počet dotknutých subjektov</w:t>
      </w:r>
      <w:r w:rsidR="00D34639">
        <w:rPr>
          <w:rFonts w:ascii="Times New Roman" w:eastAsia="Calibri" w:hAnsi="Times New Roman" w:cs="Times New Roman"/>
          <w:bCs/>
          <w:iCs/>
          <w:color w:val="000000"/>
          <w:sz w:val="24"/>
          <w:szCs w:val="24"/>
        </w:rPr>
        <w:t>.</w:t>
      </w:r>
      <w:r>
        <w:rPr>
          <w:rFonts w:ascii="Times New Roman" w:eastAsia="Calibri" w:hAnsi="Times New Roman" w:cs="Times New Roman"/>
          <w:bCs/>
          <w:iCs/>
          <w:color w:val="000000"/>
          <w:sz w:val="24"/>
          <w:szCs w:val="24"/>
        </w:rPr>
        <w:t xml:space="preserve"> Zvyšné regulácie sú uvedené v časti 3.4.</w:t>
      </w:r>
    </w:p>
    <w:p w14:paraId="613B65BB" w14:textId="77777777" w:rsidR="00702E96" w:rsidRPr="00281786" w:rsidRDefault="00702E96" w:rsidP="00702E96">
      <w:pPr>
        <w:jc w:val="both"/>
        <w:rPr>
          <w:rFonts w:ascii="Times New Roman" w:eastAsia="Calibri" w:hAnsi="Times New Roman" w:cs="Times New Roman"/>
          <w:bCs/>
          <w:iCs/>
          <w:color w:val="000000"/>
          <w:sz w:val="24"/>
          <w:szCs w:val="24"/>
          <w:u w:val="single"/>
        </w:rPr>
      </w:pPr>
      <w:r w:rsidRPr="00281786">
        <w:rPr>
          <w:rFonts w:ascii="Times New Roman" w:eastAsia="Calibri" w:hAnsi="Times New Roman" w:cs="Times New Roman"/>
          <w:bCs/>
          <w:iCs/>
          <w:color w:val="000000"/>
          <w:sz w:val="24"/>
          <w:szCs w:val="24"/>
          <w:u w:val="single"/>
        </w:rPr>
        <w:t>Opa</w:t>
      </w:r>
      <w:r>
        <w:rPr>
          <w:rFonts w:ascii="Times New Roman" w:eastAsia="Calibri" w:hAnsi="Times New Roman" w:cs="Times New Roman"/>
          <w:bCs/>
          <w:iCs/>
          <w:color w:val="000000"/>
          <w:sz w:val="24"/>
          <w:szCs w:val="24"/>
          <w:u w:val="single"/>
        </w:rPr>
        <w:t>trenie (opis regulácie)</w:t>
      </w:r>
      <w:r w:rsidRPr="00281786">
        <w:rPr>
          <w:rFonts w:ascii="Times New Roman" w:eastAsia="Calibri" w:hAnsi="Times New Roman" w:cs="Times New Roman"/>
          <w:bCs/>
          <w:iCs/>
          <w:color w:val="000000"/>
          <w:sz w:val="24"/>
          <w:szCs w:val="24"/>
          <w:u w:val="single"/>
        </w:rPr>
        <w:t>:</w:t>
      </w:r>
    </w:p>
    <w:p w14:paraId="3EBA9425" w14:textId="77777777" w:rsidR="00702E96" w:rsidRDefault="00702E96" w:rsidP="00702E96">
      <w:pPr>
        <w:jc w:val="both"/>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 xml:space="preserve">1. </w:t>
      </w:r>
      <w:r w:rsidRPr="0093224F">
        <w:rPr>
          <w:rFonts w:ascii="Times New Roman" w:eastAsia="Times New Roman" w:hAnsi="Times New Roman" w:cs="Times New Roman"/>
          <w:bCs/>
          <w:color w:val="000000"/>
          <w:sz w:val="24"/>
          <w:szCs w:val="24"/>
          <w:u w:val="single"/>
          <w:lang w:eastAsia="sk-SK"/>
        </w:rPr>
        <w:t>Zníženie rozsahu požiadaviek vo vzťahu k vnútroštátnemu správcovi emisných kvót</w:t>
      </w:r>
    </w:p>
    <w:p w14:paraId="16D227C9" w14:textId="77777777" w:rsidR="00702E96" w:rsidRDefault="00702E96" w:rsidP="00702E96">
      <w:pPr>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color w:val="000000"/>
          <w:sz w:val="24"/>
          <w:szCs w:val="24"/>
          <w:lang w:eastAsia="sk-SK"/>
        </w:rPr>
        <w:t xml:space="preserve">Povinnosť vykonávať určité opatrenia v AML/CFT oblasti vyplývajú pre vnútroštátneho správcu emisných kvót z nariadenia č. </w:t>
      </w:r>
      <w:r w:rsidRPr="000D576E">
        <w:rPr>
          <w:rFonts w:ascii="Times New Roman" w:eastAsia="Times New Roman" w:hAnsi="Times New Roman" w:cs="Times New Roman"/>
          <w:bCs/>
          <w:sz w:val="24"/>
          <w:szCs w:val="24"/>
          <w:lang w:eastAsia="sk-SK"/>
        </w:rPr>
        <w:t>389/2013, ktorým sa zriaďuje register Únie podľa smernice Európskeho parlamentu a Rady 2003/87/ES a rozhodnutí Európskeho parlamentu a Rady č. 280/2004/ES a č. 406/2009/ES a ktorým sa zrušujú nariadenia Komisie (EÚ) č. 920/2010 a č. 1193/2011 (Ú. v. EÚ L 122/1, 3. 5. 2013)</w:t>
      </w:r>
      <w:r>
        <w:rPr>
          <w:rFonts w:ascii="Times New Roman" w:eastAsia="Times New Roman" w:hAnsi="Times New Roman" w:cs="Times New Roman"/>
          <w:bCs/>
          <w:sz w:val="24"/>
          <w:szCs w:val="24"/>
          <w:lang w:eastAsia="sk-SK"/>
        </w:rPr>
        <w:t xml:space="preserve">. </w:t>
      </w:r>
    </w:p>
    <w:p w14:paraId="174D036B" w14:textId="77777777" w:rsidR="00702E96" w:rsidRDefault="00702E96" w:rsidP="00702E96">
      <w:pPr>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Zákon č. 297/2008 Z. z. o ochrane pred legalizáciou príjmov z trestnej činnosti a o ochrane pred financovaním terorizmu, ktorý bude nahradený návrhom zákona, upravoval povinnosti vnútroštátneho správcu v ustanovení § 25a, a to v širšom rozsahu oproti návrhu zákona. Podľa návrhu zákona tak vnútroštátny správca už nebude musieť vykonávať starostlivosť vo vzťahu ku klientovi, posudzovať obchody a mať vypracovaný program vlastnej činnosti. </w:t>
      </w:r>
    </w:p>
    <w:p w14:paraId="0088D899" w14:textId="77777777" w:rsidR="00702E96" w:rsidRDefault="00702E96" w:rsidP="00702E96">
      <w:pPr>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V SR je v súčasnosti evidovaný jeden vnútroštátny správca emisných kvót. Jeho evidenciu vedie Ministerstvo životného prostredia SR.  </w:t>
      </w:r>
    </w:p>
    <w:p w14:paraId="689EBCFD" w14:textId="77777777" w:rsidR="00702E96" w:rsidRPr="00702E96" w:rsidRDefault="00702E96" w:rsidP="00702E96">
      <w:pPr>
        <w:jc w:val="both"/>
        <w:rPr>
          <w:rFonts w:ascii="Times New Roman" w:eastAsia="Calibri" w:hAnsi="Times New Roman" w:cs="Times New Roman"/>
          <w:b/>
          <w:bCs/>
          <w:i/>
          <w:iCs/>
          <w:sz w:val="24"/>
          <w:szCs w:val="24"/>
        </w:rPr>
      </w:pPr>
    </w:p>
    <w:p w14:paraId="614DF3E0"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0691BDF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2032055A"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A0405E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4762DE8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36FF0389" w14:textId="77777777" w:rsidR="00054C41" w:rsidRPr="00D8247C" w:rsidRDefault="00054C41" w:rsidP="00054C41">
      <w:pPr>
        <w:spacing w:after="0"/>
        <w:jc w:val="both"/>
        <w:rPr>
          <w:rFonts w:ascii="Times New Roman" w:eastAsia="Calibri" w:hAnsi="Times New Roman" w:cs="Times New Roman"/>
          <w:i/>
          <w:sz w:val="24"/>
          <w:szCs w:val="24"/>
        </w:rPr>
      </w:pPr>
    </w:p>
    <w:p w14:paraId="5525357D" w14:textId="77777777" w:rsidR="00A843B5" w:rsidRDefault="00A843B5" w:rsidP="00A843B5">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Dňa 11.03.2026 bola zverejnená </w:t>
      </w:r>
      <w:r w:rsidRPr="00723685">
        <w:rPr>
          <w:rFonts w:ascii="Times New Roman" w:eastAsia="Calibri" w:hAnsi="Times New Roman" w:cs="Times New Roman"/>
          <w:sz w:val="24"/>
          <w:szCs w:val="24"/>
        </w:rPr>
        <w:t>predbežná informácia podľa § 9 zákona č. 400/2015 Z. z. o tvorbe právnych predpisov a o Zbierke zákonov Slovenskej republiky a o zmene a doplnení nie</w:t>
      </w:r>
      <w:r>
        <w:rPr>
          <w:rFonts w:ascii="Times New Roman" w:eastAsia="Calibri" w:hAnsi="Times New Roman" w:cs="Times New Roman"/>
          <w:sz w:val="24"/>
          <w:szCs w:val="24"/>
        </w:rPr>
        <w:t xml:space="preserve">ktorých zákonov k návrhu </w:t>
      </w:r>
      <w:r w:rsidRPr="001D363E">
        <w:rPr>
          <w:rFonts w:ascii="Times New Roman" w:eastAsia="Calibri" w:hAnsi="Times New Roman" w:cs="Times New Roman"/>
          <w:sz w:val="24"/>
          <w:szCs w:val="24"/>
        </w:rPr>
        <w:t>zákona o ochrane pred praním špinavých peňazí alebo financovaním terorizmu a o zmene a doplnení niektorých zákonov</w:t>
      </w:r>
      <w:r>
        <w:rPr>
          <w:rFonts w:ascii="Times New Roman" w:eastAsia="Calibri" w:hAnsi="Times New Roman" w:cs="Times New Roman"/>
          <w:sz w:val="24"/>
          <w:szCs w:val="24"/>
        </w:rPr>
        <w:t xml:space="preserve"> (názov návrhu zákona vychádzal zo schváleného Plánu legislatívnych úloh vlády SR na rok 2026) (</w:t>
      </w:r>
      <w:hyperlink r:id="rId13" w:history="1">
        <w:r>
          <w:rPr>
            <w:rStyle w:val="Hypertextovprepojenie"/>
          </w:rPr>
          <w:t>Legislatívny proces - PI/2026/51</w:t>
        </w:r>
      </w:hyperlink>
      <w:r>
        <w:t xml:space="preserve">). </w:t>
      </w:r>
    </w:p>
    <w:p w14:paraId="55A9852F" w14:textId="2CD4D1FA" w:rsidR="004A4117" w:rsidRDefault="00A843B5" w:rsidP="00A843B5">
      <w:pPr>
        <w:spacing w:after="120"/>
        <w:jc w:val="both"/>
        <w:rPr>
          <w:rFonts w:ascii="Times New Roman" w:eastAsia="Calibri" w:hAnsi="Times New Roman" w:cs="Times New Roman"/>
          <w:sz w:val="24"/>
          <w:szCs w:val="24"/>
        </w:rPr>
      </w:pPr>
      <w:r w:rsidRPr="00723685">
        <w:rPr>
          <w:rFonts w:ascii="Times New Roman" w:eastAsia="Calibri" w:hAnsi="Times New Roman" w:cs="Times New Roman"/>
          <w:sz w:val="24"/>
          <w:szCs w:val="24"/>
        </w:rPr>
        <w:t xml:space="preserve">Pripomienkové konanie k predbežnej informácii trvalo od </w:t>
      </w:r>
      <w:r>
        <w:rPr>
          <w:rFonts w:ascii="Times New Roman" w:eastAsia="Calibri" w:hAnsi="Times New Roman" w:cs="Times New Roman"/>
          <w:sz w:val="24"/>
          <w:szCs w:val="24"/>
        </w:rPr>
        <w:t>11.03.2026 do 27.03.</w:t>
      </w:r>
      <w:r w:rsidRPr="00723685">
        <w:rPr>
          <w:rFonts w:ascii="Times New Roman" w:eastAsia="Calibri" w:hAnsi="Times New Roman" w:cs="Times New Roman"/>
          <w:sz w:val="24"/>
          <w:szCs w:val="24"/>
        </w:rPr>
        <w:t>202</w:t>
      </w:r>
      <w:r>
        <w:rPr>
          <w:rFonts w:ascii="Times New Roman" w:eastAsia="Calibri" w:hAnsi="Times New Roman" w:cs="Times New Roman"/>
          <w:sz w:val="24"/>
          <w:szCs w:val="24"/>
        </w:rPr>
        <w:t>6</w:t>
      </w:r>
      <w:r w:rsidRPr="00723685">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723685">
        <w:rPr>
          <w:rFonts w:ascii="Times New Roman" w:eastAsia="Calibri" w:hAnsi="Times New Roman" w:cs="Times New Roman"/>
          <w:sz w:val="24"/>
          <w:szCs w:val="24"/>
        </w:rPr>
        <w:t>V lehote na podanie podnetov a návrhov zo strany verejnosti boli navrhovateľovi doručené 3 podnety a to od Republikovej únie zamestnávateľov, Klubu 500 a</w:t>
      </w:r>
      <w:r>
        <w:rPr>
          <w:rFonts w:ascii="Times New Roman" w:eastAsia="Calibri" w:hAnsi="Times New Roman" w:cs="Times New Roman"/>
          <w:sz w:val="24"/>
          <w:szCs w:val="24"/>
        </w:rPr>
        <w:t> Slovenskej komory daňových poradcov,</w:t>
      </w:r>
      <w:r w:rsidRPr="00723685">
        <w:rPr>
          <w:rFonts w:ascii="Times New Roman" w:eastAsia="Calibri" w:hAnsi="Times New Roman" w:cs="Times New Roman"/>
          <w:sz w:val="24"/>
          <w:szCs w:val="24"/>
        </w:rPr>
        <w:t xml:space="preserve"> v ktorých žiadali o zapojenie do prípravy návrhu zákona prostredníctvom konzultácií. </w:t>
      </w:r>
    </w:p>
    <w:p w14:paraId="7B8831D1" w14:textId="430BEE46" w:rsidR="002B3315" w:rsidRDefault="002B3315" w:rsidP="00A843B5">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Uvedené subjekty do prípravy návrhu nového AML zákona neboli zapojené. V súvislosti s prípravou novely zákona o centrálnom registri účtov bola do jej prípravy zapojená Slovenská banková asociácia, ktorá je členom Republikovej únie zamestnávateľov. </w:t>
      </w:r>
    </w:p>
    <w:p w14:paraId="70375E3B" w14:textId="3BC0DDC1" w:rsidR="00054C41" w:rsidRDefault="00A843B5" w:rsidP="00A843B5">
      <w:pPr>
        <w:spacing w:after="120"/>
        <w:jc w:val="both"/>
        <w:rPr>
          <w:rFonts w:ascii="Times New Roman" w:hAnsi="Times New Roman" w:cs="Times New Roman"/>
          <w:sz w:val="24"/>
          <w:szCs w:val="24"/>
        </w:rPr>
      </w:pPr>
      <w:r>
        <w:rPr>
          <w:rFonts w:ascii="Times New Roman" w:eastAsia="Calibri" w:hAnsi="Times New Roman" w:cs="Times New Roman"/>
          <w:sz w:val="24"/>
          <w:szCs w:val="24"/>
        </w:rPr>
        <w:t>V</w:t>
      </w:r>
      <w:r w:rsidRPr="009751A5">
        <w:rPr>
          <w:rFonts w:ascii="Times New Roman" w:eastAsia="Calibri" w:hAnsi="Times New Roman" w:cs="Times New Roman"/>
          <w:sz w:val="24"/>
          <w:szCs w:val="24"/>
        </w:rPr>
        <w:t xml:space="preserve"> súvislosti s prípravnými prácami na návrhu zákona sa konalo </w:t>
      </w:r>
      <w:r>
        <w:rPr>
          <w:rFonts w:ascii="Times New Roman" w:eastAsia="Calibri" w:hAnsi="Times New Roman" w:cs="Times New Roman"/>
          <w:sz w:val="24"/>
          <w:szCs w:val="24"/>
        </w:rPr>
        <w:t xml:space="preserve">pod </w:t>
      </w:r>
      <w:r w:rsidRPr="009751A5">
        <w:rPr>
          <w:rFonts w:ascii="Times New Roman" w:eastAsia="Calibri" w:hAnsi="Times New Roman" w:cs="Times New Roman"/>
          <w:sz w:val="24"/>
          <w:szCs w:val="24"/>
        </w:rPr>
        <w:t>záštitou Národnej expertnej skupiny na prevenciu a boj proti legalizácii príjmov z trestnej činnosti a financovaniu terorizmu,</w:t>
      </w:r>
      <w:r>
        <w:rPr>
          <w:rFonts w:ascii="Times New Roman" w:eastAsia="Calibri" w:hAnsi="Times New Roman" w:cs="Times New Roman"/>
          <w:sz w:val="24"/>
          <w:szCs w:val="24"/>
        </w:rPr>
        <w:t xml:space="preserve"> podskupina transpozícia AML balíka viacero stretnutí so spolugestormi predmetných predpisov EÚ, a to s Národnou bankou Slovenska, Ministerstvom financií SR, Ministerstvom spravodlivosti SR, Štatistickým úradom SR, Úradom geodézie, kartografie a katastra SR. Stretnutia sa konali v dňoch 07.08.2025, 10.11.2025, 03.03.2026, 13.03.2026 a 24.03.2026. Taktiež sa </w:t>
      </w:r>
      <w:r w:rsidR="00D91734">
        <w:rPr>
          <w:rFonts w:ascii="Times New Roman" w:hAnsi="Times New Roman" w:cs="Times New Roman"/>
          <w:sz w:val="24"/>
          <w:szCs w:val="24"/>
        </w:rPr>
        <w:t>uskutočňovali diskusie s trhom (primárne so S</w:t>
      </w:r>
      <w:r w:rsidR="00F45EEB">
        <w:rPr>
          <w:rFonts w:ascii="Times New Roman" w:hAnsi="Times New Roman" w:cs="Times New Roman"/>
          <w:sz w:val="24"/>
          <w:szCs w:val="24"/>
        </w:rPr>
        <w:t>lovenskou bankovou asociáciou, C</w:t>
      </w:r>
      <w:r w:rsidR="00D91734">
        <w:rPr>
          <w:rFonts w:ascii="Times New Roman" w:hAnsi="Times New Roman" w:cs="Times New Roman"/>
          <w:sz w:val="24"/>
          <w:szCs w:val="24"/>
        </w:rPr>
        <w:t>entrálnym</w:t>
      </w:r>
      <w:r w:rsidR="00F45EEB">
        <w:rPr>
          <w:rFonts w:ascii="Times New Roman" w:hAnsi="Times New Roman" w:cs="Times New Roman"/>
          <w:sz w:val="24"/>
          <w:szCs w:val="24"/>
        </w:rPr>
        <w:t xml:space="preserve"> depozitárom cenných papierov, N</w:t>
      </w:r>
      <w:r w:rsidR="00D91734">
        <w:rPr>
          <w:rFonts w:ascii="Times New Roman" w:hAnsi="Times New Roman" w:cs="Times New Roman"/>
          <w:sz w:val="24"/>
          <w:szCs w:val="24"/>
        </w:rPr>
        <w:t>árodnou bankou Slovenska).</w:t>
      </w:r>
    </w:p>
    <w:p w14:paraId="71080549" w14:textId="488D3212" w:rsidR="002B3315" w:rsidRDefault="002B3315" w:rsidP="00A843B5">
      <w:pPr>
        <w:spacing w:after="120"/>
        <w:jc w:val="both"/>
        <w:rPr>
          <w:rFonts w:ascii="Times New Roman" w:eastAsia="Calibri" w:hAnsi="Times New Roman" w:cs="Times New Roman"/>
          <w:i/>
          <w:sz w:val="24"/>
          <w:szCs w:val="24"/>
        </w:rPr>
      </w:pPr>
      <w:r>
        <w:rPr>
          <w:rFonts w:ascii="Times New Roman" w:hAnsi="Times New Roman" w:cs="Times New Roman"/>
          <w:sz w:val="24"/>
          <w:szCs w:val="24"/>
        </w:rPr>
        <w:t>Návrh zákona bol dňa 11.09.2026 zaslaný, pred jeho predložením do medzirezortného pripomienkového konania, všetkým dotknutým subjektom zo súkromného sektora, teda všetkým komorám, združeniam a asociáciám na vyjadrenie. Ich pripomienky boli následne zapracované do návrhu zákona.</w:t>
      </w:r>
    </w:p>
    <w:p w14:paraId="1726F7DF" w14:textId="77777777" w:rsidR="006215B5" w:rsidRPr="00D8247C" w:rsidRDefault="006215B5" w:rsidP="00054C41">
      <w:pPr>
        <w:spacing w:after="0"/>
        <w:jc w:val="both"/>
        <w:rPr>
          <w:rFonts w:ascii="Times New Roman" w:eastAsia="Calibri" w:hAnsi="Times New Roman" w:cs="Times New Roman"/>
          <w:i/>
          <w:sz w:val="24"/>
          <w:szCs w:val="24"/>
        </w:rPr>
      </w:pPr>
    </w:p>
    <w:p w14:paraId="4CFFD1FF"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0D27EF05"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50093BF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0D4DCEC5"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7D0207D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51F3F715" w14:textId="77777777" w:rsidR="007259CB" w:rsidRPr="00D8247C"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175AC62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lastRenderedPageBreak/>
        <w:t>Ako prispieva zmena regulácie k cieľu Slovenska mať najlepšie podnikateľské prostredie spomedzi susediacich krajín EÚ?</w:t>
      </w:r>
    </w:p>
    <w:p w14:paraId="1070CB18" w14:textId="77777777" w:rsidR="00054C41" w:rsidRPr="00D8247C" w:rsidRDefault="00054C41" w:rsidP="00054C41">
      <w:pPr>
        <w:spacing w:after="0"/>
        <w:jc w:val="both"/>
        <w:rPr>
          <w:rFonts w:ascii="Times New Roman" w:eastAsia="Calibri" w:hAnsi="Times New Roman" w:cs="Times New Roman"/>
          <w:i/>
          <w:sz w:val="24"/>
          <w:szCs w:val="24"/>
        </w:rPr>
      </w:pPr>
    </w:p>
    <w:p w14:paraId="522C1409"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00097F9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0770103C" w14:textId="77777777" w:rsidR="00054C41" w:rsidRPr="00D8247C" w:rsidRDefault="0037768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Times New Roman" w:eastAsia="Calibri" w:hAnsi="Times New Roman" w:cs="Times New Roman"/>
                    <w:sz w:val="24"/>
                    <w:szCs w:val="24"/>
                  </w:rPr>
                  <w:id w:val="-883480944"/>
                </w:sdtPr>
                <w:sdtEndPr/>
                <w:sdtContent>
                  <w:r w:rsidR="00594FDF" w:rsidRPr="00F02952">
                    <w:rPr>
                      <w:rFonts w:ascii="Segoe UI Symbol" w:eastAsia="Calibri" w:hAnsi="Segoe UI Symbol" w:cs="Segoe UI Symbol"/>
                      <w:sz w:val="24"/>
                      <w:szCs w:val="24"/>
                    </w:rPr>
                    <w:t>☐</w:t>
                  </w:r>
                </w:sdtContent>
              </w:sdt>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sz w:val="24"/>
            <w:szCs w:val="24"/>
          </w:rPr>
          <w:id w:val="-183675933"/>
        </w:sdtPr>
        <w:sdtEndPr/>
        <w:sdtContent>
          <w:r w:rsidR="00594FDF" w:rsidRPr="00F02952">
            <w:rPr>
              <w:rFonts w:ascii="Segoe UI Symbol" w:eastAsia="Calibri" w:hAnsi="Segoe UI Symbol" w:cs="Segoe UI Symbol"/>
              <w:sz w:val="24"/>
              <w:szCs w:val="24"/>
            </w:rPr>
            <w:t>☒</w:t>
          </w:r>
        </w:sdtContent>
      </w:sdt>
      <w:r w:rsidR="00594FDF" w:rsidRPr="00D8247C">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sdt>
                <w:sdtPr>
                  <w:rPr>
                    <w:rFonts w:ascii="Times New Roman" w:eastAsia="Calibri" w:hAnsi="Times New Roman" w:cs="Times New Roman"/>
                    <w:sz w:val="24"/>
                    <w:szCs w:val="24"/>
                  </w:rPr>
                  <w:id w:val="836960222"/>
                </w:sdtPr>
                <w:sdtEndPr/>
                <w:sdtContent>
                  <w:r w:rsidR="00594FDF" w:rsidRPr="00F02952">
                    <w:rPr>
                      <w:rFonts w:ascii="Segoe UI Symbol" w:eastAsia="Calibri" w:hAnsi="Segoe UI Symbol" w:cs="Segoe UI Symbol"/>
                      <w:sz w:val="24"/>
                      <w:szCs w:val="24"/>
                    </w:rPr>
                    <w:t>☐</w:t>
                  </w:r>
                </w:sdtContent>
              </w:sdt>
            </w:sdtContent>
          </w:sdt>
        </w:sdtContent>
      </w:sdt>
      <w:r w:rsidR="00054C41" w:rsidRPr="00D8247C">
        <w:rPr>
          <w:rFonts w:ascii="Times New Roman" w:eastAsia="Calibri" w:hAnsi="Times New Roman" w:cs="Times New Roman"/>
          <w:i/>
          <w:sz w:val="24"/>
          <w:szCs w:val="24"/>
        </w:rPr>
        <w:t xml:space="preserve"> znižuje</w:t>
      </w:r>
    </w:p>
    <w:p w14:paraId="712B7B80" w14:textId="77777777" w:rsidR="00054C41" w:rsidRPr="00D8247C" w:rsidRDefault="00054C41" w:rsidP="00054C41">
      <w:pPr>
        <w:spacing w:after="0"/>
        <w:jc w:val="both"/>
        <w:rPr>
          <w:rFonts w:ascii="Times New Roman" w:eastAsia="Calibri" w:hAnsi="Times New Roman" w:cs="Times New Roman"/>
          <w:i/>
          <w:sz w:val="24"/>
          <w:szCs w:val="24"/>
        </w:rPr>
      </w:pPr>
    </w:p>
    <w:p w14:paraId="2C2DE3B8"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7785C1D0"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61693CB3" w14:textId="77777777" w:rsidR="00054C41" w:rsidRPr="00D8247C" w:rsidRDefault="00054C41" w:rsidP="00054C41">
      <w:pPr>
        <w:spacing w:after="0"/>
        <w:jc w:val="both"/>
        <w:rPr>
          <w:rFonts w:ascii="Times New Roman" w:eastAsia="Calibri" w:hAnsi="Times New Roman" w:cs="Times New Roman"/>
          <w:i/>
          <w:sz w:val="24"/>
          <w:szCs w:val="24"/>
        </w:rPr>
      </w:pPr>
    </w:p>
    <w:p w14:paraId="1D4A8DD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50308A1C" w14:textId="77777777" w:rsidR="00054C41" w:rsidRPr="00D8247C" w:rsidRDefault="00377685"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sz w:val="24"/>
            <w:szCs w:val="24"/>
          </w:rPr>
          <w:id w:val="-1545903528"/>
        </w:sdtPr>
        <w:sdtEndPr/>
        <w:sdtContent>
          <w:sdt>
            <w:sdtPr>
              <w:rPr>
                <w:rFonts w:ascii="Times New Roman" w:eastAsia="Calibri" w:hAnsi="Times New Roman" w:cs="Times New Roman"/>
                <w:sz w:val="24"/>
                <w:szCs w:val="24"/>
              </w:rPr>
              <w:id w:val="825715010"/>
            </w:sdtPr>
            <w:sdtEndPr/>
            <w:sdtContent>
              <w:r w:rsidR="00594FDF" w:rsidRPr="00F02952">
                <w:rPr>
                  <w:rFonts w:ascii="Segoe UI Symbol" w:eastAsia="Calibri" w:hAnsi="Segoe UI Symbol" w:cs="Segoe UI Symbol"/>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howingPlcHdr/>
            </w:sdtPr>
            <w:sdtEndPr>
              <w:rPr>
                <w:i w:val="0"/>
              </w:rPr>
            </w:sdtEndPr>
            <w:sdtContent>
              <w:r w:rsidR="00F02952" w:rsidRPr="00F02952">
                <w:rPr>
                  <w:rFonts w:ascii="Times New Roman" w:eastAsia="Calibri" w:hAnsi="Times New Roman" w:cs="Times New Roman"/>
                  <w:sz w:val="24"/>
                  <w:szCs w:val="24"/>
                </w:rPr>
                <w:t xml:space="preserve">     </w:t>
              </w:r>
            </w:sdtContent>
          </w:sdt>
          <w:sdt>
            <w:sdtPr>
              <w:rPr>
                <w:rFonts w:ascii="Times New Roman" w:eastAsia="Calibri" w:hAnsi="Times New Roman" w:cs="Times New Roman"/>
                <w:sz w:val="24"/>
                <w:szCs w:val="24"/>
              </w:rPr>
              <w:id w:val="-623767955"/>
            </w:sdtPr>
            <w:sdtEndPr>
              <w:rPr>
                <w:i/>
              </w:rPr>
            </w:sdtEndPr>
            <w:sdtContent>
              <w:r w:rsidR="00594FDF" w:rsidRPr="00594FDF">
                <w:rPr>
                  <w:rFonts w:ascii="Times New Roman" w:eastAsia="Calibri" w:hAnsi="Times New Roman" w:cs="Times New Roman"/>
                  <w:sz w:val="24"/>
                  <w:szCs w:val="24"/>
                </w:rPr>
                <w:t xml:space="preserve"> </w:t>
              </w:r>
              <w:sdt>
                <w:sdtPr>
                  <w:rPr>
                    <w:rFonts w:ascii="Times New Roman" w:eastAsia="Calibri" w:hAnsi="Times New Roman" w:cs="Times New Roman"/>
                    <w:sz w:val="24"/>
                    <w:szCs w:val="24"/>
                  </w:rPr>
                  <w:id w:val="-914169567"/>
                </w:sdtPr>
                <w:sdtEndPr/>
                <w:sdtContent>
                  <w:sdt>
                    <w:sdtPr>
                      <w:rPr>
                        <w:rFonts w:ascii="Times New Roman" w:eastAsia="Calibri" w:hAnsi="Times New Roman" w:cs="Times New Roman"/>
                        <w:sz w:val="24"/>
                        <w:szCs w:val="24"/>
                      </w:rPr>
                      <w:id w:val="191123209"/>
                    </w:sdtPr>
                    <w:sdtEndPr/>
                    <w:sdtContent>
                      <w:r w:rsidR="00594FDF" w:rsidRPr="00F02952">
                        <w:rPr>
                          <w:rFonts w:ascii="Segoe UI Symbol" w:eastAsia="Calibri" w:hAnsi="Segoe UI Symbol" w:cs="Segoe UI Symbol"/>
                          <w:sz w:val="24"/>
                          <w:szCs w:val="24"/>
                        </w:rPr>
                        <w:t>☐</w:t>
                      </w:r>
                    </w:sdtContent>
                  </w:sdt>
                </w:sdtContent>
              </w:sdt>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howingPlcHdr/>
        </w:sdtPr>
        <w:sdtEndPr/>
        <w:sdtContent>
          <w:r w:rsidR="00F02952">
            <w:rPr>
              <w:rFonts w:ascii="Times New Roman" w:eastAsia="Calibri" w:hAnsi="Times New Roman" w:cs="Times New Roman"/>
              <w:i/>
              <w:sz w:val="24"/>
              <w:szCs w:val="24"/>
            </w:rPr>
            <w:t xml:space="preserve">     </w:t>
          </w:r>
        </w:sdtContent>
      </w:sdt>
      <w:r w:rsidR="00594FDF" w:rsidRPr="00594FDF">
        <w:rPr>
          <w:rFonts w:ascii="Times New Roman" w:eastAsia="Calibri" w:hAnsi="Times New Roman" w:cs="Times New Roman"/>
          <w:sz w:val="24"/>
          <w:szCs w:val="24"/>
        </w:rPr>
        <w:t xml:space="preserve"> </w:t>
      </w:r>
      <w:sdt>
        <w:sdtPr>
          <w:rPr>
            <w:rFonts w:ascii="Times New Roman" w:eastAsia="Calibri" w:hAnsi="Times New Roman" w:cs="Times New Roman"/>
            <w:sz w:val="24"/>
            <w:szCs w:val="24"/>
          </w:rPr>
          <w:id w:val="849985605"/>
        </w:sdtPr>
        <w:sdtEndPr/>
        <w:sdtContent>
          <w:sdt>
            <w:sdtPr>
              <w:rPr>
                <w:rFonts w:ascii="Times New Roman" w:eastAsia="Calibri" w:hAnsi="Times New Roman" w:cs="Times New Roman"/>
                <w:sz w:val="24"/>
                <w:szCs w:val="24"/>
              </w:rPr>
              <w:id w:val="2057202740"/>
            </w:sdtPr>
            <w:sdtEndPr/>
            <w:sdtContent>
              <w:r w:rsidR="00594FDF" w:rsidRPr="00F02952">
                <w:rPr>
                  <w:rFonts w:ascii="Segoe UI Symbol" w:eastAsia="Calibri" w:hAnsi="Segoe UI Symbol" w:cs="Segoe UI Symbol"/>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712F2A90" w14:textId="77777777" w:rsidR="00054C41" w:rsidRDefault="00054C41" w:rsidP="00054C41">
      <w:pPr>
        <w:spacing w:after="0"/>
        <w:jc w:val="both"/>
        <w:rPr>
          <w:rFonts w:ascii="Times New Roman" w:eastAsia="Calibri" w:hAnsi="Times New Roman" w:cs="Times New Roman"/>
          <w:i/>
          <w:sz w:val="24"/>
          <w:szCs w:val="24"/>
        </w:rPr>
      </w:pPr>
    </w:p>
    <w:p w14:paraId="43BF6138" w14:textId="35032A1D" w:rsidR="00065F66" w:rsidRPr="00236403" w:rsidRDefault="00065F66" w:rsidP="00054C41">
      <w:pPr>
        <w:spacing w:after="0"/>
        <w:jc w:val="both"/>
        <w:rPr>
          <w:rFonts w:ascii="Times New Roman" w:eastAsia="Calibri" w:hAnsi="Times New Roman" w:cs="Times New Roman"/>
          <w:b/>
          <w:bCs/>
          <w:sz w:val="24"/>
          <w:szCs w:val="24"/>
        </w:rPr>
      </w:pPr>
      <w:r w:rsidRPr="00236403">
        <w:rPr>
          <w:rFonts w:ascii="Times New Roman" w:eastAsia="Calibri" w:hAnsi="Times New Roman" w:cs="Times New Roman"/>
          <w:b/>
          <w:bCs/>
          <w:sz w:val="24"/>
          <w:szCs w:val="24"/>
        </w:rPr>
        <w:t>K zákonu č. 123/2022 Z. z.</w:t>
      </w:r>
    </w:p>
    <w:p w14:paraId="3980C0B6" w14:textId="1892687E" w:rsidR="00594FDF" w:rsidRPr="00594FDF" w:rsidRDefault="00594FDF" w:rsidP="00054C41">
      <w:pPr>
        <w:spacing w:after="0"/>
        <w:jc w:val="both"/>
        <w:rPr>
          <w:rFonts w:ascii="Times New Roman" w:eastAsia="Calibri" w:hAnsi="Times New Roman" w:cs="Times New Roman"/>
          <w:sz w:val="24"/>
          <w:szCs w:val="24"/>
        </w:rPr>
      </w:pPr>
      <w:r w:rsidRPr="00D75161">
        <w:rPr>
          <w:rFonts w:ascii="Times New Roman" w:eastAsia="Calibri" w:hAnsi="Times New Roman" w:cs="Times New Roman"/>
          <w:sz w:val="24"/>
          <w:szCs w:val="24"/>
        </w:rPr>
        <w:t xml:space="preserve">V súčasnosti zasielajú orgány činné v trestnom konaní a iné orgány podieľajúce sa na vyšetrovaní trestnej činnosti dožiadania finančným inštitúciám v listinnej forme. Počty týchto dožiadaní, najmä v bankách, sú v desiatkach tisíc ročne. To spôsobuje potrebu dedikovať pracovné sily </w:t>
      </w:r>
      <w:r w:rsidR="00185EFE">
        <w:rPr>
          <w:rFonts w:ascii="Times New Roman" w:eastAsia="Calibri" w:hAnsi="Times New Roman" w:cs="Times New Roman"/>
          <w:sz w:val="24"/>
          <w:szCs w:val="24"/>
        </w:rPr>
        <w:t xml:space="preserve">na riešenie týchto dožiadaní. Vo </w:t>
      </w:r>
      <w:r w:rsidRPr="00D75161">
        <w:rPr>
          <w:rFonts w:ascii="Times New Roman" w:eastAsia="Calibri" w:hAnsi="Times New Roman" w:cs="Times New Roman"/>
          <w:sz w:val="24"/>
          <w:szCs w:val="24"/>
        </w:rPr>
        <w:t xml:space="preserve">väčšine </w:t>
      </w:r>
      <w:r w:rsidR="005D3B72" w:rsidRPr="00D75161">
        <w:rPr>
          <w:rFonts w:ascii="Times New Roman" w:eastAsia="Calibri" w:hAnsi="Times New Roman" w:cs="Times New Roman"/>
          <w:sz w:val="24"/>
          <w:szCs w:val="24"/>
        </w:rPr>
        <w:t xml:space="preserve"> prípadov </w:t>
      </w:r>
      <w:r w:rsidRPr="00D75161">
        <w:rPr>
          <w:rFonts w:ascii="Times New Roman" w:eastAsia="Calibri" w:hAnsi="Times New Roman" w:cs="Times New Roman"/>
          <w:sz w:val="24"/>
          <w:szCs w:val="24"/>
        </w:rPr>
        <w:t xml:space="preserve">sa pritom jedná o žiadosti o informáciu, či konkrétna fyzická alebo právnická osoba má </w:t>
      </w:r>
      <w:r w:rsidR="005D3B72" w:rsidRPr="00D75161">
        <w:rPr>
          <w:rFonts w:ascii="Times New Roman" w:eastAsia="Calibri" w:hAnsi="Times New Roman" w:cs="Times New Roman"/>
          <w:sz w:val="24"/>
          <w:szCs w:val="24"/>
        </w:rPr>
        <w:t xml:space="preserve">vo finančnej inštitúcii </w:t>
      </w:r>
      <w:r w:rsidRPr="00D75161">
        <w:rPr>
          <w:rFonts w:ascii="Times New Roman" w:eastAsia="Calibri" w:hAnsi="Times New Roman" w:cs="Times New Roman"/>
          <w:sz w:val="24"/>
          <w:szCs w:val="24"/>
        </w:rPr>
        <w:t>vedený účet alebo bezpečnostnú schránku. Väčšina odpovedí je negatívna, nakoľko osoby majú finančné produkty vedené v iných finančných inštitúciách. Odhad negatívnych odpovedí je až 90% z celkového počtu žiadostí. Centrálny register účtov tieto negatívne žiadosti eliminuje. Finančným inštitúciám tak odpadne podstatná časť administratí</w:t>
      </w:r>
      <w:r w:rsidR="00185EFE">
        <w:rPr>
          <w:rFonts w:ascii="Times New Roman" w:eastAsia="Calibri" w:hAnsi="Times New Roman" w:cs="Times New Roman"/>
          <w:sz w:val="24"/>
          <w:szCs w:val="24"/>
        </w:rPr>
        <w:t>vnej záťaže spojená s odpovedaní</w:t>
      </w:r>
      <w:r w:rsidRPr="00D75161">
        <w:rPr>
          <w:rFonts w:ascii="Times New Roman" w:eastAsia="Calibri" w:hAnsi="Times New Roman" w:cs="Times New Roman"/>
          <w:sz w:val="24"/>
          <w:szCs w:val="24"/>
        </w:rPr>
        <w:t>m orgánom činným v trestnom konaní a tie môžu znížiť svoje náklady alebo presmerovať uvoľnené kapacity do produktívnejších činností v rámci podnikania.</w:t>
      </w:r>
    </w:p>
    <w:p w14:paraId="1B6DDD43" w14:textId="77777777" w:rsidR="00054C41" w:rsidRPr="00D8247C" w:rsidRDefault="00054C41" w:rsidP="00054C41">
      <w:pPr>
        <w:spacing w:after="0"/>
        <w:jc w:val="both"/>
        <w:rPr>
          <w:rFonts w:ascii="Times New Roman" w:eastAsia="Calibri" w:hAnsi="Times New Roman" w:cs="Times New Roman"/>
          <w:i/>
          <w:sz w:val="24"/>
          <w:szCs w:val="24"/>
        </w:rPr>
      </w:pPr>
    </w:p>
    <w:p w14:paraId="60CE1054"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5C55612C"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527DBC16"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sankcie alebo pokuty, ako dôsledok porušenia právne záväzných ustanovení;</w:t>
      </w:r>
    </w:p>
    <w:p w14:paraId="3CA56F6F"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31B0CE31"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66E2F19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vplyvy, ktoré predpokladá materiál, ale nemožno ich zaradiť do častí 3.1 a 3.3. </w:t>
      </w:r>
    </w:p>
    <w:p w14:paraId="2B5BD646" w14:textId="77777777" w:rsidR="00FF414B" w:rsidRDefault="00FF414B" w:rsidP="00FF414B">
      <w:pPr>
        <w:spacing w:after="0"/>
        <w:jc w:val="both"/>
        <w:rPr>
          <w:rFonts w:ascii="Times New Roman" w:eastAsia="Calibri" w:hAnsi="Times New Roman" w:cs="Times New Roman"/>
          <w:i/>
          <w:color w:val="0070C0"/>
          <w:sz w:val="24"/>
          <w:szCs w:val="24"/>
        </w:rPr>
      </w:pPr>
    </w:p>
    <w:p w14:paraId="4966D6FF" w14:textId="77777777" w:rsidR="00065F66" w:rsidRDefault="00065F66" w:rsidP="00245C8D">
      <w:pPr>
        <w:spacing w:before="100" w:beforeAutospacing="1" w:after="100" w:afterAutospacing="1" w:line="300" w:lineRule="atLeast"/>
        <w:jc w:val="both"/>
        <w:rPr>
          <w:rFonts w:ascii="Times New Roman" w:eastAsia="Calibri" w:hAnsi="Times New Roman" w:cs="Times New Roman"/>
          <w:bCs/>
          <w:iCs/>
          <w:color w:val="000000"/>
          <w:sz w:val="24"/>
          <w:szCs w:val="24"/>
        </w:rPr>
      </w:pPr>
    </w:p>
    <w:p w14:paraId="1D7DB8CE" w14:textId="6B064DD8" w:rsidR="00236403" w:rsidRPr="00236403" w:rsidRDefault="00236403" w:rsidP="00245C8D">
      <w:pPr>
        <w:spacing w:before="100" w:beforeAutospacing="1" w:after="100" w:afterAutospacing="1" w:line="300" w:lineRule="atLeast"/>
        <w:jc w:val="both"/>
        <w:rPr>
          <w:rFonts w:ascii="Times New Roman" w:eastAsia="Calibri" w:hAnsi="Times New Roman" w:cs="Times New Roman"/>
          <w:b/>
          <w:iCs/>
          <w:color w:val="000000"/>
          <w:sz w:val="24"/>
          <w:szCs w:val="24"/>
        </w:rPr>
      </w:pPr>
      <w:r w:rsidRPr="00236403">
        <w:rPr>
          <w:rFonts w:ascii="Times New Roman" w:eastAsia="Calibri" w:hAnsi="Times New Roman" w:cs="Times New Roman"/>
          <w:b/>
          <w:iCs/>
          <w:color w:val="000000"/>
          <w:sz w:val="24"/>
          <w:szCs w:val="24"/>
        </w:rPr>
        <w:t>AML zákon</w:t>
      </w:r>
    </w:p>
    <w:p w14:paraId="2456BF1D" w14:textId="24384361" w:rsidR="00245C8D" w:rsidRPr="008467FB" w:rsidRDefault="00245C8D" w:rsidP="00245C8D">
      <w:pPr>
        <w:spacing w:before="100" w:beforeAutospacing="1" w:after="100" w:afterAutospacing="1" w:line="300" w:lineRule="atLeast"/>
        <w:jc w:val="both"/>
        <w:rPr>
          <w:rFonts w:ascii="Times New Roman" w:eastAsia="Calibri" w:hAnsi="Times New Roman" w:cs="Times New Roman"/>
          <w:bCs/>
          <w:iCs/>
          <w:color w:val="000000"/>
          <w:sz w:val="24"/>
          <w:szCs w:val="24"/>
        </w:rPr>
      </w:pPr>
      <w:r w:rsidRPr="008467FB">
        <w:rPr>
          <w:rFonts w:ascii="Times New Roman" w:eastAsia="Calibri" w:hAnsi="Times New Roman" w:cs="Times New Roman"/>
          <w:bCs/>
          <w:iCs/>
          <w:color w:val="000000"/>
          <w:sz w:val="24"/>
          <w:szCs w:val="24"/>
        </w:rPr>
        <w:t>Nariadenie (EÚ) 2024/1624 predstavuje kvalitatívny posun v regulácii boja proti praniu špinavých peňazí a financovaniu terorizmu tým, že presúva ťažisko úpravy povinností povinných subjektov z národných legislatív priamo na úroveň práva Európskej únie.</w:t>
      </w:r>
    </w:p>
    <w:p w14:paraId="2EEE8B43" w14:textId="77777777" w:rsidR="00245C8D" w:rsidRPr="008467FB" w:rsidRDefault="00245C8D" w:rsidP="00245C8D">
      <w:pPr>
        <w:spacing w:before="100" w:beforeAutospacing="1" w:after="100" w:afterAutospacing="1" w:line="300" w:lineRule="atLeast"/>
        <w:jc w:val="both"/>
        <w:rPr>
          <w:rFonts w:ascii="Times New Roman" w:eastAsia="Calibri" w:hAnsi="Times New Roman" w:cs="Times New Roman"/>
          <w:bCs/>
          <w:iCs/>
          <w:color w:val="000000"/>
          <w:sz w:val="24"/>
          <w:szCs w:val="24"/>
        </w:rPr>
      </w:pPr>
      <w:r w:rsidRPr="008467FB">
        <w:rPr>
          <w:rFonts w:ascii="Times New Roman" w:eastAsia="Calibri" w:hAnsi="Times New Roman" w:cs="Times New Roman"/>
          <w:bCs/>
          <w:iCs/>
          <w:color w:val="000000"/>
          <w:sz w:val="24"/>
          <w:szCs w:val="24"/>
        </w:rPr>
        <w:t>Kým doterajší režim bol založený najmä na smernici (EÚ) 2015/849 a jej novelách, ktoré si vyžadovali transpozíciu do právnych poriadkov členských štátov, nové nariadenie má priamu uplatniteľnosť. To znamená, že:</w:t>
      </w:r>
    </w:p>
    <w:p w14:paraId="10614702" w14:textId="77777777" w:rsidR="00245C8D" w:rsidRPr="008467FB" w:rsidRDefault="00245C8D" w:rsidP="00245C8D">
      <w:pPr>
        <w:numPr>
          <w:ilvl w:val="0"/>
          <w:numId w:val="16"/>
        </w:numPr>
        <w:spacing w:before="100" w:beforeAutospacing="1" w:after="100" w:afterAutospacing="1" w:line="300" w:lineRule="atLeast"/>
        <w:jc w:val="both"/>
        <w:rPr>
          <w:rFonts w:ascii="Times New Roman" w:eastAsia="Calibri" w:hAnsi="Times New Roman" w:cs="Times New Roman"/>
          <w:bCs/>
          <w:iCs/>
          <w:color w:val="000000"/>
          <w:sz w:val="24"/>
          <w:szCs w:val="24"/>
        </w:rPr>
      </w:pPr>
      <w:r w:rsidRPr="008467FB">
        <w:rPr>
          <w:rFonts w:ascii="Times New Roman" w:eastAsia="Calibri" w:hAnsi="Times New Roman" w:cs="Times New Roman"/>
          <w:bCs/>
          <w:iCs/>
          <w:color w:val="000000"/>
          <w:sz w:val="24"/>
          <w:szCs w:val="24"/>
        </w:rPr>
        <w:t>povinnosti povinných subjektov sú teraz komplexne a priamo upravené v samotnom nariadení,</w:t>
      </w:r>
    </w:p>
    <w:p w14:paraId="7EEDDE01" w14:textId="77777777" w:rsidR="00245C8D" w:rsidRPr="008467FB" w:rsidRDefault="00245C8D" w:rsidP="00245C8D">
      <w:pPr>
        <w:numPr>
          <w:ilvl w:val="0"/>
          <w:numId w:val="16"/>
        </w:numPr>
        <w:spacing w:before="100" w:beforeAutospacing="1" w:after="100" w:afterAutospacing="1" w:line="300" w:lineRule="atLeast"/>
        <w:jc w:val="both"/>
        <w:rPr>
          <w:rFonts w:ascii="Times New Roman" w:eastAsia="Calibri" w:hAnsi="Times New Roman" w:cs="Times New Roman"/>
          <w:bCs/>
          <w:iCs/>
          <w:color w:val="000000"/>
          <w:sz w:val="24"/>
          <w:szCs w:val="24"/>
        </w:rPr>
      </w:pPr>
      <w:r w:rsidRPr="008467FB">
        <w:rPr>
          <w:rFonts w:ascii="Times New Roman" w:eastAsia="Calibri" w:hAnsi="Times New Roman" w:cs="Times New Roman"/>
          <w:bCs/>
          <w:iCs/>
          <w:color w:val="000000"/>
          <w:sz w:val="24"/>
          <w:szCs w:val="24"/>
        </w:rPr>
        <w:t xml:space="preserve">členské štáty už nemajú priestor na zásadnú </w:t>
      </w:r>
      <w:r>
        <w:rPr>
          <w:rFonts w:ascii="Times New Roman" w:eastAsia="Calibri" w:hAnsi="Times New Roman" w:cs="Times New Roman"/>
          <w:bCs/>
          <w:iCs/>
          <w:color w:val="000000"/>
          <w:sz w:val="24"/>
          <w:szCs w:val="24"/>
        </w:rPr>
        <w:t xml:space="preserve">úpravu povinností povinných osôb </w:t>
      </w:r>
      <w:r w:rsidRPr="008467FB">
        <w:rPr>
          <w:rFonts w:ascii="Times New Roman" w:eastAsia="Calibri" w:hAnsi="Times New Roman" w:cs="Times New Roman"/>
          <w:bCs/>
          <w:iCs/>
          <w:color w:val="000000"/>
          <w:sz w:val="24"/>
          <w:szCs w:val="24"/>
        </w:rPr>
        <w:t>prostredníctvom národných zákonov,</w:t>
      </w:r>
    </w:p>
    <w:p w14:paraId="066ADB1B" w14:textId="77777777" w:rsidR="00245C8D" w:rsidRPr="008467FB" w:rsidRDefault="00245C8D" w:rsidP="00245C8D">
      <w:pPr>
        <w:numPr>
          <w:ilvl w:val="0"/>
          <w:numId w:val="16"/>
        </w:numPr>
        <w:spacing w:before="100" w:beforeAutospacing="1" w:after="100" w:afterAutospacing="1" w:line="300" w:lineRule="atLeast"/>
        <w:jc w:val="both"/>
        <w:rPr>
          <w:rFonts w:ascii="Times New Roman" w:eastAsia="Calibri" w:hAnsi="Times New Roman" w:cs="Times New Roman"/>
          <w:bCs/>
          <w:iCs/>
          <w:color w:val="000000"/>
          <w:sz w:val="24"/>
          <w:szCs w:val="24"/>
        </w:rPr>
      </w:pPr>
      <w:r w:rsidRPr="008467FB">
        <w:rPr>
          <w:rFonts w:ascii="Times New Roman" w:eastAsia="Calibri" w:hAnsi="Times New Roman" w:cs="Times New Roman"/>
          <w:bCs/>
          <w:iCs/>
          <w:color w:val="000000"/>
          <w:sz w:val="24"/>
          <w:szCs w:val="24"/>
        </w:rPr>
        <w:t>dochádza k zásadnej harmonizácii pravidiel naprieč EÚ.</w:t>
      </w:r>
    </w:p>
    <w:p w14:paraId="4C644F55" w14:textId="77777777" w:rsidR="00245C8D" w:rsidRDefault="00245C8D" w:rsidP="00245C8D">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Vo vzťahu k reguláciám, pri ktorých nebolo možné určiť konkrétny počet dotknutých subjektov, je potrebné uviesť nasledovné skutočnosti. </w:t>
      </w:r>
    </w:p>
    <w:p w14:paraId="3F445662" w14:textId="77777777" w:rsidR="00245C8D" w:rsidRDefault="00245C8D" w:rsidP="00245C8D">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Prvou skutočnosťou je, že mnohé </w:t>
      </w:r>
      <w:r w:rsidRPr="00F31B06">
        <w:rPr>
          <w:rFonts w:ascii="Times New Roman" w:eastAsia="Calibri" w:hAnsi="Times New Roman" w:cs="Times New Roman"/>
          <w:bCs/>
          <w:iCs/>
          <w:color w:val="000000"/>
          <w:sz w:val="24"/>
          <w:szCs w:val="24"/>
        </w:rPr>
        <w:t>povinné osoby nefinančného sektora sú zaradené medzi povinné osoby aj na základe viacerých predmetov činnosti</w:t>
      </w:r>
      <w:r>
        <w:rPr>
          <w:rFonts w:ascii="Times New Roman" w:eastAsia="Calibri" w:hAnsi="Times New Roman" w:cs="Times New Roman"/>
          <w:bCs/>
          <w:iCs/>
          <w:color w:val="000000"/>
          <w:sz w:val="24"/>
          <w:szCs w:val="24"/>
        </w:rPr>
        <w:t xml:space="preserve"> a ich jednoduchým sčítaním podľa predmetov činnosti by sa </w:t>
      </w:r>
      <w:r w:rsidRPr="00BF5067">
        <w:rPr>
          <w:rFonts w:ascii="Times New Roman" w:eastAsia="Calibri" w:hAnsi="Times New Roman" w:cs="Times New Roman"/>
          <w:b/>
          <w:bCs/>
          <w:i/>
          <w:iCs/>
          <w:color w:val="000000"/>
          <w:sz w:val="24"/>
          <w:szCs w:val="24"/>
        </w:rPr>
        <w:t>multiplikoval celkový počet povinných osôb.</w:t>
      </w:r>
      <w:r>
        <w:rPr>
          <w:rFonts w:ascii="Times New Roman" w:eastAsia="Calibri" w:hAnsi="Times New Roman" w:cs="Times New Roman"/>
          <w:bCs/>
          <w:iCs/>
          <w:color w:val="000000"/>
          <w:sz w:val="24"/>
          <w:szCs w:val="24"/>
        </w:rPr>
        <w:t xml:space="preserve"> Nemožnosť určiť presný počet subjektov ovplyvňuje aj skutočnosť, že v prípade prenájmu nehnuteľností a činností súvisiacich napr. s prevádzkou aukčnej siene, záložne, umeleckými dielami, zberateľskými predmetmi, sa povinnými osobami v zmysle nariadenia (EÚ) 2024/1624  stávajú subjekty až v prípade, ak  hodnota obchodu, resp. nájomného je najmenej 10 000 eur. </w:t>
      </w:r>
    </w:p>
    <w:p w14:paraId="3BB2B3A9" w14:textId="77777777" w:rsidR="00245C8D" w:rsidRDefault="00245C8D" w:rsidP="00245C8D">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Tretím faktorom majúcim na uvedenú skutočnosť vplyv je aj to, že povinné osoby ako notár, advokát, súdny exekútor sú v zmysle nariadenia (EÚ) 2024/1624 povinnými osobami iba v prípade, ak vykonávajú konkrétne činnosti predpokladané nariadením. Inak povedané, ak tieto činnosti nevykonávajú, nie sú povinnými osobami v zmysle nariadenia.</w:t>
      </w:r>
    </w:p>
    <w:p w14:paraId="51A32DDD" w14:textId="77777777" w:rsidR="00245C8D" w:rsidRDefault="00245C8D" w:rsidP="00245C8D">
      <w:pPr>
        <w:spacing w:after="0"/>
        <w:jc w:val="both"/>
        <w:rPr>
          <w:rFonts w:ascii="Times New Roman" w:eastAsia="Calibri" w:hAnsi="Times New Roman" w:cs="Times New Roman"/>
          <w:bCs/>
          <w:i/>
          <w:iCs/>
          <w:sz w:val="24"/>
          <w:szCs w:val="24"/>
        </w:rPr>
      </w:pPr>
    </w:p>
    <w:p w14:paraId="7C235E75" w14:textId="77777777" w:rsidR="00245C8D" w:rsidRPr="0014130A" w:rsidRDefault="00245C8D" w:rsidP="00245C8D">
      <w:pPr>
        <w:spacing w:after="0"/>
        <w:jc w:val="both"/>
        <w:rPr>
          <w:rFonts w:ascii="Times New Roman" w:eastAsia="Calibri" w:hAnsi="Times New Roman" w:cs="Times New Roman"/>
          <w:bCs/>
          <w:i/>
          <w:iCs/>
          <w:sz w:val="24"/>
          <w:szCs w:val="24"/>
        </w:rPr>
      </w:pPr>
      <w:r w:rsidRPr="0014130A">
        <w:rPr>
          <w:rFonts w:ascii="Times New Roman" w:eastAsia="Calibri" w:hAnsi="Times New Roman" w:cs="Times New Roman"/>
          <w:bCs/>
          <w:i/>
          <w:iCs/>
          <w:sz w:val="24"/>
          <w:szCs w:val="24"/>
        </w:rPr>
        <w:t>1.</w:t>
      </w:r>
      <w:r w:rsidRPr="0014130A">
        <w:rPr>
          <w:rFonts w:ascii="Times New Roman" w:eastAsia="Calibri" w:hAnsi="Times New Roman" w:cs="Times New Roman"/>
          <w:bCs/>
          <w:i/>
          <w:iCs/>
          <w:sz w:val="24"/>
          <w:szCs w:val="24"/>
        </w:rPr>
        <w:tab/>
        <w:t xml:space="preserve">Oboznámenie sa s legislatívou </w:t>
      </w:r>
    </w:p>
    <w:p w14:paraId="73EBB346" w14:textId="77777777" w:rsidR="00245C8D" w:rsidRPr="0014130A" w:rsidRDefault="00245C8D" w:rsidP="00245C8D">
      <w:pPr>
        <w:spacing w:after="0"/>
        <w:jc w:val="both"/>
        <w:rPr>
          <w:rFonts w:ascii="Times New Roman" w:eastAsia="Calibri" w:hAnsi="Times New Roman" w:cs="Times New Roman"/>
          <w:bCs/>
          <w:i/>
          <w:iCs/>
          <w:sz w:val="24"/>
          <w:szCs w:val="24"/>
        </w:rPr>
      </w:pPr>
    </w:p>
    <w:p w14:paraId="34497F8A" w14:textId="569BF479" w:rsidR="00245C8D" w:rsidRPr="00A561CF" w:rsidRDefault="00245C8D" w:rsidP="00245C8D">
      <w:pPr>
        <w:spacing w:after="0"/>
        <w:jc w:val="both"/>
        <w:rPr>
          <w:rFonts w:ascii="Times New Roman" w:eastAsia="Calibri" w:hAnsi="Times New Roman" w:cs="Times New Roman"/>
          <w:bCs/>
          <w:iCs/>
          <w:sz w:val="24"/>
          <w:szCs w:val="24"/>
        </w:rPr>
      </w:pPr>
      <w:r w:rsidRPr="00A561CF">
        <w:rPr>
          <w:rFonts w:ascii="Times New Roman" w:eastAsia="Calibri" w:hAnsi="Times New Roman" w:cs="Times New Roman"/>
          <w:bCs/>
          <w:iCs/>
          <w:sz w:val="24"/>
          <w:szCs w:val="24"/>
        </w:rPr>
        <w:lastRenderedPageBreak/>
        <w:t xml:space="preserve">Návrh zákona </w:t>
      </w:r>
      <w:r>
        <w:rPr>
          <w:rFonts w:ascii="Times New Roman" w:eastAsia="Calibri" w:hAnsi="Times New Roman" w:cs="Times New Roman"/>
          <w:bCs/>
          <w:iCs/>
          <w:sz w:val="24"/>
          <w:szCs w:val="24"/>
        </w:rPr>
        <w:t>obsahuje minimum povinností pre povinné osoby v porovnaní s pôvodným zákonom č. 297/2008 Z. z., nakoľko všetky povinnosti, ktoré musia povinné osoby vykonávať vo vzťahu ku svojim klientom sú obsiahnuté v nariadení (EÚ) 2024/1624. Zároveň niektoré povinnosti, ktoré síce sú v návrhu zákona, ako napr. povinnosť registrácie povinných osôb v informačnom systéme PZ určenom na prijímanie a analýzu hlásení (§3 návrhu zákona), poskytovanie informácií FSJ (§ 20 návrhu zákona), poskytovanie súčinnosti pri výkone dohľadu (§ 3</w:t>
      </w:r>
      <w:r w:rsidR="00886C3A">
        <w:rPr>
          <w:rFonts w:ascii="Times New Roman" w:eastAsia="Calibri" w:hAnsi="Times New Roman" w:cs="Times New Roman"/>
          <w:bCs/>
          <w:iCs/>
          <w:sz w:val="24"/>
          <w:szCs w:val="24"/>
        </w:rPr>
        <w:t>4</w:t>
      </w:r>
      <w:r>
        <w:rPr>
          <w:rFonts w:ascii="Times New Roman" w:eastAsia="Calibri" w:hAnsi="Times New Roman" w:cs="Times New Roman"/>
          <w:bCs/>
          <w:iCs/>
          <w:sz w:val="24"/>
          <w:szCs w:val="24"/>
        </w:rPr>
        <w:t xml:space="preserve"> návrhu zákona), boli už aj v predchádzajúcej právnej úprave (§ 21, 30 zákona č. 297/2008 Z. z.). </w:t>
      </w:r>
    </w:p>
    <w:p w14:paraId="02AE9566" w14:textId="77777777" w:rsidR="00245C8D" w:rsidRDefault="00245C8D" w:rsidP="00245C8D">
      <w:pPr>
        <w:spacing w:after="0"/>
        <w:jc w:val="both"/>
        <w:rPr>
          <w:rFonts w:ascii="Times New Roman" w:eastAsia="Calibri" w:hAnsi="Times New Roman" w:cs="Times New Roman"/>
          <w:bCs/>
          <w:i/>
          <w:iCs/>
          <w:sz w:val="24"/>
          <w:szCs w:val="24"/>
        </w:rPr>
      </w:pPr>
    </w:p>
    <w:p w14:paraId="7EA6095F" w14:textId="77777777" w:rsidR="00245C8D" w:rsidRPr="00A561CF" w:rsidRDefault="00245C8D" w:rsidP="00245C8D">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2</w:t>
      </w:r>
      <w:r w:rsidRPr="00A561CF">
        <w:rPr>
          <w:rFonts w:ascii="Times New Roman" w:eastAsia="Calibri" w:hAnsi="Times New Roman" w:cs="Times New Roman"/>
          <w:bCs/>
          <w:i/>
          <w:iCs/>
          <w:sz w:val="24"/>
          <w:szCs w:val="24"/>
        </w:rPr>
        <w:t>.</w:t>
      </w:r>
      <w:r w:rsidRPr="00A561CF">
        <w:rPr>
          <w:rFonts w:ascii="Times New Roman" w:eastAsia="Calibri" w:hAnsi="Times New Roman" w:cs="Times New Roman"/>
          <w:bCs/>
          <w:i/>
          <w:iCs/>
          <w:sz w:val="24"/>
          <w:szCs w:val="24"/>
        </w:rPr>
        <w:tab/>
      </w:r>
      <w:r>
        <w:rPr>
          <w:rFonts w:ascii="Times New Roman" w:eastAsia="Calibri" w:hAnsi="Times New Roman" w:cs="Times New Roman"/>
          <w:bCs/>
          <w:i/>
          <w:iCs/>
          <w:sz w:val="24"/>
          <w:szCs w:val="24"/>
        </w:rPr>
        <w:t>Kontroly vrcholového manažmentu a konečných užívateľov výhod niektorých povinných osôb</w:t>
      </w:r>
    </w:p>
    <w:p w14:paraId="42C27EDF" w14:textId="77777777" w:rsidR="00245C8D" w:rsidRDefault="00245C8D" w:rsidP="00245C8D">
      <w:pPr>
        <w:spacing w:after="0"/>
        <w:jc w:val="both"/>
        <w:rPr>
          <w:rFonts w:ascii="Times New Roman" w:eastAsia="Calibri" w:hAnsi="Times New Roman" w:cs="Times New Roman"/>
          <w:bCs/>
          <w:i/>
          <w:iCs/>
          <w:sz w:val="24"/>
          <w:szCs w:val="24"/>
        </w:rPr>
      </w:pPr>
    </w:p>
    <w:p w14:paraId="3A89F712" w14:textId="77777777" w:rsidR="00245C8D" w:rsidRDefault="00245C8D" w:rsidP="00245C8D">
      <w:p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Povinnosť spĺňať určité podmienky uvedené v § 4 návrhu zákona konečnými užívateľmi výhod (ďalej len „KÚV“) a členmi vrcholového manažmentu vybraných povinných osôb, vyplýva z čl. 6 smernice (EÚ) 2024/1640. Takúto povinnosť upravovala aj predchádzajúca smernica (EÚ) 2015/849, ktorá sa však vzťahovala na menší okruh povinných osôb. Smernica (EÚ) 2024/1640 rozširuje požiadavky na bezúhonnosť, dôveryhodnosť a odbornú spôsobilosť KÚV a členov vrcholového manažmentu na všetky povinné osoby z nefinančného sektora. Zároveň zavádza pre dohľadové orgány povinnosť vykonávať dohľad nad splnením uvedených podmienok a to v závislosti od rizika legalizácie alebo financovania terorizmu.</w:t>
      </w:r>
    </w:p>
    <w:p w14:paraId="59D84102" w14:textId="77777777" w:rsidR="00245C8D" w:rsidRPr="00D01BA0" w:rsidRDefault="00245C8D" w:rsidP="00245C8D">
      <w:p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Povinné osoby sú povinné na účely preukázania bezúhonnosti predložiť orgánom dohľadu potrebné údaje na vyžiadanie špecializovaného výpisu z registra trestov. </w:t>
      </w:r>
    </w:p>
    <w:p w14:paraId="16550C55" w14:textId="77777777" w:rsidR="00245C8D" w:rsidRDefault="00245C8D" w:rsidP="00245C8D">
      <w:pPr>
        <w:spacing w:after="0"/>
        <w:jc w:val="both"/>
        <w:rPr>
          <w:rFonts w:ascii="Times New Roman" w:eastAsia="Calibri" w:hAnsi="Times New Roman" w:cs="Times New Roman"/>
          <w:bCs/>
          <w:i/>
          <w:iCs/>
          <w:sz w:val="24"/>
          <w:szCs w:val="24"/>
        </w:rPr>
      </w:pPr>
    </w:p>
    <w:p w14:paraId="57C6C742" w14:textId="77777777" w:rsidR="00245C8D" w:rsidRPr="00A561CF" w:rsidRDefault="00245C8D" w:rsidP="00245C8D">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3</w:t>
      </w:r>
      <w:r w:rsidRPr="00A561CF">
        <w:rPr>
          <w:rFonts w:ascii="Times New Roman" w:eastAsia="Calibri" w:hAnsi="Times New Roman" w:cs="Times New Roman"/>
          <w:bCs/>
          <w:i/>
          <w:iCs/>
          <w:sz w:val="24"/>
          <w:szCs w:val="24"/>
        </w:rPr>
        <w:t>.</w:t>
      </w:r>
      <w:r w:rsidRPr="00A561CF">
        <w:rPr>
          <w:rFonts w:ascii="Times New Roman" w:eastAsia="Calibri" w:hAnsi="Times New Roman" w:cs="Times New Roman"/>
          <w:bCs/>
          <w:i/>
          <w:iCs/>
          <w:sz w:val="24"/>
          <w:szCs w:val="24"/>
        </w:rPr>
        <w:tab/>
      </w:r>
      <w:r>
        <w:rPr>
          <w:rFonts w:ascii="Times New Roman" w:eastAsia="Calibri" w:hAnsi="Times New Roman" w:cs="Times New Roman"/>
          <w:bCs/>
          <w:i/>
          <w:iCs/>
          <w:sz w:val="24"/>
          <w:szCs w:val="24"/>
        </w:rPr>
        <w:t>Nahlasovanie kontaktnej osoby</w:t>
      </w:r>
    </w:p>
    <w:p w14:paraId="7FD71985" w14:textId="77777777" w:rsidR="00245C8D" w:rsidRDefault="00245C8D" w:rsidP="00245C8D">
      <w:pPr>
        <w:spacing w:after="0"/>
        <w:jc w:val="both"/>
        <w:rPr>
          <w:rFonts w:ascii="Times New Roman" w:eastAsia="Calibri" w:hAnsi="Times New Roman" w:cs="Times New Roman"/>
          <w:bCs/>
          <w:i/>
          <w:iCs/>
          <w:sz w:val="24"/>
          <w:szCs w:val="24"/>
        </w:rPr>
      </w:pPr>
    </w:p>
    <w:p w14:paraId="79FB0EC1" w14:textId="77777777" w:rsidR="00245C8D" w:rsidRDefault="00245C8D" w:rsidP="00245C8D">
      <w:pPr>
        <w:spacing w:after="0"/>
        <w:jc w:val="both"/>
        <w:rPr>
          <w:rFonts w:ascii="Times New Roman" w:eastAsia="Calibri" w:hAnsi="Times New Roman" w:cs="Times New Roman"/>
          <w:bCs/>
          <w:iCs/>
          <w:sz w:val="24"/>
          <w:szCs w:val="24"/>
        </w:rPr>
      </w:pPr>
      <w:r w:rsidRPr="00A561CF">
        <w:rPr>
          <w:rFonts w:ascii="Times New Roman" w:eastAsia="Calibri" w:hAnsi="Times New Roman" w:cs="Times New Roman"/>
          <w:bCs/>
          <w:iCs/>
          <w:sz w:val="24"/>
          <w:szCs w:val="24"/>
        </w:rPr>
        <w:t xml:space="preserve">Návrh zákona </w:t>
      </w:r>
      <w:r>
        <w:rPr>
          <w:rFonts w:ascii="Times New Roman" w:eastAsia="Calibri" w:hAnsi="Times New Roman" w:cs="Times New Roman"/>
          <w:bCs/>
          <w:iCs/>
          <w:sz w:val="24"/>
          <w:szCs w:val="24"/>
        </w:rPr>
        <w:t xml:space="preserve">v ustanovení § 6 určuje povinnosť nahlásiť FSJ prostredníctvom informačného systému GoAML (ktorý FSJ využíva na prijímanie a analýzu hlásení) kontaktné údaje osoby, ktorá je povinnou osobou určená na dodržiavanie predpisov a ktorá zabezpečuje priebežný kontakt povinnej osoby s FSJ. Povinnosť mať tzv. určenú osobu vyplývala pre povinné osoby aj z predchádzajúcej právnej úpravy (§ 20 ods. 2 písm. h) zákona č. 297/2008 Z. z.). Zároveň povinná osoba bola aj v zmysle predchádzajúcej právnej úpravy povinná sa registrovať v systéme GoAML, pričom pri registrácii povinná osoba vypĺňa polia určené na jej identifikáciu a identifikáciu osoby, ktorá spolupracovala s FSJ. Návrh zákona zavádza ako novú povinnosť nahlásiť každú zmenu údajov kontaktnej osoby. Cieľom návrhu je zabezpečiť aktuálnosť údajov a plynulosť komunikácie FSJ s povinnými osobami. </w:t>
      </w:r>
    </w:p>
    <w:p w14:paraId="2F7203AA" w14:textId="77777777" w:rsidR="00245C8D" w:rsidRDefault="00245C8D" w:rsidP="00245C8D">
      <w:pPr>
        <w:spacing w:after="0"/>
        <w:jc w:val="both"/>
        <w:rPr>
          <w:rFonts w:ascii="Times New Roman" w:eastAsia="Calibri" w:hAnsi="Times New Roman" w:cs="Times New Roman"/>
          <w:bCs/>
          <w:iCs/>
          <w:sz w:val="24"/>
          <w:szCs w:val="24"/>
        </w:rPr>
      </w:pPr>
    </w:p>
    <w:p w14:paraId="44036CD8" w14:textId="77777777" w:rsidR="00245C8D" w:rsidRPr="0023547D" w:rsidRDefault="00245C8D" w:rsidP="00245C8D">
      <w:pPr>
        <w:spacing w:after="0"/>
        <w:jc w:val="both"/>
        <w:rPr>
          <w:rFonts w:ascii="Times New Roman" w:eastAsia="Calibri" w:hAnsi="Times New Roman" w:cs="Times New Roman"/>
          <w:bCs/>
          <w:i/>
          <w:sz w:val="24"/>
          <w:szCs w:val="24"/>
        </w:rPr>
      </w:pPr>
      <w:r w:rsidRPr="00CE2A4D">
        <w:rPr>
          <w:rFonts w:ascii="Times New Roman" w:eastAsia="Calibri" w:hAnsi="Times New Roman" w:cs="Times New Roman"/>
          <w:bCs/>
          <w:i/>
          <w:iCs/>
          <w:sz w:val="24"/>
          <w:szCs w:val="24"/>
        </w:rPr>
        <w:t>4.</w:t>
      </w:r>
      <w:r w:rsidRPr="00CE2A4D">
        <w:rPr>
          <w:rFonts w:ascii="Times New Roman" w:eastAsia="Calibri" w:hAnsi="Times New Roman" w:cs="Times New Roman"/>
          <w:bCs/>
          <w:iCs/>
          <w:sz w:val="24"/>
          <w:szCs w:val="24"/>
        </w:rPr>
        <w:tab/>
      </w:r>
      <w:r w:rsidRPr="0023547D">
        <w:rPr>
          <w:rFonts w:ascii="Times New Roman" w:eastAsia="Calibri" w:hAnsi="Times New Roman" w:cs="Times New Roman"/>
          <w:bCs/>
          <w:i/>
          <w:sz w:val="24"/>
          <w:szCs w:val="24"/>
        </w:rPr>
        <w:t xml:space="preserve">Štatistické zisťovanie </w:t>
      </w:r>
    </w:p>
    <w:p w14:paraId="52737D60" w14:textId="77777777" w:rsidR="00245C8D" w:rsidRDefault="00245C8D" w:rsidP="00245C8D">
      <w:pPr>
        <w:spacing w:after="0"/>
        <w:jc w:val="both"/>
        <w:rPr>
          <w:rFonts w:ascii="Times New Roman" w:eastAsia="Calibri" w:hAnsi="Times New Roman" w:cs="Times New Roman"/>
          <w:bCs/>
          <w:iCs/>
          <w:sz w:val="24"/>
          <w:szCs w:val="24"/>
        </w:rPr>
      </w:pPr>
    </w:p>
    <w:p w14:paraId="339D9CB9" w14:textId="0F87BDBD" w:rsidR="00245C8D" w:rsidRPr="008524E4" w:rsidRDefault="00245C8D" w:rsidP="00245C8D">
      <w:pPr>
        <w:spacing w:after="0"/>
        <w:jc w:val="both"/>
        <w:rPr>
          <w:rFonts w:ascii="Times New Roman" w:eastAsia="Calibri" w:hAnsi="Times New Roman" w:cs="Times New Roman"/>
          <w:bCs/>
          <w:iCs/>
          <w:sz w:val="24"/>
          <w:szCs w:val="24"/>
        </w:rPr>
      </w:pPr>
      <w:r w:rsidRPr="008524E4">
        <w:rPr>
          <w:rStyle w:val="normaltextrun"/>
          <w:rFonts w:ascii="Times New Roman" w:hAnsi="Times New Roman" w:cs="Times New Roman"/>
          <w:color w:val="000000"/>
          <w:sz w:val="24"/>
          <w:szCs w:val="24"/>
          <w:shd w:val="clear" w:color="auto" w:fill="FFFFFF"/>
        </w:rPr>
        <w:lastRenderedPageBreak/>
        <w:t>Navrhovaná úprava</w:t>
      </w:r>
      <w:r>
        <w:rPr>
          <w:rStyle w:val="normaltextrun"/>
          <w:rFonts w:ascii="Times New Roman" w:hAnsi="Times New Roman" w:cs="Times New Roman"/>
          <w:color w:val="000000"/>
          <w:sz w:val="24"/>
          <w:szCs w:val="24"/>
          <w:shd w:val="clear" w:color="auto" w:fill="FFFFFF"/>
        </w:rPr>
        <w:t xml:space="preserve"> (§ 4</w:t>
      </w:r>
      <w:r w:rsidR="00DB0414">
        <w:rPr>
          <w:rStyle w:val="normaltextrun"/>
          <w:rFonts w:ascii="Times New Roman" w:hAnsi="Times New Roman" w:cs="Times New Roman"/>
          <w:color w:val="000000"/>
          <w:sz w:val="24"/>
          <w:szCs w:val="24"/>
          <w:shd w:val="clear" w:color="auto" w:fill="FFFFFF"/>
        </w:rPr>
        <w:t>7</w:t>
      </w:r>
      <w:r>
        <w:rPr>
          <w:rStyle w:val="normaltextrun"/>
          <w:rFonts w:ascii="Times New Roman" w:hAnsi="Times New Roman" w:cs="Times New Roman"/>
          <w:color w:val="000000"/>
          <w:sz w:val="24"/>
          <w:szCs w:val="24"/>
          <w:shd w:val="clear" w:color="auto" w:fill="FFFFFF"/>
        </w:rPr>
        <w:t xml:space="preserve"> návrhu zákona)</w:t>
      </w:r>
      <w:r w:rsidRPr="008524E4">
        <w:rPr>
          <w:rStyle w:val="normaltextrun"/>
          <w:rFonts w:ascii="Times New Roman" w:hAnsi="Times New Roman" w:cs="Times New Roman"/>
          <w:color w:val="000000"/>
          <w:sz w:val="24"/>
          <w:szCs w:val="24"/>
          <w:shd w:val="clear" w:color="auto" w:fill="FFFFFF"/>
        </w:rPr>
        <w:t xml:space="preserve"> má za cieľ splniť požiadavky čl. 11 ods. 2 nariadenia (EÚ) 2024/1620, ktoré požaduje od orgánov dohľadu zasielať úradu AMLA štatistické informácie o kategóriách a počte povinných subjektov podľa jednotlivých kategórií a základné informácie o rizikovom profile týchto subjektov. Pre účely splnenia tohto článku, orgány dohľadu musia mať kompetencie pre zber štatistických údajov, výsledkom ktorých bude stanovenie rizikového profilu povinných osôb. </w:t>
      </w:r>
      <w:r w:rsidRPr="008524E4">
        <w:rPr>
          <w:rStyle w:val="eop"/>
          <w:rFonts w:ascii="Times New Roman" w:hAnsi="Times New Roman" w:cs="Times New Roman"/>
          <w:color w:val="000000"/>
          <w:sz w:val="24"/>
          <w:szCs w:val="24"/>
        </w:rPr>
        <w:t> </w:t>
      </w:r>
    </w:p>
    <w:p w14:paraId="40923EAC" w14:textId="77777777" w:rsidR="00245C8D" w:rsidRDefault="00245C8D" w:rsidP="00245C8D">
      <w:pPr>
        <w:spacing w:after="0"/>
        <w:jc w:val="both"/>
        <w:rPr>
          <w:rFonts w:ascii="Times New Roman" w:eastAsia="Calibri" w:hAnsi="Times New Roman" w:cs="Times New Roman"/>
          <w:bCs/>
          <w:iCs/>
          <w:sz w:val="24"/>
          <w:szCs w:val="24"/>
        </w:rPr>
      </w:pPr>
    </w:p>
    <w:p w14:paraId="457B21AE" w14:textId="77777777" w:rsidR="00245C8D" w:rsidRPr="00CE2A4D" w:rsidRDefault="00245C8D" w:rsidP="00245C8D">
      <w:pPr>
        <w:spacing w:after="0"/>
        <w:jc w:val="both"/>
        <w:rPr>
          <w:rFonts w:ascii="Times New Roman" w:eastAsia="Calibri" w:hAnsi="Times New Roman" w:cs="Times New Roman"/>
          <w:bCs/>
          <w:i/>
          <w:iCs/>
          <w:sz w:val="24"/>
          <w:szCs w:val="24"/>
        </w:rPr>
      </w:pPr>
      <w:r>
        <w:rPr>
          <w:rFonts w:ascii="Times New Roman" w:eastAsia="Calibri" w:hAnsi="Times New Roman" w:cs="Times New Roman"/>
          <w:bCs/>
          <w:i/>
          <w:iCs/>
          <w:sz w:val="24"/>
          <w:szCs w:val="24"/>
        </w:rPr>
        <w:t>5</w:t>
      </w:r>
      <w:r w:rsidRPr="00CE2A4D">
        <w:rPr>
          <w:rFonts w:ascii="Times New Roman" w:eastAsia="Calibri" w:hAnsi="Times New Roman" w:cs="Times New Roman"/>
          <w:bCs/>
          <w:i/>
          <w:iCs/>
          <w:sz w:val="24"/>
          <w:szCs w:val="24"/>
        </w:rPr>
        <w:t>.</w:t>
      </w:r>
      <w:r w:rsidRPr="00CE2A4D">
        <w:rPr>
          <w:rFonts w:ascii="Times New Roman" w:eastAsia="Calibri" w:hAnsi="Times New Roman" w:cs="Times New Roman"/>
          <w:bCs/>
          <w:i/>
          <w:iCs/>
          <w:sz w:val="24"/>
          <w:szCs w:val="24"/>
        </w:rPr>
        <w:tab/>
      </w:r>
      <w:r>
        <w:rPr>
          <w:rFonts w:ascii="Times New Roman" w:eastAsia="Calibri" w:hAnsi="Times New Roman" w:cs="Times New Roman"/>
          <w:bCs/>
          <w:i/>
          <w:iCs/>
          <w:sz w:val="24"/>
          <w:szCs w:val="24"/>
        </w:rPr>
        <w:t>Registrácia finančnej holdingovej spoločnosti so zmiešanou činnosťou</w:t>
      </w:r>
    </w:p>
    <w:p w14:paraId="1FC7D7D8" w14:textId="77777777" w:rsidR="00245C8D" w:rsidRPr="00CE2A4D" w:rsidRDefault="00245C8D" w:rsidP="00245C8D">
      <w:pPr>
        <w:spacing w:after="0"/>
        <w:jc w:val="both"/>
        <w:rPr>
          <w:rFonts w:ascii="Times New Roman" w:eastAsia="Calibri" w:hAnsi="Times New Roman" w:cs="Times New Roman"/>
          <w:bCs/>
          <w:i/>
          <w:iCs/>
          <w:sz w:val="24"/>
          <w:szCs w:val="24"/>
        </w:rPr>
      </w:pPr>
    </w:p>
    <w:p w14:paraId="50B045D2" w14:textId="77777777" w:rsidR="00245C8D" w:rsidRPr="000A6C76" w:rsidRDefault="00245C8D" w:rsidP="00245C8D">
      <w:pPr>
        <w:spacing w:after="0"/>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Povinnosť viesť register finančných holdingových spoločností so zmiešanou činnosťou, vyplýva z čl. 4 ods. 3 smernice (EÚ) 2024/1640, podľa ktorej všetky povinné osoby musia podliehať registrácii. </w:t>
      </w:r>
      <w:r w:rsidRPr="00D25998">
        <w:rPr>
          <w:rFonts w:ascii="Times New Roman" w:eastAsia="Calibri" w:hAnsi="Times New Roman" w:cs="Times New Roman"/>
          <w:bCs/>
          <w:sz w:val="24"/>
          <w:szCs w:val="24"/>
        </w:rPr>
        <w:t>Finančná holdingová spoločnosť so zmiešanou činnosťou je povinná podať návrh na zápis do 30 dní odo dňa, keď sa zahraničná banka, finančná inštitúcia alebo zahraničná finančná inštitúcia stala jej dcérskou spoločnosťou. </w:t>
      </w:r>
      <w:r>
        <w:rPr>
          <w:rFonts w:ascii="Times New Roman" w:eastAsia="Calibri" w:hAnsi="Times New Roman" w:cs="Times New Roman"/>
          <w:bCs/>
          <w:sz w:val="24"/>
          <w:szCs w:val="24"/>
        </w:rPr>
        <w:t>Vzhľadom na uvedenú podmienku nie je možné vopred stanoviť počet subjektov, ktoré budú podliehať registrácii.</w:t>
      </w:r>
    </w:p>
    <w:p w14:paraId="157366A7" w14:textId="77777777" w:rsidR="00245C8D" w:rsidRDefault="00245C8D" w:rsidP="00245C8D">
      <w:pPr>
        <w:spacing w:after="0"/>
        <w:jc w:val="both"/>
        <w:rPr>
          <w:rFonts w:ascii="Times New Roman" w:eastAsia="Calibri" w:hAnsi="Times New Roman" w:cs="Times New Roman"/>
          <w:bCs/>
          <w:iCs/>
          <w:sz w:val="24"/>
          <w:szCs w:val="24"/>
        </w:rPr>
      </w:pPr>
    </w:p>
    <w:p w14:paraId="7D3804C8" w14:textId="77777777" w:rsidR="00054C41" w:rsidRPr="00895898" w:rsidRDefault="00054C41" w:rsidP="00054C41">
      <w:pPr>
        <w:spacing w:after="0"/>
        <w:jc w:val="both"/>
        <w:rPr>
          <w:rFonts w:ascii="Times New Roman" w:eastAsia="Calibri" w:hAnsi="Times New Roman" w:cs="Times New Roman"/>
          <w:i/>
          <w:color w:val="0070C0"/>
        </w:rPr>
      </w:pPr>
    </w:p>
    <w:p w14:paraId="691C6630" w14:textId="77777777" w:rsidR="00142154" w:rsidRDefault="00142154"/>
    <w:sectPr w:rsidR="00142154" w:rsidSect="00113AD3">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CE1E1" w14:textId="77777777" w:rsidR="00377685" w:rsidRDefault="00377685" w:rsidP="00054C41">
      <w:pPr>
        <w:spacing w:after="0" w:line="240" w:lineRule="auto"/>
      </w:pPr>
      <w:r>
        <w:separator/>
      </w:r>
    </w:p>
  </w:endnote>
  <w:endnote w:type="continuationSeparator" w:id="0">
    <w:p w14:paraId="6DE3ECD4" w14:textId="77777777" w:rsidR="00377685" w:rsidRDefault="0037768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7E134" w14:textId="7B84AA16" w:rsidR="00A1580C" w:rsidRDefault="00A1580C">
    <w:pPr>
      <w:pStyle w:val="Pta"/>
    </w:pPr>
    <w:r>
      <w:rPr>
        <w:noProof/>
        <w:lang w:eastAsia="sk-SK"/>
      </w:rPr>
      <mc:AlternateContent>
        <mc:Choice Requires="wps">
          <w:drawing>
            <wp:anchor distT="0" distB="0" distL="0" distR="0" simplePos="0" relativeHeight="251659264" behindDoc="0" locked="0" layoutInCell="1" allowOverlap="1" wp14:anchorId="2B7E0953" wp14:editId="5A2E92E5">
              <wp:simplePos x="635" y="635"/>
              <wp:positionH relativeFrom="page">
                <wp:align>left</wp:align>
              </wp:positionH>
              <wp:positionV relativeFrom="page">
                <wp:align>bottom</wp:align>
              </wp:positionV>
              <wp:extent cx="443865" cy="443865"/>
              <wp:effectExtent l="0" t="0" r="14605" b="0"/>
              <wp:wrapNone/>
              <wp:docPr id="3" name="Textové pole 3" descr="Interné">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1D092E" w14:textId="40F5F4F0" w:rsidR="00A1580C" w:rsidRPr="00A1580C" w:rsidRDefault="00A1580C" w:rsidP="00A1580C">
                          <w:pPr>
                            <w:spacing w:after="0"/>
                            <w:rPr>
                              <w:rFonts w:ascii="Calibri" w:eastAsia="Calibri" w:hAnsi="Calibri" w:cs="Calibri"/>
                              <w:noProof/>
                              <w:color w:val="000000"/>
                              <w:sz w:val="20"/>
                              <w:szCs w:val="20"/>
                            </w:rPr>
                          </w:pPr>
                          <w:r w:rsidRPr="00A1580C">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B7E0953" id="_x0000_t202" coordsize="21600,21600" o:spt="202" path="m,l,21600r21600,l21600,xe">
              <v:stroke joinstyle="miter"/>
              <v:path gradientshapeok="t" o:connecttype="rect"/>
            </v:shapetype>
            <v:shape id="Textové pole 3" o:spid="_x0000_s1026" type="#_x0000_t202" alt="Interné"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" filled="f" stroked="f">
              <v:textbox style="mso-fit-shape-to-text:t" inset="20pt,0,0,15pt">
                <w:txbxContent>
                  <w:p w14:paraId="3C1D092E" w14:textId="40F5F4F0" w:rsidR="00A1580C" w:rsidRPr="00A1580C" w:rsidRDefault="00A1580C" w:rsidP="00A1580C">
                    <w:pPr>
                      <w:spacing w:after="0"/>
                      <w:rPr>
                        <w:rFonts w:ascii="Calibri" w:eastAsia="Calibri" w:hAnsi="Calibri" w:cs="Calibri"/>
                        <w:noProof/>
                        <w:color w:val="000000"/>
                        <w:sz w:val="20"/>
                        <w:szCs w:val="20"/>
                      </w:rPr>
                    </w:pPr>
                    <w:r w:rsidRPr="00A1580C">
                      <w:rPr>
                        <w:rFonts w:ascii="Calibri" w:eastAsia="Calibri" w:hAnsi="Calibri" w:cs="Calibri"/>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68C3A" w14:textId="49646328" w:rsidR="009E52C4" w:rsidRPr="006045CB" w:rsidRDefault="00377685" w:rsidP="00054C41">
    <w:pPr>
      <w:pStyle w:val="Pta"/>
      <w:jc w:val="right"/>
      <w:rPr>
        <w:rFonts w:ascii="Times New Roman" w:hAnsi="Times New Roman" w:cs="Times New Roman"/>
        <w:sz w:val="24"/>
        <w:szCs w:val="24"/>
      </w:rPr>
    </w:pPr>
    <w:sdt>
      <w:sdtPr>
        <w:id w:val="726035099"/>
        <w:docPartObj>
          <w:docPartGallery w:val="Page Numbers (Bottom of Page)"/>
          <w:docPartUnique/>
        </w:docPartObj>
      </w:sdtPr>
      <w:sdtEndPr>
        <w:rPr>
          <w:rFonts w:ascii="Times New Roman" w:hAnsi="Times New Roman" w:cs="Times New Roman"/>
          <w:sz w:val="24"/>
          <w:szCs w:val="24"/>
        </w:rPr>
      </w:sdtEndPr>
      <w:sdtContent>
        <w:r w:rsidR="009E52C4" w:rsidRPr="006045CB">
          <w:rPr>
            <w:rFonts w:ascii="Times New Roman" w:hAnsi="Times New Roman" w:cs="Times New Roman"/>
            <w:sz w:val="24"/>
            <w:szCs w:val="24"/>
          </w:rPr>
          <w:fldChar w:fldCharType="begin"/>
        </w:r>
        <w:r w:rsidR="009E52C4" w:rsidRPr="006045CB">
          <w:rPr>
            <w:rFonts w:ascii="Times New Roman" w:hAnsi="Times New Roman" w:cs="Times New Roman"/>
            <w:sz w:val="24"/>
            <w:szCs w:val="24"/>
          </w:rPr>
          <w:instrText>PAGE   \* MERGEFORMAT</w:instrText>
        </w:r>
        <w:r w:rsidR="009E52C4" w:rsidRPr="006045CB">
          <w:rPr>
            <w:rFonts w:ascii="Times New Roman" w:hAnsi="Times New Roman" w:cs="Times New Roman"/>
            <w:sz w:val="24"/>
            <w:szCs w:val="24"/>
          </w:rPr>
          <w:fldChar w:fldCharType="separate"/>
        </w:r>
        <w:r w:rsidR="001F264A">
          <w:rPr>
            <w:rFonts w:ascii="Times New Roman" w:hAnsi="Times New Roman" w:cs="Times New Roman"/>
            <w:noProof/>
            <w:sz w:val="24"/>
            <w:szCs w:val="24"/>
          </w:rPr>
          <w:t>3</w:t>
        </w:r>
        <w:r w:rsidR="009E52C4" w:rsidRPr="006045CB">
          <w:rPr>
            <w:rFonts w:ascii="Times New Roman" w:hAnsi="Times New Roman" w:cs="Times New Roman"/>
            <w:sz w:val="24"/>
            <w:szCs w:val="24"/>
          </w:rPr>
          <w:fldChar w:fldCharType="end"/>
        </w:r>
      </w:sdtContent>
    </w:sdt>
  </w:p>
  <w:p w14:paraId="227E8A81" w14:textId="77777777" w:rsidR="009E52C4" w:rsidRPr="00FF7125" w:rsidRDefault="009E52C4" w:rsidP="00054C41">
    <w:pPr>
      <w:pStyle w:val="Pta"/>
      <w:rPr>
        <w:sz w:val="24"/>
        <w:szCs w:val="24"/>
      </w:rPr>
    </w:pPr>
  </w:p>
  <w:p w14:paraId="6B942D09" w14:textId="77777777" w:rsidR="009E52C4" w:rsidRDefault="009E52C4">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A2F42" w14:textId="1C0A1FD4" w:rsidR="00A1580C" w:rsidRDefault="00A1580C">
    <w:pPr>
      <w:pStyle w:val="Pta"/>
    </w:pPr>
    <w:r>
      <w:rPr>
        <w:noProof/>
        <w:lang w:eastAsia="sk-SK"/>
      </w:rPr>
      <mc:AlternateContent>
        <mc:Choice Requires="wps">
          <w:drawing>
            <wp:anchor distT="0" distB="0" distL="0" distR="0" simplePos="0" relativeHeight="251658240" behindDoc="0" locked="0" layoutInCell="1" allowOverlap="1" wp14:anchorId="4B73CAED" wp14:editId="76C23E8F">
              <wp:simplePos x="635" y="635"/>
              <wp:positionH relativeFrom="page">
                <wp:align>left</wp:align>
              </wp:positionH>
              <wp:positionV relativeFrom="page">
                <wp:align>bottom</wp:align>
              </wp:positionV>
              <wp:extent cx="443865" cy="443865"/>
              <wp:effectExtent l="0" t="0" r="14605" b="0"/>
              <wp:wrapNone/>
              <wp:docPr id="2" name="Textové pole 2" descr="Interné">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2CDED5" w14:textId="1E6D6095" w:rsidR="00A1580C" w:rsidRPr="00A1580C" w:rsidRDefault="00A1580C" w:rsidP="00A1580C">
                          <w:pPr>
                            <w:spacing w:after="0"/>
                            <w:rPr>
                              <w:rFonts w:ascii="Calibri" w:eastAsia="Calibri" w:hAnsi="Calibri" w:cs="Calibri"/>
                              <w:noProof/>
                              <w:color w:val="000000"/>
                              <w:sz w:val="20"/>
                              <w:szCs w:val="20"/>
                            </w:rPr>
                          </w:pPr>
                          <w:r w:rsidRPr="00A1580C">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B73CAED" id="_x0000_t202" coordsize="21600,21600" o:spt="202" path="m,l,21600r21600,l21600,xe">
              <v:stroke joinstyle="miter"/>
              <v:path gradientshapeok="t" o:connecttype="rect"/>
            </v:shapetype>
            <v:shape id="Textové pole 2" o:spid="_x0000_s1027" type="#_x0000_t202" alt="Interné"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" filled="f" stroked="f">
              <v:textbox style="mso-fit-shape-to-text:t" inset="20pt,0,0,15pt">
                <w:txbxContent>
                  <w:p w14:paraId="522CDED5" w14:textId="1E6D6095" w:rsidR="00A1580C" w:rsidRPr="00A1580C" w:rsidRDefault="00A1580C" w:rsidP="00A1580C">
                    <w:pPr>
                      <w:spacing w:after="0"/>
                      <w:rPr>
                        <w:rFonts w:ascii="Calibri" w:eastAsia="Calibri" w:hAnsi="Calibri" w:cs="Calibri"/>
                        <w:noProof/>
                        <w:color w:val="000000"/>
                        <w:sz w:val="20"/>
                        <w:szCs w:val="20"/>
                      </w:rPr>
                    </w:pPr>
                    <w:r w:rsidRPr="00A1580C">
                      <w:rPr>
                        <w:rFonts w:ascii="Calibri" w:eastAsia="Calibri" w:hAnsi="Calibri" w:cs="Calibri"/>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FC7570" w14:textId="77777777" w:rsidR="00377685" w:rsidRDefault="00377685" w:rsidP="00054C41">
      <w:pPr>
        <w:spacing w:after="0" w:line="240" w:lineRule="auto"/>
      </w:pPr>
      <w:r>
        <w:separator/>
      </w:r>
    </w:p>
  </w:footnote>
  <w:footnote w:type="continuationSeparator" w:id="0">
    <w:p w14:paraId="20094316" w14:textId="77777777" w:rsidR="00377685" w:rsidRDefault="00377685" w:rsidP="00054C41">
      <w:pPr>
        <w:spacing w:after="0" w:line="240" w:lineRule="auto"/>
      </w:pPr>
      <w:r>
        <w:continuationSeparator/>
      </w:r>
    </w:p>
  </w:footnote>
  <w:footnote w:id="1">
    <w:p w14:paraId="219C0E58" w14:textId="77777777" w:rsidR="009E52C4" w:rsidRPr="00ED0A1D" w:rsidRDefault="009E52C4">
      <w:pPr>
        <w:pStyle w:val="Textpoznmkypodiarou"/>
        <w:rPr>
          <w:rFonts w:ascii="Times New Roman" w:hAnsi="Times New Roman" w:cs="Times New Roman"/>
        </w:rPr>
      </w:pPr>
      <w:r>
        <w:rPr>
          <w:rStyle w:val="Odkaznapoznmkupodiarou"/>
        </w:rPr>
        <w:footnoteRef/>
      </w:r>
      <w:r>
        <w:t xml:space="preserve">  </w:t>
      </w:r>
      <w:hyperlink r:id="rId1" w:history="1">
        <w:r w:rsidRPr="00ED0A1D">
          <w:rPr>
            <w:rStyle w:val="Hypertextovprepojenie"/>
            <w:rFonts w:ascii="Times New Roman" w:hAnsi="Times New Roman" w:cs="Times New Roman"/>
          </w:rPr>
          <w:t>https://subjekty.nbs.sk/?ll=sk</w:t>
        </w:r>
      </w:hyperlink>
      <w:r w:rsidRPr="00ED0A1D">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1BC33336"/>
    <w:multiLevelType w:val="hybridMultilevel"/>
    <w:tmpl w:val="79623CEE"/>
    <w:lvl w:ilvl="0" w:tplc="89EEFFD6">
      <w:start w:val="24"/>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829418F"/>
    <w:multiLevelType w:val="hybridMultilevel"/>
    <w:tmpl w:val="E9A4F5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8AD12DA"/>
    <w:multiLevelType w:val="hybridMultilevel"/>
    <w:tmpl w:val="D096AD00"/>
    <w:lvl w:ilvl="0" w:tplc="3CA62564">
      <w:start w:val="24"/>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48F5817"/>
    <w:multiLevelType w:val="hybridMultilevel"/>
    <w:tmpl w:val="2248A936"/>
    <w:lvl w:ilvl="0" w:tplc="6EE254B6">
      <w:start w:val="24"/>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FF33167"/>
    <w:multiLevelType w:val="multilevel"/>
    <w:tmpl w:val="D480B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23501E"/>
    <w:multiLevelType w:val="hybridMultilevel"/>
    <w:tmpl w:val="19B4974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0144EE"/>
    <w:multiLevelType w:val="hybridMultilevel"/>
    <w:tmpl w:val="520E77E8"/>
    <w:lvl w:ilvl="0" w:tplc="9DA439F8">
      <w:start w:val="4"/>
      <w:numFmt w:val="decimal"/>
      <w:lvlText w:val="%1."/>
      <w:lvlJc w:val="left"/>
      <w:pPr>
        <w:ind w:left="1080" w:hanging="360"/>
      </w:p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10" w15:restartNumberingAfterBreak="0">
    <w:nsid w:val="6F252805"/>
    <w:multiLevelType w:val="hybridMultilevel"/>
    <w:tmpl w:val="74CC4C46"/>
    <w:lvl w:ilvl="0" w:tplc="1952A8A6">
      <w:start w:val="1"/>
      <w:numFmt w:val="upperRoman"/>
      <w:lvlText w:val="%1."/>
      <w:lvlJc w:val="left"/>
      <w:pPr>
        <w:ind w:left="1080" w:hanging="720"/>
      </w:pPr>
      <w:rPr>
        <w:rFonts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2"/>
  </w:num>
  <w:num w:numId="4">
    <w:abstractNumId w:val="10"/>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2"/>
  </w:num>
  <w:num w:numId="12">
    <w:abstractNumId w:val="5"/>
  </w:num>
  <w:num w:numId="13">
    <w:abstractNumId w:val="4"/>
  </w:num>
  <w:num w:numId="14">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01D0"/>
    <w:rsid w:val="0001529A"/>
    <w:rsid w:val="0003208B"/>
    <w:rsid w:val="00042603"/>
    <w:rsid w:val="00054C41"/>
    <w:rsid w:val="00060DA1"/>
    <w:rsid w:val="00065F66"/>
    <w:rsid w:val="00066132"/>
    <w:rsid w:val="000B73F4"/>
    <w:rsid w:val="000C5E9A"/>
    <w:rsid w:val="000D0CFA"/>
    <w:rsid w:val="000F39F5"/>
    <w:rsid w:val="001106FE"/>
    <w:rsid w:val="00113AD3"/>
    <w:rsid w:val="0011482A"/>
    <w:rsid w:val="00116BF1"/>
    <w:rsid w:val="00142154"/>
    <w:rsid w:val="00145846"/>
    <w:rsid w:val="001715B8"/>
    <w:rsid w:val="00175DE6"/>
    <w:rsid w:val="00185EFE"/>
    <w:rsid w:val="001B1E9F"/>
    <w:rsid w:val="001B4C03"/>
    <w:rsid w:val="001D1083"/>
    <w:rsid w:val="001D3FA0"/>
    <w:rsid w:val="001E53CB"/>
    <w:rsid w:val="001F264A"/>
    <w:rsid w:val="00210B05"/>
    <w:rsid w:val="00214EAC"/>
    <w:rsid w:val="00225A83"/>
    <w:rsid w:val="0023327B"/>
    <w:rsid w:val="00233975"/>
    <w:rsid w:val="00236403"/>
    <w:rsid w:val="00245C8D"/>
    <w:rsid w:val="00265254"/>
    <w:rsid w:val="00270EA5"/>
    <w:rsid w:val="002912D1"/>
    <w:rsid w:val="002B3315"/>
    <w:rsid w:val="00320745"/>
    <w:rsid w:val="00325113"/>
    <w:rsid w:val="00340CFD"/>
    <w:rsid w:val="00377685"/>
    <w:rsid w:val="00380593"/>
    <w:rsid w:val="0038255E"/>
    <w:rsid w:val="00391648"/>
    <w:rsid w:val="00392B47"/>
    <w:rsid w:val="0039304E"/>
    <w:rsid w:val="003E58B8"/>
    <w:rsid w:val="003F06D7"/>
    <w:rsid w:val="00407D18"/>
    <w:rsid w:val="00415B76"/>
    <w:rsid w:val="00445638"/>
    <w:rsid w:val="00446432"/>
    <w:rsid w:val="00456478"/>
    <w:rsid w:val="004A4117"/>
    <w:rsid w:val="004A4499"/>
    <w:rsid w:val="004B79D1"/>
    <w:rsid w:val="004C0BD2"/>
    <w:rsid w:val="004D20CB"/>
    <w:rsid w:val="004D7ECD"/>
    <w:rsid w:val="004E57AA"/>
    <w:rsid w:val="0050015C"/>
    <w:rsid w:val="00532EF6"/>
    <w:rsid w:val="005335A7"/>
    <w:rsid w:val="00594FDF"/>
    <w:rsid w:val="005C4246"/>
    <w:rsid w:val="005D3B72"/>
    <w:rsid w:val="005D6ECC"/>
    <w:rsid w:val="006215B5"/>
    <w:rsid w:val="0063151F"/>
    <w:rsid w:val="0065314A"/>
    <w:rsid w:val="006A6CEC"/>
    <w:rsid w:val="006B4926"/>
    <w:rsid w:val="006C233F"/>
    <w:rsid w:val="006C3090"/>
    <w:rsid w:val="00702E96"/>
    <w:rsid w:val="007259CB"/>
    <w:rsid w:val="00735EAF"/>
    <w:rsid w:val="0077106D"/>
    <w:rsid w:val="00783331"/>
    <w:rsid w:val="007B40FB"/>
    <w:rsid w:val="007B6516"/>
    <w:rsid w:val="007E24B2"/>
    <w:rsid w:val="007E3BB0"/>
    <w:rsid w:val="008634E9"/>
    <w:rsid w:val="008801B5"/>
    <w:rsid w:val="008841A8"/>
    <w:rsid w:val="00886C3A"/>
    <w:rsid w:val="0088734A"/>
    <w:rsid w:val="008B08AB"/>
    <w:rsid w:val="008B4AA1"/>
    <w:rsid w:val="008C1C71"/>
    <w:rsid w:val="008C2D94"/>
    <w:rsid w:val="00923C0C"/>
    <w:rsid w:val="00931F33"/>
    <w:rsid w:val="0095305E"/>
    <w:rsid w:val="009846EC"/>
    <w:rsid w:val="00994A0B"/>
    <w:rsid w:val="009A4D56"/>
    <w:rsid w:val="009B21C1"/>
    <w:rsid w:val="009E09F7"/>
    <w:rsid w:val="009E52C4"/>
    <w:rsid w:val="009F1529"/>
    <w:rsid w:val="009F55C1"/>
    <w:rsid w:val="00A000DA"/>
    <w:rsid w:val="00A12F71"/>
    <w:rsid w:val="00A1580C"/>
    <w:rsid w:val="00A1736E"/>
    <w:rsid w:val="00A429D0"/>
    <w:rsid w:val="00A818F8"/>
    <w:rsid w:val="00A843B5"/>
    <w:rsid w:val="00A92583"/>
    <w:rsid w:val="00AA4805"/>
    <w:rsid w:val="00AA7C19"/>
    <w:rsid w:val="00AD674E"/>
    <w:rsid w:val="00AE6C27"/>
    <w:rsid w:val="00B13F88"/>
    <w:rsid w:val="00B44FE3"/>
    <w:rsid w:val="00B50758"/>
    <w:rsid w:val="00B53040"/>
    <w:rsid w:val="00B546A6"/>
    <w:rsid w:val="00B56D02"/>
    <w:rsid w:val="00B66E33"/>
    <w:rsid w:val="00B82326"/>
    <w:rsid w:val="00B862E1"/>
    <w:rsid w:val="00BC424D"/>
    <w:rsid w:val="00BD06F5"/>
    <w:rsid w:val="00BD0EF7"/>
    <w:rsid w:val="00C21399"/>
    <w:rsid w:val="00C2330F"/>
    <w:rsid w:val="00C3269D"/>
    <w:rsid w:val="00C560C4"/>
    <w:rsid w:val="00C6748F"/>
    <w:rsid w:val="00C94E7C"/>
    <w:rsid w:val="00CB00B1"/>
    <w:rsid w:val="00CC7531"/>
    <w:rsid w:val="00CD2B34"/>
    <w:rsid w:val="00D005F2"/>
    <w:rsid w:val="00D12161"/>
    <w:rsid w:val="00D21ADC"/>
    <w:rsid w:val="00D34639"/>
    <w:rsid w:val="00D52E79"/>
    <w:rsid w:val="00D631FA"/>
    <w:rsid w:val="00D730C7"/>
    <w:rsid w:val="00D75161"/>
    <w:rsid w:val="00D82356"/>
    <w:rsid w:val="00D84EEE"/>
    <w:rsid w:val="00D90A61"/>
    <w:rsid w:val="00D91734"/>
    <w:rsid w:val="00DA06E5"/>
    <w:rsid w:val="00DB0414"/>
    <w:rsid w:val="00DE10BE"/>
    <w:rsid w:val="00DE628D"/>
    <w:rsid w:val="00DF02CE"/>
    <w:rsid w:val="00E030DA"/>
    <w:rsid w:val="00E14490"/>
    <w:rsid w:val="00E47968"/>
    <w:rsid w:val="00E808E6"/>
    <w:rsid w:val="00EB2BEC"/>
    <w:rsid w:val="00EC0704"/>
    <w:rsid w:val="00ED04F5"/>
    <w:rsid w:val="00ED0A1D"/>
    <w:rsid w:val="00ED6B5D"/>
    <w:rsid w:val="00ED6FC0"/>
    <w:rsid w:val="00EE4C99"/>
    <w:rsid w:val="00F02952"/>
    <w:rsid w:val="00F23264"/>
    <w:rsid w:val="00F3694E"/>
    <w:rsid w:val="00F45EEB"/>
    <w:rsid w:val="00F74FC9"/>
    <w:rsid w:val="00F7790C"/>
    <w:rsid w:val="00F949B8"/>
    <w:rsid w:val="00F95B68"/>
    <w:rsid w:val="00FF414B"/>
    <w:rsid w:val="00FF4B7A"/>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E62F9"/>
  <w15:chartTrackingRefBased/>
  <w15:docId w15:val="{5AD28205-2372-43EF-B03B-17AA7AB8E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aliases w:val="webb"/>
    <w:basedOn w:val="Normlny"/>
    <w:uiPriority w:val="34"/>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character" w:styleId="Hypertextovprepojenie">
    <w:name w:val="Hyperlink"/>
    <w:basedOn w:val="Predvolenpsmoodseku"/>
    <w:uiPriority w:val="99"/>
    <w:unhideWhenUsed/>
    <w:rsid w:val="00415B76"/>
    <w:rPr>
      <w:color w:val="0563C1" w:themeColor="hyperlink"/>
      <w:u w:val="single"/>
    </w:rPr>
  </w:style>
  <w:style w:type="paragraph" w:styleId="Textpoznmkypodiarou">
    <w:name w:val="footnote text"/>
    <w:basedOn w:val="Normlny"/>
    <w:link w:val="TextpoznmkypodiarouChar"/>
    <w:uiPriority w:val="99"/>
    <w:semiHidden/>
    <w:unhideWhenUsed/>
    <w:rsid w:val="00415B76"/>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415B76"/>
    <w:rPr>
      <w:sz w:val="20"/>
      <w:szCs w:val="20"/>
    </w:rPr>
  </w:style>
  <w:style w:type="character" w:styleId="Odkaznapoznmkupodiarou">
    <w:name w:val="footnote reference"/>
    <w:basedOn w:val="Predvolenpsmoodseku"/>
    <w:uiPriority w:val="99"/>
    <w:semiHidden/>
    <w:unhideWhenUsed/>
    <w:rsid w:val="00415B76"/>
    <w:rPr>
      <w:vertAlign w:val="superscript"/>
    </w:rPr>
  </w:style>
  <w:style w:type="character" w:customStyle="1" w:styleId="normaltextrun">
    <w:name w:val="normaltextrun"/>
    <w:basedOn w:val="Predvolenpsmoodseku"/>
    <w:rsid w:val="00245C8D"/>
  </w:style>
  <w:style w:type="character" w:customStyle="1" w:styleId="eop">
    <w:name w:val="eop"/>
    <w:basedOn w:val="Predvolenpsmoodseku"/>
    <w:rsid w:val="00245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2653">
      <w:bodyDiv w:val="1"/>
      <w:marLeft w:val="0"/>
      <w:marRight w:val="0"/>
      <w:marTop w:val="0"/>
      <w:marBottom w:val="0"/>
      <w:divBdr>
        <w:top w:val="none" w:sz="0" w:space="0" w:color="auto"/>
        <w:left w:val="none" w:sz="0" w:space="0" w:color="auto"/>
        <w:bottom w:val="none" w:sz="0" w:space="0" w:color="auto"/>
        <w:right w:val="none" w:sz="0" w:space="0" w:color="auto"/>
      </w:divBdr>
    </w:div>
    <w:div w:id="105320886">
      <w:bodyDiv w:val="1"/>
      <w:marLeft w:val="0"/>
      <w:marRight w:val="0"/>
      <w:marTop w:val="0"/>
      <w:marBottom w:val="0"/>
      <w:divBdr>
        <w:top w:val="none" w:sz="0" w:space="0" w:color="auto"/>
        <w:left w:val="none" w:sz="0" w:space="0" w:color="auto"/>
        <w:bottom w:val="none" w:sz="0" w:space="0" w:color="auto"/>
        <w:right w:val="none" w:sz="0" w:space="0" w:color="auto"/>
      </w:divBdr>
    </w:div>
    <w:div w:id="200553238">
      <w:bodyDiv w:val="1"/>
      <w:marLeft w:val="0"/>
      <w:marRight w:val="0"/>
      <w:marTop w:val="0"/>
      <w:marBottom w:val="0"/>
      <w:divBdr>
        <w:top w:val="none" w:sz="0" w:space="0" w:color="auto"/>
        <w:left w:val="none" w:sz="0" w:space="0" w:color="auto"/>
        <w:bottom w:val="none" w:sz="0" w:space="0" w:color="auto"/>
        <w:right w:val="none" w:sz="0" w:space="0" w:color="auto"/>
      </w:divBdr>
    </w:div>
    <w:div w:id="276259992">
      <w:bodyDiv w:val="1"/>
      <w:marLeft w:val="0"/>
      <w:marRight w:val="0"/>
      <w:marTop w:val="0"/>
      <w:marBottom w:val="0"/>
      <w:divBdr>
        <w:top w:val="none" w:sz="0" w:space="0" w:color="auto"/>
        <w:left w:val="none" w:sz="0" w:space="0" w:color="auto"/>
        <w:bottom w:val="none" w:sz="0" w:space="0" w:color="auto"/>
        <w:right w:val="none" w:sz="0" w:space="0" w:color="auto"/>
      </w:divBdr>
    </w:div>
    <w:div w:id="278293431">
      <w:bodyDiv w:val="1"/>
      <w:marLeft w:val="0"/>
      <w:marRight w:val="0"/>
      <w:marTop w:val="0"/>
      <w:marBottom w:val="0"/>
      <w:divBdr>
        <w:top w:val="none" w:sz="0" w:space="0" w:color="auto"/>
        <w:left w:val="none" w:sz="0" w:space="0" w:color="auto"/>
        <w:bottom w:val="none" w:sz="0" w:space="0" w:color="auto"/>
        <w:right w:val="none" w:sz="0" w:space="0" w:color="auto"/>
      </w:divBdr>
    </w:div>
    <w:div w:id="435563414">
      <w:bodyDiv w:val="1"/>
      <w:marLeft w:val="0"/>
      <w:marRight w:val="0"/>
      <w:marTop w:val="0"/>
      <w:marBottom w:val="0"/>
      <w:divBdr>
        <w:top w:val="none" w:sz="0" w:space="0" w:color="auto"/>
        <w:left w:val="none" w:sz="0" w:space="0" w:color="auto"/>
        <w:bottom w:val="none" w:sz="0" w:space="0" w:color="auto"/>
        <w:right w:val="none" w:sz="0" w:space="0" w:color="auto"/>
      </w:divBdr>
    </w:div>
    <w:div w:id="446123906">
      <w:bodyDiv w:val="1"/>
      <w:marLeft w:val="0"/>
      <w:marRight w:val="0"/>
      <w:marTop w:val="0"/>
      <w:marBottom w:val="0"/>
      <w:divBdr>
        <w:top w:val="none" w:sz="0" w:space="0" w:color="auto"/>
        <w:left w:val="none" w:sz="0" w:space="0" w:color="auto"/>
        <w:bottom w:val="none" w:sz="0" w:space="0" w:color="auto"/>
        <w:right w:val="none" w:sz="0" w:space="0" w:color="auto"/>
      </w:divBdr>
    </w:div>
    <w:div w:id="465783124">
      <w:bodyDiv w:val="1"/>
      <w:marLeft w:val="0"/>
      <w:marRight w:val="0"/>
      <w:marTop w:val="0"/>
      <w:marBottom w:val="0"/>
      <w:divBdr>
        <w:top w:val="none" w:sz="0" w:space="0" w:color="auto"/>
        <w:left w:val="none" w:sz="0" w:space="0" w:color="auto"/>
        <w:bottom w:val="none" w:sz="0" w:space="0" w:color="auto"/>
        <w:right w:val="none" w:sz="0" w:space="0" w:color="auto"/>
      </w:divBdr>
    </w:div>
    <w:div w:id="730465191">
      <w:bodyDiv w:val="1"/>
      <w:marLeft w:val="0"/>
      <w:marRight w:val="0"/>
      <w:marTop w:val="0"/>
      <w:marBottom w:val="0"/>
      <w:divBdr>
        <w:top w:val="none" w:sz="0" w:space="0" w:color="auto"/>
        <w:left w:val="none" w:sz="0" w:space="0" w:color="auto"/>
        <w:bottom w:val="none" w:sz="0" w:space="0" w:color="auto"/>
        <w:right w:val="none" w:sz="0" w:space="0" w:color="auto"/>
      </w:divBdr>
    </w:div>
    <w:div w:id="901797585">
      <w:bodyDiv w:val="1"/>
      <w:marLeft w:val="0"/>
      <w:marRight w:val="0"/>
      <w:marTop w:val="0"/>
      <w:marBottom w:val="0"/>
      <w:divBdr>
        <w:top w:val="none" w:sz="0" w:space="0" w:color="auto"/>
        <w:left w:val="none" w:sz="0" w:space="0" w:color="auto"/>
        <w:bottom w:val="none" w:sz="0" w:space="0" w:color="auto"/>
        <w:right w:val="none" w:sz="0" w:space="0" w:color="auto"/>
      </w:divBdr>
    </w:div>
    <w:div w:id="995718976">
      <w:bodyDiv w:val="1"/>
      <w:marLeft w:val="0"/>
      <w:marRight w:val="0"/>
      <w:marTop w:val="0"/>
      <w:marBottom w:val="0"/>
      <w:divBdr>
        <w:top w:val="none" w:sz="0" w:space="0" w:color="auto"/>
        <w:left w:val="none" w:sz="0" w:space="0" w:color="auto"/>
        <w:bottom w:val="none" w:sz="0" w:space="0" w:color="auto"/>
        <w:right w:val="none" w:sz="0" w:space="0" w:color="auto"/>
      </w:divBdr>
    </w:div>
    <w:div w:id="1129669665">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90744666">
      <w:bodyDiv w:val="1"/>
      <w:marLeft w:val="0"/>
      <w:marRight w:val="0"/>
      <w:marTop w:val="0"/>
      <w:marBottom w:val="0"/>
      <w:divBdr>
        <w:top w:val="none" w:sz="0" w:space="0" w:color="auto"/>
        <w:left w:val="none" w:sz="0" w:space="0" w:color="auto"/>
        <w:bottom w:val="none" w:sz="0" w:space="0" w:color="auto"/>
        <w:right w:val="none" w:sz="0" w:space="0" w:color="auto"/>
      </w:divBdr>
    </w:div>
    <w:div w:id="1292321892">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480073602">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53871319">
      <w:bodyDiv w:val="1"/>
      <w:marLeft w:val="0"/>
      <w:marRight w:val="0"/>
      <w:marTop w:val="0"/>
      <w:marBottom w:val="0"/>
      <w:divBdr>
        <w:top w:val="none" w:sz="0" w:space="0" w:color="auto"/>
        <w:left w:val="none" w:sz="0" w:space="0" w:color="auto"/>
        <w:bottom w:val="none" w:sz="0" w:space="0" w:color="auto"/>
        <w:right w:val="none" w:sz="0" w:space="0" w:color="auto"/>
      </w:divBdr>
    </w:div>
    <w:div w:id="1723822228">
      <w:bodyDiv w:val="1"/>
      <w:marLeft w:val="0"/>
      <w:marRight w:val="0"/>
      <w:marTop w:val="0"/>
      <w:marBottom w:val="0"/>
      <w:divBdr>
        <w:top w:val="none" w:sz="0" w:space="0" w:color="auto"/>
        <w:left w:val="none" w:sz="0" w:space="0" w:color="auto"/>
        <w:bottom w:val="none" w:sz="0" w:space="0" w:color="auto"/>
        <w:right w:val="none" w:sz="0" w:space="0" w:color="auto"/>
      </w:divBdr>
    </w:div>
    <w:div w:id="1816485164">
      <w:bodyDiv w:val="1"/>
      <w:marLeft w:val="0"/>
      <w:marRight w:val="0"/>
      <w:marTop w:val="0"/>
      <w:marBottom w:val="0"/>
      <w:divBdr>
        <w:top w:val="none" w:sz="0" w:space="0" w:color="auto"/>
        <w:left w:val="none" w:sz="0" w:space="0" w:color="auto"/>
        <w:bottom w:val="none" w:sz="0" w:space="0" w:color="auto"/>
        <w:right w:val="none" w:sz="0" w:space="0" w:color="auto"/>
      </w:divBdr>
    </w:div>
    <w:div w:id="1872452421">
      <w:bodyDiv w:val="1"/>
      <w:marLeft w:val="0"/>
      <w:marRight w:val="0"/>
      <w:marTop w:val="0"/>
      <w:marBottom w:val="0"/>
      <w:divBdr>
        <w:top w:val="none" w:sz="0" w:space="0" w:color="auto"/>
        <w:left w:val="none" w:sz="0" w:space="0" w:color="auto"/>
        <w:bottom w:val="none" w:sz="0" w:space="0" w:color="auto"/>
        <w:right w:val="none" w:sz="0" w:space="0" w:color="auto"/>
      </w:divBdr>
    </w:div>
    <w:div w:id="1898590214">
      <w:bodyDiv w:val="1"/>
      <w:marLeft w:val="0"/>
      <w:marRight w:val="0"/>
      <w:marTop w:val="0"/>
      <w:marBottom w:val="0"/>
      <w:divBdr>
        <w:top w:val="none" w:sz="0" w:space="0" w:color="auto"/>
        <w:left w:val="none" w:sz="0" w:space="0" w:color="auto"/>
        <w:bottom w:val="none" w:sz="0" w:space="0" w:color="auto"/>
        <w:right w:val="none" w:sz="0" w:space="0" w:color="auto"/>
      </w:divBdr>
    </w:div>
    <w:div w:id="1990405263">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lov-lex.sk/elegislativa/legislativne-procesy/SK/PI/2026/51"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subjekty.nbs.sk/?ll=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0"/>
    <f:field ref="objvalidfrom" date="" text="" edit="true"/>
    <f:field ref="objvalidto" date="" text=""/>
    <f:field ref="FSCFOLIO_1_1001_FieldReleasedVersionDate" text=""/>
    <f:field ref="FSCFOLIO_1_1001_FieldReleasedVersionNr" text=""/>
    <f:field ref="CCAPRECONFIG_15_1001_Objektname" text="Analyza vplyvov na podnikatelske prostredie"/>
    <f:field ref="objname" text="Analyza vplyvov na podnikatelske prostredie"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E33AE9C2-D89C-4324-A0F6-FB816CAB3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4092</Words>
  <Characters>23326</Characters>
  <Application>Microsoft Office Word</Application>
  <DocSecurity>0</DocSecurity>
  <Lines>194</Lines>
  <Paragraphs>54</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Juraj Beník</cp:lastModifiedBy>
  <cp:revision>23</cp:revision>
  <dcterms:created xsi:type="dcterms:W3CDTF">2026-09-03T10:48:00Z</dcterms:created>
  <dcterms:modified xsi:type="dcterms:W3CDTF">2026-10-28T12:23:00Z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COO.2176.360.2.2550463</vt:lpwstr>
  </property>
  <property fmtid="{D5CDD505-2E9C-101B-9397-08002B2CF9AE}" pid="152" name="FSC#FSCFOLIO@1.1001:docpropproject">
    <vt:lpwstr/>
  </property>
  <property fmtid="{D5CDD505-2E9C-101B-9397-08002B2CF9AE}" pid="153" name="ClassificationContentMarkingFooterShapeIds">
    <vt:lpwstr>2,3,4</vt:lpwstr>
  </property>
  <property fmtid="{D5CDD505-2E9C-101B-9397-08002B2CF9AE}" pid="154" name="ClassificationContentMarkingFooterFontProps">
    <vt:lpwstr>#000000,10,Calibri</vt:lpwstr>
  </property>
  <property fmtid="{D5CDD505-2E9C-101B-9397-08002B2CF9AE}" pid="155" name="ClassificationContentMarkingFooterText">
    <vt:lpwstr>Interné</vt:lpwstr>
  </property>
  <property fmtid="{D5CDD505-2E9C-101B-9397-08002B2CF9AE}" pid="156" name="MSIP_Label_4c805978-f532-4a1a-b9e1-4e19c2c6466f_Enabled">
    <vt:lpwstr>true</vt:lpwstr>
  </property>
  <property fmtid="{D5CDD505-2E9C-101B-9397-08002B2CF9AE}" pid="157" name="MSIP_Label_4c805978-f532-4a1a-b9e1-4e19c2c6466f_SetDate">
    <vt:lpwstr>2026-08-11T06:25:36Z</vt:lpwstr>
  </property>
  <property fmtid="{D5CDD505-2E9C-101B-9397-08002B2CF9AE}" pid="158" name="MSIP_Label_4c805978-f532-4a1a-b9e1-4e19c2c6466f_Method">
    <vt:lpwstr>Standard</vt:lpwstr>
  </property>
  <property fmtid="{D5CDD505-2E9C-101B-9397-08002B2CF9AE}" pid="159" name="MSIP_Label_4c805978-f532-4a1a-b9e1-4e19c2c6466f_Name">
    <vt:lpwstr>Internal</vt:lpwstr>
  </property>
  <property fmtid="{D5CDD505-2E9C-101B-9397-08002B2CF9AE}" pid="160" name="MSIP_Label_4c805978-f532-4a1a-b9e1-4e19c2c6466f_SiteId">
    <vt:lpwstr>579df390-dbff-49fd-8f10-624670566482</vt:lpwstr>
  </property>
  <property fmtid="{D5CDD505-2E9C-101B-9397-08002B2CF9AE}" pid="161" name="MSIP_Label_4c805978-f532-4a1a-b9e1-4e19c2c6466f_ActionId">
    <vt:lpwstr>00c7f563-3aad-4bff-80ec-a858ad574889</vt:lpwstr>
  </property>
  <property fmtid="{D5CDD505-2E9C-101B-9397-08002B2CF9AE}" pid="162" name="MSIP_Label_4c805978-f532-4a1a-b9e1-4e19c2c6466f_ContentBits">
    <vt:lpwstr>2</vt:lpwstr>
  </property>
  <property fmtid="{D5CDD505-2E9C-101B-9397-08002B2CF9AE}" pid="163" name="FSC#SKEDITIONREG@103.510:zaz_addressee_iban">
    <vt:lpwstr/>
  </property>
  <property fmtid="{D5CDD505-2E9C-101B-9397-08002B2CF9AE}" pid="164" name="FSC#SKCONV@103.510:docname">
    <vt:lpwstr/>
  </property>
  <property fmtid="{D5CDD505-2E9C-101B-9397-08002B2CF9AE}" pid="165" name="FSC#SKMVPRECONFIG@103.510:mv_as_owner_fileresporg">
    <vt:lpwstr>SEKCIA LEGISLATÍVY A PRÁVNYCH SLUŽIEB MV SR</vt:lpwstr>
  </property>
  <property fmtid="{D5CDD505-2E9C-101B-9397-08002B2CF9AE}" pid="166" name="FSC#SKMVPRECONFIG@103.510:mv_hazz_fileresporg_function">
    <vt:lpwstr/>
  </property>
  <property fmtid="{D5CDD505-2E9C-101B-9397-08002B2CF9AE}" pid="167" name="FSC#SKMVPRECONFIG@103.510:mv_hazz_fileresporg_head">
    <vt:lpwstr/>
  </property>
  <property fmtid="{D5CDD505-2E9C-101B-9397-08002B2CF9AE}" pid="168" name="FSC#SKMVPRECONFIG@103.510:mv_hazz_fileresporg_longname">
    <vt:lpwstr/>
  </property>
  <property fmtid="{D5CDD505-2E9C-101B-9397-08002B2CF9AE}" pid="169" name="FSC#SKMVPRECONFIG@103.510:mv_intletterrecievers">
    <vt:lpwstr/>
  </property>
  <property fmtid="{D5CDD505-2E9C-101B-9397-08002B2CF9AE}" pid="170" name="FSC#SKMVPRECONFIG@103.510:mv_org_city">
    <vt:lpwstr>Bratislava 1</vt:lpwstr>
  </property>
  <property fmtid="{D5CDD505-2E9C-101B-9397-08002B2CF9AE}" pid="171" name="FSC#SKMVPRECONFIG@103.510:mv_org_country">
    <vt:lpwstr/>
  </property>
  <property fmtid="{D5CDD505-2E9C-101B-9397-08002B2CF9AE}" pid="172" name="FSC#SKMVPRECONFIG@103.510:mv_org_fullname">
    <vt:lpwstr>SL -  SEKCIA LEGISLATÍVY a PRÁVNYCH SLUŽIEB MV SR</vt:lpwstr>
  </property>
  <property fmtid="{D5CDD505-2E9C-101B-9397-08002B2CF9AE}" pid="173" name="FSC#SKMVPRECONFIG@103.510:mv_org_street">
    <vt:lpwstr>Pribinova 2</vt:lpwstr>
  </property>
  <property fmtid="{D5CDD505-2E9C-101B-9397-08002B2CF9AE}" pid="174" name="FSC#SKMVPRECONFIG@103.510:mv_org_zip">
    <vt:lpwstr>812 72</vt:lpwstr>
  </property>
  <property fmtid="{D5CDD505-2E9C-101B-9397-08002B2CF9AE}" pid="175" name="FSC#SKMVPRECONFIG@103.510:mv_referat_datum">
    <vt:lpwstr/>
  </property>
  <property fmtid="{D5CDD505-2E9C-101B-9397-08002B2CF9AE}" pid="176" name="FSC#SKMVPRECONFIG@103.510:mv_referat_predklada">
    <vt:lpwstr/>
  </property>
  <property fmtid="{D5CDD505-2E9C-101B-9397-08002B2CF9AE}" pid="177" name="FSC#SKMVPRECONFIG@103.510:mv_referat_predschval">
    <vt:lpwstr/>
  </property>
  <property fmtid="{D5CDD505-2E9C-101B-9397-08002B2CF9AE}" pid="178" name="FSC#SKMVPRECONFIG@103.510:mv_referat_schval">
    <vt:lpwstr/>
  </property>
  <property fmtid="{D5CDD505-2E9C-101B-9397-08002B2CF9AE}" pid="179" name="FSC#SKMVPRECONFIG@103.510:mv_referat_sucast">
    <vt:lpwstr/>
  </property>
  <property fmtid="{D5CDD505-2E9C-101B-9397-08002B2CF9AE}" pid="180" name="FSC#SKMVPRECONFIG@103.510:mv_referat_telcislo">
    <vt:lpwstr/>
  </property>
  <property fmtid="{D5CDD505-2E9C-101B-9397-08002B2CF9AE}" pid="181" name="FSC#SKMVPRECONFIG@103.510:mv_referat_utvar">
    <vt:lpwstr/>
  </property>
  <property fmtid="{D5CDD505-2E9C-101B-9397-08002B2CF9AE}" pid="182" name="FSC#SKMVPRECONFIG@103.510:mv_referat_vec">
    <vt:lpwstr/>
  </property>
  <property fmtid="{D5CDD505-2E9C-101B-9397-08002B2CF9AE}" pid="183" name="FSC#SKMVPRECONFIG@103.510:mv_referat_zaznam">
    <vt:lpwstr/>
  </property>
  <property fmtid="{D5CDD505-2E9C-101B-9397-08002B2CF9AE}" pid="184" name="FSC#SKMVPRECONFIG@103.510:mv_as_ou">
    <vt:lpwstr>ODBOR BEZPEČNOSTNEJ LEGISLATÍVY</vt:lpwstr>
  </property>
  <property fmtid="{D5CDD505-2E9C-101B-9397-08002B2CF9AE}" pid="185" name="FSC#SKMVPRECONFIG@103.510:kamo_odos_meno">
    <vt:lpwstr/>
  </property>
  <property fmtid="{D5CDD505-2E9C-101B-9397-08002B2CF9AE}" pid="186" name="FSC#SKMVPRECONFIG@103.510:kamo_odos_adresa">
    <vt:lpwstr/>
  </property>
  <property fmtid="{D5CDD505-2E9C-101B-9397-08002B2CF9AE}" pid="187" name="FSC#SKMVPRECONFIG@103.510:kamo_poc_priloh">
    <vt:lpwstr/>
  </property>
  <property fmtid="{D5CDD505-2E9C-101B-9397-08002B2CF9AE}" pid="188" name="FSC#SKMVPRECONFIG@103.510:kamo_poc_stran">
    <vt:lpwstr/>
  </property>
  <property fmtid="{D5CDD505-2E9C-101B-9397-08002B2CF9AE}" pid="189" name="FSC#SKMVPRECONFIG@103.510:kamo_evid_date">
    <vt:lpwstr>..</vt:lpwstr>
  </property>
  <property fmtid="{D5CDD505-2E9C-101B-9397-08002B2CF9AE}" pid="190" name="FSC#SKMVPRECONFIG@103.510:kamo_cislo">
    <vt:lpwstr/>
  </property>
  <property fmtid="{D5CDD505-2E9C-101B-9397-08002B2CF9AE}" pid="191" name="FSC#SKMVPRECONFIG@103.510:kamo_meno">
    <vt:lpwstr/>
  </property>
  <property fmtid="{D5CDD505-2E9C-101B-9397-08002B2CF9AE}" pid="192" name="FSC#SKMVPRECONFIG@103.510:kamo_poznamka">
    <vt:lpwstr/>
  </property>
  <property fmtid="{D5CDD505-2E9C-101B-9397-08002B2CF9AE}" pid="193" name="FSC#SKMVPRECONFIG@103.510:kamo_vec">
    <vt:lpwstr/>
  </property>
  <property fmtid="{D5CDD505-2E9C-101B-9397-08002B2CF9AE}" pid="194" name="FSC#SKMVPRECONFIG@103.510:mv_fileresporg_oddelenie">
    <vt:lpwstr/>
  </property>
  <property fmtid="{D5CDD505-2E9C-101B-9397-08002B2CF9AE}" pid="195" name="FSC#SKMVPRECONFIG@103.510:mv_veduci_pracovnik">
    <vt:lpwstr>Mgr., Matúš Šutaj</vt:lpwstr>
  </property>
  <property fmtid="{D5CDD505-2E9C-101B-9397-08002B2CF9AE}" pid="196" name="FSC#SKMVPRECONFIG@103.510:mv_funkcia_veduceho_pracovnika">
    <vt:lpwstr>minister vnútra SR</vt:lpwstr>
  </property>
  <property fmtid="{D5CDD505-2E9C-101B-9397-08002B2CF9AE}" pid="197" name="FSC#SKMVPRECONFIG@103.510:mv_postupenie_text_1">
    <vt:lpwstr/>
  </property>
  <property fmtid="{D5CDD505-2E9C-101B-9397-08002B2CF9AE}" pid="198" name="FSC#SKMVPRECONFIG@103.510:mv_postupenie_text_2">
    <vt:lpwstr/>
  </property>
  <property fmtid="{D5CDD505-2E9C-101B-9397-08002B2CF9AE}" pid="199" name="FSC#SKMVPRECONFIG@103.510:mv_filesubj_1">
    <vt:lpwstr/>
  </property>
  <property fmtid="{D5CDD505-2E9C-101B-9397-08002B2CF9AE}" pid="200" name="FSC#SKMVPRECONFIG@103.510:mv_filesubj_2">
    <vt:lpwstr/>
  </property>
  <property fmtid="{D5CDD505-2E9C-101B-9397-08002B2CF9AE}" pid="201" name="FSC#SKMVPRECONFIG@103.510:mv_filesubj_3">
    <vt:lpwstr/>
  </property>
  <property fmtid="{D5CDD505-2E9C-101B-9397-08002B2CF9AE}" pid="202" name="FSC#SKMVPRECONFIG@103.510:mv_filesubj_4">
    <vt:lpwstr/>
  </property>
  <property fmtid="{D5CDD505-2E9C-101B-9397-08002B2CF9AE}" pid="203" name="FSC#SKMVPRECONFIG@103.510:mv_filesubj_5">
    <vt:lpwstr/>
  </property>
  <property fmtid="{D5CDD505-2E9C-101B-9397-08002B2CF9AE}" pid="204" name="FSC#SKMVPRECONFIG@103.510:mv_filesubj_6">
    <vt:lpwstr/>
  </property>
  <property fmtid="{D5CDD505-2E9C-101B-9397-08002B2CF9AE}" pid="205" name="FSC#SKMVPRECONFIG@103.510:mv_filesubj_7">
    <vt:lpwstr/>
  </property>
  <property fmtid="{D5CDD505-2E9C-101B-9397-08002B2CF9AE}" pid="206" name="FSC#SKMVPRECONFIG@103.510:mv_filesubj_8">
    <vt:lpwstr/>
  </property>
  <property fmtid="{D5CDD505-2E9C-101B-9397-08002B2CF9AE}" pid="207" name="FSC#SKMVPRECONFIG@103.510:zaznam_vnut_adresati_71">
    <vt:lpwstr>71</vt:lpwstr>
  </property>
  <property fmtid="{D5CDD505-2E9C-101B-9397-08002B2CF9AE}" pid="208" name="FSC#SKMVPRECONFIG@103.510:zaznam_vnut_adresati_72">
    <vt:lpwstr>72</vt:lpwstr>
  </property>
  <property fmtid="{D5CDD505-2E9C-101B-9397-08002B2CF9AE}" pid="209" name="FSC#SKMVPRECONFIG@103.510:zaznam_vnut_adresati_73">
    <vt:lpwstr>73</vt:lpwstr>
  </property>
  <property fmtid="{D5CDD505-2E9C-101B-9397-08002B2CF9AE}" pid="210" name="FSC#SKMVPRECONFIG@103.510:zaznam_vnut_adresati_74">
    <vt:lpwstr>74</vt:lpwstr>
  </property>
  <property fmtid="{D5CDD505-2E9C-101B-9397-08002B2CF9AE}" pid="211" name="FSC#SKMVPRECONFIG@103.510:zaznam_vnut_adresati_75">
    <vt:lpwstr>75</vt:lpwstr>
  </property>
  <property fmtid="{D5CDD505-2E9C-101B-9397-08002B2CF9AE}" pid="212" name="FSC#SKMVPRECONFIG@103.510:zaznam_vnut_adresati_76">
    <vt:lpwstr>76</vt:lpwstr>
  </property>
  <property fmtid="{D5CDD505-2E9C-101B-9397-08002B2CF9AE}" pid="213" name="FSC#SKMVPRECONFIG@103.510:zaznam_vnut_adresati_77">
    <vt:lpwstr>77</vt:lpwstr>
  </property>
  <property fmtid="{D5CDD505-2E9C-101B-9397-08002B2CF9AE}" pid="214" name="FSC#SKMVPRECONFIG@103.510:zaznam_vnut_adresati_78">
    <vt:lpwstr>78</vt:lpwstr>
  </property>
  <property fmtid="{D5CDD505-2E9C-101B-9397-08002B2CF9AE}" pid="215" name="FSC#SKMVPRECONFIG@103.510:zaznam_vnut_adresati_79">
    <vt:lpwstr>79</vt:lpwstr>
  </property>
  <property fmtid="{D5CDD505-2E9C-101B-9397-08002B2CF9AE}" pid="216" name="FSC#SKMVPRECONFIG@103.510:zaznam_vnut_adresati_80">
    <vt:lpwstr>80</vt:lpwstr>
  </property>
  <property fmtid="{D5CDD505-2E9C-101B-9397-08002B2CF9AE}" pid="217" name="FSC#SKMVPRECONFIG@103.510:zaznam_vnut_adresati_81">
    <vt:lpwstr>81</vt:lpwstr>
  </property>
  <property fmtid="{D5CDD505-2E9C-101B-9397-08002B2CF9AE}" pid="218" name="FSC#SKMVPRECONFIG@103.510:zaznam_vnut_adresati_82">
    <vt:lpwstr>82</vt:lpwstr>
  </property>
  <property fmtid="{D5CDD505-2E9C-101B-9397-08002B2CF9AE}" pid="219" name="FSC#SKMVPRECONFIG@103.510:zaznam_vnut_adresati_83">
    <vt:lpwstr>83</vt:lpwstr>
  </property>
  <property fmtid="{D5CDD505-2E9C-101B-9397-08002B2CF9AE}" pid="220" name="FSC#SKMVPRECONFIG@103.510:zaznam_vnut_adresati_84">
    <vt:lpwstr>84</vt:lpwstr>
  </property>
  <property fmtid="{D5CDD505-2E9C-101B-9397-08002B2CF9AE}" pid="221" name="FSC#SKMVPRECONFIG@103.510:zaznam_vnut_adresati_85">
    <vt:lpwstr>85</vt:lpwstr>
  </property>
  <property fmtid="{D5CDD505-2E9C-101B-9397-08002B2CF9AE}" pid="222" name="FSC#SKMVPRECONFIG@103.510:zaznam_vnut_adresati_86">
    <vt:lpwstr>86</vt:lpwstr>
  </property>
  <property fmtid="{D5CDD505-2E9C-101B-9397-08002B2CF9AE}" pid="223" name="FSC#SKMVPRECONFIG@103.510:zaznam_vnut_adresati_87">
    <vt:lpwstr>87</vt:lpwstr>
  </property>
  <property fmtid="{D5CDD505-2E9C-101B-9397-08002B2CF9AE}" pid="224" name="FSC#SKMVPRECONFIG@103.510:zaznam_vnut_adresati_88">
    <vt:lpwstr>88</vt:lpwstr>
  </property>
  <property fmtid="{D5CDD505-2E9C-101B-9397-08002B2CF9AE}" pid="225" name="FSC#SKMVPRECONFIG@103.510:zaznam_vnut_adresati_89">
    <vt:lpwstr>89</vt:lpwstr>
  </property>
  <property fmtid="{D5CDD505-2E9C-101B-9397-08002B2CF9AE}" pid="226" name="FSC#SKMVPRECONFIG@103.510:zaznam_vnut_adresati_90">
    <vt:lpwstr>90</vt:lpwstr>
  </property>
  <property fmtid="{D5CDD505-2E9C-101B-9397-08002B2CF9AE}" pid="227" name="FSC#SKMVPRECONFIG@103.510:zaznam_vnut_adresati_91">
    <vt:lpwstr>91</vt:lpwstr>
  </property>
  <property fmtid="{D5CDD505-2E9C-101B-9397-08002B2CF9AE}" pid="228" name="FSC#SKMVPRECONFIG@103.510:zaznam_vnut_adresati_92">
    <vt:lpwstr>92</vt:lpwstr>
  </property>
  <property fmtid="{D5CDD505-2E9C-101B-9397-08002B2CF9AE}" pid="229" name="FSC#SKMVPRECONFIG@103.510:zaznam_vnut_adresati_93">
    <vt:lpwstr>93</vt:lpwstr>
  </property>
  <property fmtid="{D5CDD505-2E9C-101B-9397-08002B2CF9AE}" pid="230" name="FSC#SKMVPRECONFIG@103.510:zaznam_vnut_adresati_94">
    <vt:lpwstr>94</vt:lpwstr>
  </property>
  <property fmtid="{D5CDD505-2E9C-101B-9397-08002B2CF9AE}" pid="231" name="FSC#SKMVPRECONFIG@103.510:zaznam_vnut_adresati_95">
    <vt:lpwstr>95</vt:lpwstr>
  </property>
  <property fmtid="{D5CDD505-2E9C-101B-9397-08002B2CF9AE}" pid="232" name="FSC#SKMVPRECONFIG@103.510:zaznam_vnut_adresati_96">
    <vt:lpwstr>96</vt:lpwstr>
  </property>
  <property fmtid="{D5CDD505-2E9C-101B-9397-08002B2CF9AE}" pid="233" name="FSC#SKMVPRECONFIG@103.510:zaznam_vnut_adresati_97">
    <vt:lpwstr>97</vt:lpwstr>
  </property>
  <property fmtid="{D5CDD505-2E9C-101B-9397-08002B2CF9AE}" pid="234" name="FSC#SKMVPRECONFIG@103.510:zaznam_vnut_adresati_98">
    <vt:lpwstr>98</vt:lpwstr>
  </property>
  <property fmtid="{D5CDD505-2E9C-101B-9397-08002B2CF9AE}" pid="235" name="FSC#SKMVPRECONFIG@103.510:zaznam_vnut_adresati_99">
    <vt:lpwstr>99</vt:lpwstr>
  </property>
  <property fmtid="{D5CDD505-2E9C-101B-9397-08002B2CF9AE}" pid="236" name="FSC#SKMVPRECONFIG@103.510:zaznam_vnut_adresati_100">
    <vt:lpwstr>100</vt:lpwstr>
  </property>
  <property fmtid="{D5CDD505-2E9C-101B-9397-08002B2CF9AE}" pid="237" name="FSC#SKMVPRECONFIG@103.510:zaznam_vnut_adresati_101">
    <vt:lpwstr>101</vt:lpwstr>
  </property>
  <property fmtid="{D5CDD505-2E9C-101B-9397-08002B2CF9AE}" pid="238" name="FSC#SKMVPRECONFIG@103.510:zaznam_vnut_adresati_102">
    <vt:lpwstr>102</vt:lpwstr>
  </property>
  <property fmtid="{D5CDD505-2E9C-101B-9397-08002B2CF9AE}" pid="239" name="FSC#SKMVPRECONFIG@103.510:zaznam_vnut_adresati_103">
    <vt:lpwstr>103</vt:lpwstr>
  </property>
  <property fmtid="{D5CDD505-2E9C-101B-9397-08002B2CF9AE}" pid="240" name="FSC#SKMVPRECONFIG@103.510:zaznam_vnut_adresati_104">
    <vt:lpwstr>104</vt:lpwstr>
  </property>
  <property fmtid="{D5CDD505-2E9C-101B-9397-08002B2CF9AE}" pid="241" name="FSC#SKMVPRECONFIG@103.510:zaznam_vnut_adresati_105">
    <vt:lpwstr>105</vt:lpwstr>
  </property>
  <property fmtid="{D5CDD505-2E9C-101B-9397-08002B2CF9AE}" pid="242" name="FSC#SKMVPRECONFIG@103.510:zaznam_vnut_adresati_106">
    <vt:lpwstr>106</vt:lpwstr>
  </property>
  <property fmtid="{D5CDD505-2E9C-101B-9397-08002B2CF9AE}" pid="243" name="FSC#SKMVPRECONFIG@103.510:zaznam_vnut_adresati_107">
    <vt:lpwstr>107</vt:lpwstr>
  </property>
  <property fmtid="{D5CDD505-2E9C-101B-9397-08002B2CF9AE}" pid="244" name="FSC#SKMVPRECONFIG@103.510:zaznam_vnut_adresati_108">
    <vt:lpwstr>108</vt:lpwstr>
  </property>
  <property fmtid="{D5CDD505-2E9C-101B-9397-08002B2CF9AE}" pid="245" name="FSC#SKMVPRECONFIG@103.510:zaznam_vnut_adresati_109">
    <vt:lpwstr>109</vt:lpwstr>
  </property>
  <property fmtid="{D5CDD505-2E9C-101B-9397-08002B2CF9AE}" pid="246" name="FSC#SKMVPRECONFIG@103.510:zaznam_vnut_adresati_110">
    <vt:lpwstr>110</vt:lpwstr>
  </property>
  <property fmtid="{D5CDD505-2E9C-101B-9397-08002B2CF9AE}" pid="247" name="FSC#SKMVPRECONFIG@103.510:zaznam_vnut_adresati_111">
    <vt:lpwstr>111</vt:lpwstr>
  </property>
  <property fmtid="{D5CDD505-2E9C-101B-9397-08002B2CF9AE}" pid="248" name="FSC#SKMVPRECONFIG@103.510:zaznam_vnut_adresati_112">
    <vt:lpwstr>112</vt:lpwstr>
  </property>
  <property fmtid="{D5CDD505-2E9C-101B-9397-08002B2CF9AE}" pid="249" name="FSC#SKMVPRECONFIG@103.510:zaznam_vnut_adresati_113">
    <vt:lpwstr>113</vt:lpwstr>
  </property>
  <property fmtid="{D5CDD505-2E9C-101B-9397-08002B2CF9AE}" pid="250" name="FSC#SKMVPRECONFIG@103.510:zaznam_vnut_adresati_114">
    <vt:lpwstr>114</vt:lpwstr>
  </property>
  <property fmtid="{D5CDD505-2E9C-101B-9397-08002B2CF9AE}" pid="251" name="FSC#SKMVPRECONFIG@103.510:zaznam_vnut_adresati_115">
    <vt:lpwstr>115</vt:lpwstr>
  </property>
  <property fmtid="{D5CDD505-2E9C-101B-9397-08002B2CF9AE}" pid="252" name="FSC#SKMVPRECONFIG@103.510:zaznam_vnut_adresati_116">
    <vt:lpwstr>116</vt:lpwstr>
  </property>
  <property fmtid="{D5CDD505-2E9C-101B-9397-08002B2CF9AE}" pid="253" name="FSC#SKMVPRECONFIG@103.510:zaznam_vnut_adresati_117">
    <vt:lpwstr>117</vt:lpwstr>
  </property>
  <property fmtid="{D5CDD505-2E9C-101B-9397-08002B2CF9AE}" pid="254" name="FSC#SKMVPRECONFIG@103.510:zaznam_vnut_adresati_118">
    <vt:lpwstr>118</vt:lpwstr>
  </property>
  <property fmtid="{D5CDD505-2E9C-101B-9397-08002B2CF9AE}" pid="255" name="FSC#SKMVPRECONFIG@103.510:zaznam_vnut_adresati_119">
    <vt:lpwstr>119</vt:lpwstr>
  </property>
  <property fmtid="{D5CDD505-2E9C-101B-9397-08002B2CF9AE}" pid="256" name="FSC#SKMVPRECONFIG@103.510:zaznam_vnut_adresati_120">
    <vt:lpwstr>120</vt:lpwstr>
  </property>
  <property fmtid="{D5CDD505-2E9C-101B-9397-08002B2CF9AE}" pid="257" name="FSC#SKMVPRECONFIG@103.510:zaznam_vnut_adresati_121">
    <vt:lpwstr>121</vt:lpwstr>
  </property>
  <property fmtid="{D5CDD505-2E9C-101B-9397-08002B2CF9AE}" pid="258" name="FSC#SKMVPRECONFIG@103.510:zaznam_vnut_adresati_122">
    <vt:lpwstr>122</vt:lpwstr>
  </property>
  <property fmtid="{D5CDD505-2E9C-101B-9397-08002B2CF9AE}" pid="259" name="FSC#SKMVPRECONFIG@103.510:zaznam_vnut_adresati_123">
    <vt:lpwstr>123</vt:lpwstr>
  </property>
  <property fmtid="{D5CDD505-2E9C-101B-9397-08002B2CF9AE}" pid="260" name="FSC#SKMVPRECONFIG@103.510:zaznam_vnut_adresati_124">
    <vt:lpwstr>124</vt:lpwstr>
  </property>
  <property fmtid="{D5CDD505-2E9C-101B-9397-08002B2CF9AE}" pid="261" name="FSC#SKMVPRECONFIG@103.510:zaznam_vnut_adresati_125">
    <vt:lpwstr>125</vt:lpwstr>
  </property>
  <property fmtid="{D5CDD505-2E9C-101B-9397-08002B2CF9AE}" pid="262" name="FSC#SKMVPRECONFIG@103.510:zaznam_vnut_adresati_126">
    <vt:lpwstr>126</vt:lpwstr>
  </property>
  <property fmtid="{D5CDD505-2E9C-101B-9397-08002B2CF9AE}" pid="263" name="FSC#SKMVPRECONFIG@103.510:zaznam_vnut_adresati_127">
    <vt:lpwstr>127</vt:lpwstr>
  </property>
  <property fmtid="{D5CDD505-2E9C-101B-9397-08002B2CF9AE}" pid="264" name="FSC#SKMVPRECONFIG@103.510:zaznam_vnut_adresati_128">
    <vt:lpwstr>128</vt:lpwstr>
  </property>
  <property fmtid="{D5CDD505-2E9C-101B-9397-08002B2CF9AE}" pid="265" name="FSC#SKMVPRECONFIG@103.510:zaznam_vnut_adresati_129">
    <vt:lpwstr>129</vt:lpwstr>
  </property>
  <property fmtid="{D5CDD505-2E9C-101B-9397-08002B2CF9AE}" pid="266" name="FSC#SKMVPRECONFIG@103.510:zaznam_vnut_adresati_130">
    <vt:lpwstr>130</vt:lpwstr>
  </property>
  <property fmtid="{D5CDD505-2E9C-101B-9397-08002B2CF9AE}" pid="267" name="FSC#SKMVPRECONFIG@103.510:zaznam_vnut_adresati_131">
    <vt:lpwstr>131</vt:lpwstr>
  </property>
  <property fmtid="{D5CDD505-2E9C-101B-9397-08002B2CF9AE}" pid="268" name="FSC#SKMVPRECONFIG@103.510:zaznam_vnut_adresati_132">
    <vt:lpwstr>132</vt:lpwstr>
  </property>
  <property fmtid="{D5CDD505-2E9C-101B-9397-08002B2CF9AE}" pid="269" name="FSC#SKMVPRECONFIG@103.510:zaznam_vnut_adresati_133">
    <vt:lpwstr>133</vt:lpwstr>
  </property>
  <property fmtid="{D5CDD505-2E9C-101B-9397-08002B2CF9AE}" pid="270" name="FSC#SKMVPRECONFIG@103.510:zaznam_vnut_adresati_134">
    <vt:lpwstr>134</vt:lpwstr>
  </property>
  <property fmtid="{D5CDD505-2E9C-101B-9397-08002B2CF9AE}" pid="271" name="FSC#SKMVPRECONFIG@103.510:zaznam_vnut_adresati_135">
    <vt:lpwstr>135</vt:lpwstr>
  </property>
  <property fmtid="{D5CDD505-2E9C-101B-9397-08002B2CF9AE}" pid="272" name="FSC#SKMVPRECONFIG@103.510:zaznam_vnut_adresati_136">
    <vt:lpwstr>136</vt:lpwstr>
  </property>
  <property fmtid="{D5CDD505-2E9C-101B-9397-08002B2CF9AE}" pid="273" name="FSC#SKMVPRECONFIG@103.510:zaznam_vnut_adresati_137">
    <vt:lpwstr>137</vt:lpwstr>
  </property>
  <property fmtid="{D5CDD505-2E9C-101B-9397-08002B2CF9AE}" pid="274" name="FSC#SKMVPRECONFIG@103.510:zaznam_vnut_adresati_138">
    <vt:lpwstr>138</vt:lpwstr>
  </property>
  <property fmtid="{D5CDD505-2E9C-101B-9397-08002B2CF9AE}" pid="275" name="FSC#SKMVPRECONFIG@103.510:zaznam_vnut_adresati_139">
    <vt:lpwstr>139</vt:lpwstr>
  </property>
  <property fmtid="{D5CDD505-2E9C-101B-9397-08002B2CF9AE}" pid="276" name="FSC#SKMVPRECONFIG@103.510:zaznam_vnut_adresati_140">
    <vt:lpwstr>140</vt:lpwstr>
  </property>
  <property fmtid="{D5CDD505-2E9C-101B-9397-08002B2CF9AE}" pid="277" name="FSC#SKMVPRECONFIG@103.510:zaznam_vnut_adresati_141">
    <vt:lpwstr>141</vt:lpwstr>
  </property>
  <property fmtid="{D5CDD505-2E9C-101B-9397-08002B2CF9AE}" pid="278" name="FSC#SKMVPRECONFIG@103.510:zaznam_vnut_adresati_142">
    <vt:lpwstr>142</vt:lpwstr>
  </property>
  <property fmtid="{D5CDD505-2E9C-101B-9397-08002B2CF9AE}" pid="279" name="FSC#SKMVPRECONFIG@103.510:zaznam_vnut_adresati_143">
    <vt:lpwstr>143</vt:lpwstr>
  </property>
  <property fmtid="{D5CDD505-2E9C-101B-9397-08002B2CF9AE}" pid="280" name="FSC#SKMVPRECONFIG@103.510:zaznam_vnut_adresati_144">
    <vt:lpwstr>144</vt:lpwstr>
  </property>
  <property fmtid="{D5CDD505-2E9C-101B-9397-08002B2CF9AE}" pid="281" name="FSC#SKMVPRECONFIG@103.510:zaznam_vnut_adresati_145">
    <vt:lpwstr>145</vt:lpwstr>
  </property>
  <property fmtid="{D5CDD505-2E9C-101B-9397-08002B2CF9AE}" pid="282" name="FSC#SKMVPRECONFIG@103.510:zaznam_vnut_adresati_146">
    <vt:lpwstr>146</vt:lpwstr>
  </property>
  <property fmtid="{D5CDD505-2E9C-101B-9397-08002B2CF9AE}" pid="283" name="FSC#SKMVPRECONFIG@103.510:zaznam_vnut_adresati_147">
    <vt:lpwstr>147</vt:lpwstr>
  </property>
  <property fmtid="{D5CDD505-2E9C-101B-9397-08002B2CF9AE}" pid="284" name="FSC#SKMVPRECONFIG@103.510:zaznam_vnut_adresati_148">
    <vt:lpwstr>148</vt:lpwstr>
  </property>
  <property fmtid="{D5CDD505-2E9C-101B-9397-08002B2CF9AE}" pid="285" name="FSC#SKMVPRECONFIG@103.510:zaznam_vnut_adresati_149">
    <vt:lpwstr>149</vt:lpwstr>
  </property>
  <property fmtid="{D5CDD505-2E9C-101B-9397-08002B2CF9AE}" pid="286" name="FSC#SKMVPRECONFIG@103.510:zaznam_vnut_adresati_150">
    <vt:lpwstr>150</vt:lpwstr>
  </property>
  <property fmtid="{D5CDD505-2E9C-101B-9397-08002B2CF9AE}" pid="287" name="FSC#SKEDITIONREG@103.510:a_acceptor">
    <vt:lpwstr/>
  </property>
  <property fmtid="{D5CDD505-2E9C-101B-9397-08002B2CF9AE}" pid="288" name="FSC#SKEDITIONREG@103.510:a_clearedat">
    <vt:lpwstr/>
  </property>
  <property fmtid="{D5CDD505-2E9C-101B-9397-08002B2CF9AE}" pid="289" name="FSC#SKEDITIONREG@103.510:a_clearedby">
    <vt:lpwstr/>
  </property>
  <property fmtid="{D5CDD505-2E9C-101B-9397-08002B2CF9AE}" pid="290" name="FSC#SKEDITIONREG@103.510:a_comm">
    <vt:lpwstr/>
  </property>
  <property fmtid="{D5CDD505-2E9C-101B-9397-08002B2CF9AE}" pid="291" name="FSC#SKEDITIONREG@103.510:a_decisionattachments">
    <vt:lpwstr/>
  </property>
  <property fmtid="{D5CDD505-2E9C-101B-9397-08002B2CF9AE}" pid="292" name="FSC#SKEDITIONREG@103.510:a_deliveredat">
    <vt:lpwstr/>
  </property>
  <property fmtid="{D5CDD505-2E9C-101B-9397-08002B2CF9AE}" pid="293" name="FSC#SKEDITIONREG@103.510:a_delivery">
    <vt:lpwstr/>
  </property>
  <property fmtid="{D5CDD505-2E9C-101B-9397-08002B2CF9AE}" pid="294" name="FSC#SKEDITIONREG@103.510:a_extension">
    <vt:lpwstr/>
  </property>
  <property fmtid="{D5CDD505-2E9C-101B-9397-08002B2CF9AE}" pid="295" name="FSC#SKEDITIONREG@103.510:a_filenumber">
    <vt:lpwstr/>
  </property>
  <property fmtid="{D5CDD505-2E9C-101B-9397-08002B2CF9AE}" pid="296" name="FSC#SKEDITIONREG@103.510:a_fileresponsible">
    <vt:lpwstr/>
  </property>
  <property fmtid="{D5CDD505-2E9C-101B-9397-08002B2CF9AE}" pid="297" name="FSC#SKEDITIONREG@103.510:a_fileresporg">
    <vt:lpwstr/>
  </property>
  <property fmtid="{D5CDD505-2E9C-101B-9397-08002B2CF9AE}" pid="298" name="FSC#SKEDITIONREG@103.510:a_fileresporg_email_OU">
    <vt:lpwstr/>
  </property>
  <property fmtid="{D5CDD505-2E9C-101B-9397-08002B2CF9AE}" pid="299" name="FSC#SKEDITIONREG@103.510:a_fileresporg_emailaddress">
    <vt:lpwstr/>
  </property>
  <property fmtid="{D5CDD505-2E9C-101B-9397-08002B2CF9AE}" pid="300" name="FSC#SKEDITIONREG@103.510:a_fileresporg_fax">
    <vt:lpwstr/>
  </property>
  <property fmtid="{D5CDD505-2E9C-101B-9397-08002B2CF9AE}" pid="301" name="FSC#SKEDITIONREG@103.510:a_fileresporg_fax_OU">
    <vt:lpwstr/>
  </property>
  <property fmtid="{D5CDD505-2E9C-101B-9397-08002B2CF9AE}" pid="302" name="FSC#SKEDITIONREG@103.510:a_fileresporg_function">
    <vt:lpwstr/>
  </property>
  <property fmtid="{D5CDD505-2E9C-101B-9397-08002B2CF9AE}" pid="303" name="FSC#SKEDITIONREG@103.510:a_fileresporg_function_OU">
    <vt:lpwstr/>
  </property>
  <property fmtid="{D5CDD505-2E9C-101B-9397-08002B2CF9AE}" pid="304" name="FSC#SKEDITIONREG@103.510:a_fileresporg_head">
    <vt:lpwstr/>
  </property>
  <property fmtid="{D5CDD505-2E9C-101B-9397-08002B2CF9AE}" pid="305" name="FSC#SKEDITIONREG@103.510:a_fileresporg_head_OU">
    <vt:lpwstr/>
  </property>
  <property fmtid="{D5CDD505-2E9C-101B-9397-08002B2CF9AE}" pid="306" name="FSC#SKEDITIONREG@103.510:a_fileresporg_OU">
    <vt:lpwstr/>
  </property>
  <property fmtid="{D5CDD505-2E9C-101B-9397-08002B2CF9AE}" pid="307" name="FSC#SKEDITIONREG@103.510:a_fileresporg_phone">
    <vt:lpwstr/>
  </property>
  <property fmtid="{D5CDD505-2E9C-101B-9397-08002B2CF9AE}" pid="308" name="FSC#SKEDITIONREG@103.510:a_fileresporg_phone_OU">
    <vt:lpwstr/>
  </property>
  <property fmtid="{D5CDD505-2E9C-101B-9397-08002B2CF9AE}" pid="309" name="FSC#SKEDITIONREG@103.510:a_incattachments">
    <vt:lpwstr/>
  </property>
  <property fmtid="{D5CDD505-2E9C-101B-9397-08002B2CF9AE}" pid="310" name="FSC#SKEDITIONREG@103.510:a_incnr">
    <vt:lpwstr/>
  </property>
  <property fmtid="{D5CDD505-2E9C-101B-9397-08002B2CF9AE}" pid="311" name="FSC#SKEDITIONREG@103.510:a_objcreatedstr">
    <vt:lpwstr/>
  </property>
  <property fmtid="{D5CDD505-2E9C-101B-9397-08002B2CF9AE}" pid="312" name="FSC#SKEDITIONREG@103.510:a_ordernumber">
    <vt:lpwstr/>
  </property>
  <property fmtid="{D5CDD505-2E9C-101B-9397-08002B2CF9AE}" pid="313" name="FSC#SKEDITIONREG@103.510:a_oursign">
    <vt:lpwstr/>
  </property>
  <property fmtid="{D5CDD505-2E9C-101B-9397-08002B2CF9AE}" pid="314" name="FSC#SKEDITIONREG@103.510:a_sendersign">
    <vt:lpwstr/>
  </property>
  <property fmtid="{D5CDD505-2E9C-101B-9397-08002B2CF9AE}" pid="315" name="FSC#SKEDITIONREG@103.510:a_shortou">
    <vt:lpwstr/>
  </property>
  <property fmtid="{D5CDD505-2E9C-101B-9397-08002B2CF9AE}" pid="316" name="FSC#SKEDITIONREG@103.510:a_testsalutation">
    <vt:lpwstr/>
  </property>
  <property fmtid="{D5CDD505-2E9C-101B-9397-08002B2CF9AE}" pid="317" name="FSC#SKEDITIONREG@103.510:a_validfrom">
    <vt:lpwstr/>
  </property>
  <property fmtid="{D5CDD505-2E9C-101B-9397-08002B2CF9AE}" pid="318" name="FSC#SKEDITIONREG@103.510:as_activity">
    <vt:lpwstr/>
  </property>
  <property fmtid="{D5CDD505-2E9C-101B-9397-08002B2CF9AE}" pid="319" name="FSC#SKEDITIONREG@103.510:as_docdate">
    <vt:lpwstr/>
  </property>
  <property fmtid="{D5CDD505-2E9C-101B-9397-08002B2CF9AE}" pid="320" name="FSC#SKEDITIONREG@103.510:as_establishdate">
    <vt:lpwstr/>
  </property>
  <property fmtid="{D5CDD505-2E9C-101B-9397-08002B2CF9AE}" pid="321" name="FSC#SKEDITIONREG@103.510:as_fileresphead">
    <vt:lpwstr/>
  </property>
  <property fmtid="{D5CDD505-2E9C-101B-9397-08002B2CF9AE}" pid="322" name="FSC#SKEDITIONREG@103.510:as_filerespheadfnct">
    <vt:lpwstr/>
  </property>
  <property fmtid="{D5CDD505-2E9C-101B-9397-08002B2CF9AE}" pid="323" name="FSC#SKEDITIONREG@103.510:as_fileresponsible">
    <vt:lpwstr/>
  </property>
  <property fmtid="{D5CDD505-2E9C-101B-9397-08002B2CF9AE}" pid="324" name="FSC#SKEDITIONREG@103.510:as_filesubj">
    <vt:lpwstr/>
  </property>
  <property fmtid="{D5CDD505-2E9C-101B-9397-08002B2CF9AE}" pid="325" name="FSC#SKEDITIONREG@103.510:as_objname">
    <vt:lpwstr/>
  </property>
  <property fmtid="{D5CDD505-2E9C-101B-9397-08002B2CF9AE}" pid="326" name="FSC#SKEDITIONREG@103.510:as_ou">
    <vt:lpwstr/>
  </property>
  <property fmtid="{D5CDD505-2E9C-101B-9397-08002B2CF9AE}" pid="327" name="FSC#SKEDITIONREG@103.510:as_owner">
    <vt:lpwstr>Mgr. Zuzana Tarabíková</vt:lpwstr>
  </property>
  <property fmtid="{D5CDD505-2E9C-101B-9397-08002B2CF9AE}" pid="328" name="FSC#SKEDITIONREG@103.510:as_phonelink">
    <vt:lpwstr/>
  </property>
  <property fmtid="{D5CDD505-2E9C-101B-9397-08002B2CF9AE}" pid="329" name="FSC#SKEDITIONREG@103.510:oz_externAdr">
    <vt:lpwstr/>
  </property>
  <property fmtid="{D5CDD505-2E9C-101B-9397-08002B2CF9AE}" pid="330" name="FSC#SKEDITIONREG@103.510:a_depositperiod">
    <vt:lpwstr/>
  </property>
  <property fmtid="{D5CDD505-2E9C-101B-9397-08002B2CF9AE}" pid="331" name="FSC#SKEDITIONREG@103.510:a_disposestate">
    <vt:lpwstr/>
  </property>
  <property fmtid="{D5CDD505-2E9C-101B-9397-08002B2CF9AE}" pid="332" name="FSC#SKEDITIONREG@103.510:a_fileresponsiblefnct">
    <vt:lpwstr/>
  </property>
  <property fmtid="{D5CDD505-2E9C-101B-9397-08002B2CF9AE}" pid="333" name="FSC#SKEDITIONREG@103.510:a_fileresporg_position">
    <vt:lpwstr/>
  </property>
  <property fmtid="{D5CDD505-2E9C-101B-9397-08002B2CF9AE}" pid="334" name="FSC#SKEDITIONREG@103.510:a_fileresporg_position_OU">
    <vt:lpwstr/>
  </property>
  <property fmtid="{D5CDD505-2E9C-101B-9397-08002B2CF9AE}" pid="335" name="FSC#SKEDITIONREG@103.510:a_osobnecislosprac">
    <vt:lpwstr/>
  </property>
  <property fmtid="{D5CDD505-2E9C-101B-9397-08002B2CF9AE}" pid="336" name="FSC#SKEDITIONREG@103.510:a_registrysign">
    <vt:lpwstr/>
  </property>
  <property fmtid="{D5CDD505-2E9C-101B-9397-08002B2CF9AE}" pid="337" name="FSC#SKEDITIONREG@103.510:a_subfileatt">
    <vt:lpwstr/>
  </property>
  <property fmtid="{D5CDD505-2E9C-101B-9397-08002B2CF9AE}" pid="338" name="FSC#SKEDITIONREG@103.510:as_filesubjall">
    <vt:lpwstr/>
  </property>
  <property fmtid="{D5CDD505-2E9C-101B-9397-08002B2CF9AE}" pid="339" name="FSC#SKEDITIONREG@103.510:CreatedAt">
    <vt:lpwstr>19. 10. 2026, 07:34</vt:lpwstr>
  </property>
  <property fmtid="{D5CDD505-2E9C-101B-9397-08002B2CF9AE}" pid="340" name="FSC#SKEDITIONREG@103.510:curruserrolegroup">
    <vt:lpwstr>ODBOR BEZPEČNOSTNEJ LEGISLATÍVY</vt:lpwstr>
  </property>
  <property fmtid="{D5CDD505-2E9C-101B-9397-08002B2CF9AE}" pid="341" name="FSC#SKEDITIONREG@103.510:currusersubst">
    <vt:lpwstr>mjr. Mgr. Juraj Beník</vt:lpwstr>
  </property>
  <property fmtid="{D5CDD505-2E9C-101B-9397-08002B2CF9AE}" pid="342" name="FSC#SKEDITIONREG@103.510:emailsprac">
    <vt:lpwstr/>
  </property>
  <property fmtid="{D5CDD505-2E9C-101B-9397-08002B2CF9AE}" pid="343" name="FSC#SKEDITIONREG@103.510:ms_VyskladaniePoznamok">
    <vt:lpwstr/>
  </property>
  <property fmtid="{D5CDD505-2E9C-101B-9397-08002B2CF9AE}" pid="344" name="FSC#SKEDITIONREG@103.510:oumlname_fnct">
    <vt:lpwstr/>
  </property>
  <property fmtid="{D5CDD505-2E9C-101B-9397-08002B2CF9AE}" pid="345" name="FSC#SKEDITIONREG@103.510:sk_org_city">
    <vt:lpwstr>Bratislava 1</vt:lpwstr>
  </property>
  <property fmtid="{D5CDD505-2E9C-101B-9397-08002B2CF9AE}" pid="346" name="FSC#SKEDITIONREG@103.510:sk_org_dic">
    <vt:lpwstr/>
  </property>
  <property fmtid="{D5CDD505-2E9C-101B-9397-08002B2CF9AE}" pid="347" name="FSC#SKEDITIONREG@103.510:sk_org_email">
    <vt:lpwstr/>
  </property>
  <property fmtid="{D5CDD505-2E9C-101B-9397-08002B2CF9AE}" pid="348" name="FSC#SKEDITIONREG@103.510:sk_org_fax">
    <vt:lpwstr/>
  </property>
  <property fmtid="{D5CDD505-2E9C-101B-9397-08002B2CF9AE}" pid="349" name="FSC#SKEDITIONREG@103.510:sk_org_fullname">
    <vt:lpwstr>SL -  SEKCIA LEGISLATÍVY a PRÁVNYCH SLUŽIEB MV SR</vt:lpwstr>
  </property>
  <property fmtid="{D5CDD505-2E9C-101B-9397-08002B2CF9AE}" pid="350" name="FSC#SKEDITIONREG@103.510:sk_org_ico">
    <vt:lpwstr>00151866</vt:lpwstr>
  </property>
  <property fmtid="{D5CDD505-2E9C-101B-9397-08002B2CF9AE}" pid="351" name="FSC#SKEDITIONREG@103.510:sk_org_phone">
    <vt:lpwstr/>
  </property>
  <property fmtid="{D5CDD505-2E9C-101B-9397-08002B2CF9AE}" pid="352" name="FSC#SKEDITIONREG@103.510:sk_org_shortname">
    <vt:lpwstr/>
  </property>
  <property fmtid="{D5CDD505-2E9C-101B-9397-08002B2CF9AE}" pid="353" name="FSC#SKEDITIONREG@103.510:sk_org_state">
    <vt:lpwstr>Slovensko</vt:lpwstr>
  </property>
  <property fmtid="{D5CDD505-2E9C-101B-9397-08002B2CF9AE}" pid="354" name="FSC#SKEDITIONREG@103.510:sk_org_street">
    <vt:lpwstr>Pribinova 2</vt:lpwstr>
  </property>
  <property fmtid="{D5CDD505-2E9C-101B-9397-08002B2CF9AE}" pid="355" name="FSC#SKEDITIONREG@103.510:sk_org_zip">
    <vt:lpwstr>812 72</vt:lpwstr>
  </property>
  <property fmtid="{D5CDD505-2E9C-101B-9397-08002B2CF9AE}" pid="356" name="FSC#SKEDITIONREG@103.510:viz_clearedat">
    <vt:lpwstr/>
  </property>
  <property fmtid="{D5CDD505-2E9C-101B-9397-08002B2CF9AE}" pid="357" name="FSC#SKEDITIONREG@103.510:viz_clearedby">
    <vt:lpwstr/>
  </property>
  <property fmtid="{D5CDD505-2E9C-101B-9397-08002B2CF9AE}" pid="358" name="FSC#SKEDITIONREG@103.510:viz_comm">
    <vt:lpwstr/>
  </property>
  <property fmtid="{D5CDD505-2E9C-101B-9397-08002B2CF9AE}" pid="359" name="FSC#SKEDITIONREG@103.510:viz_decisionattachments">
    <vt:lpwstr/>
  </property>
  <property fmtid="{D5CDD505-2E9C-101B-9397-08002B2CF9AE}" pid="360" name="FSC#SKEDITIONREG@103.510:viz_deliveredat">
    <vt:lpwstr/>
  </property>
  <property fmtid="{D5CDD505-2E9C-101B-9397-08002B2CF9AE}" pid="361" name="FSC#SKEDITIONREG@103.510:viz_delivery">
    <vt:lpwstr/>
  </property>
  <property fmtid="{D5CDD505-2E9C-101B-9397-08002B2CF9AE}" pid="362" name="FSC#SKEDITIONREG@103.510:viz_extension">
    <vt:lpwstr/>
  </property>
  <property fmtid="{D5CDD505-2E9C-101B-9397-08002B2CF9AE}" pid="363" name="FSC#SKEDITIONREG@103.510:viz_filenumber">
    <vt:lpwstr/>
  </property>
  <property fmtid="{D5CDD505-2E9C-101B-9397-08002B2CF9AE}" pid="364" name="FSC#SKEDITIONREG@103.510:viz_fileresponsible">
    <vt:lpwstr/>
  </property>
  <property fmtid="{D5CDD505-2E9C-101B-9397-08002B2CF9AE}" pid="365" name="FSC#SKEDITIONREG@103.510:viz_fileresporg">
    <vt:lpwstr/>
  </property>
  <property fmtid="{D5CDD505-2E9C-101B-9397-08002B2CF9AE}" pid="366" name="FSC#SKEDITIONREG@103.510:viz_fileresporg_email_OU">
    <vt:lpwstr/>
  </property>
  <property fmtid="{D5CDD505-2E9C-101B-9397-08002B2CF9AE}" pid="367" name="FSC#SKEDITIONREG@103.510:viz_fileresporg_emailaddress">
    <vt:lpwstr/>
  </property>
  <property fmtid="{D5CDD505-2E9C-101B-9397-08002B2CF9AE}" pid="368" name="FSC#SKEDITIONREG@103.510:viz_fileresporg_fax">
    <vt:lpwstr/>
  </property>
  <property fmtid="{D5CDD505-2E9C-101B-9397-08002B2CF9AE}" pid="369" name="FSC#SKEDITIONREG@103.510:viz_fileresporg_fax_OU">
    <vt:lpwstr/>
  </property>
  <property fmtid="{D5CDD505-2E9C-101B-9397-08002B2CF9AE}" pid="370" name="FSC#SKEDITIONREG@103.510:viz_fileresporg_function">
    <vt:lpwstr/>
  </property>
  <property fmtid="{D5CDD505-2E9C-101B-9397-08002B2CF9AE}" pid="371" name="FSC#SKEDITIONREG@103.510:viz_fileresporg_function_OU">
    <vt:lpwstr/>
  </property>
  <property fmtid="{D5CDD505-2E9C-101B-9397-08002B2CF9AE}" pid="372" name="FSC#SKEDITIONREG@103.510:viz_fileresporg_head">
    <vt:lpwstr/>
  </property>
  <property fmtid="{D5CDD505-2E9C-101B-9397-08002B2CF9AE}" pid="373" name="FSC#SKEDITIONREG@103.510:viz_fileresporg_head_OU">
    <vt:lpwstr/>
  </property>
  <property fmtid="{D5CDD505-2E9C-101B-9397-08002B2CF9AE}" pid="374" name="FSC#SKEDITIONREG@103.510:viz_fileresporg_longname">
    <vt:lpwstr/>
  </property>
  <property fmtid="{D5CDD505-2E9C-101B-9397-08002B2CF9AE}" pid="375" name="FSC#SKEDITIONREG@103.510:viz_fileresporg_mesto">
    <vt:lpwstr/>
  </property>
  <property fmtid="{D5CDD505-2E9C-101B-9397-08002B2CF9AE}" pid="376" name="FSC#SKEDITIONREG@103.510:viz_fileresporg_odbor">
    <vt:lpwstr/>
  </property>
  <property fmtid="{D5CDD505-2E9C-101B-9397-08002B2CF9AE}" pid="377" name="FSC#SKEDITIONREG@103.510:viz_fileresporg_odbor_function">
    <vt:lpwstr/>
  </property>
  <property fmtid="{D5CDD505-2E9C-101B-9397-08002B2CF9AE}" pid="378" name="FSC#SKEDITIONREG@103.510:viz_fileresporg_odbor_head">
    <vt:lpwstr/>
  </property>
  <property fmtid="{D5CDD505-2E9C-101B-9397-08002B2CF9AE}" pid="379" name="FSC#SKEDITIONREG@103.510:viz_fileresporg_OU">
    <vt:lpwstr/>
  </property>
  <property fmtid="{D5CDD505-2E9C-101B-9397-08002B2CF9AE}" pid="380" name="FSC#SKEDITIONREG@103.510:viz_fileresporg_phone">
    <vt:lpwstr/>
  </property>
  <property fmtid="{D5CDD505-2E9C-101B-9397-08002B2CF9AE}" pid="381" name="FSC#SKEDITIONREG@103.510:viz_fileresporg_phone_OU">
    <vt:lpwstr/>
  </property>
  <property fmtid="{D5CDD505-2E9C-101B-9397-08002B2CF9AE}" pid="382" name="FSC#SKEDITIONREG@103.510:viz_fileresporg_position">
    <vt:lpwstr/>
  </property>
  <property fmtid="{D5CDD505-2E9C-101B-9397-08002B2CF9AE}" pid="383" name="FSC#SKEDITIONREG@103.510:viz_fileresporg_position_OU">
    <vt:lpwstr/>
  </property>
  <property fmtid="{D5CDD505-2E9C-101B-9397-08002B2CF9AE}" pid="384" name="FSC#SKEDITIONREG@103.510:viz_fileresporg_psc">
    <vt:lpwstr/>
  </property>
  <property fmtid="{D5CDD505-2E9C-101B-9397-08002B2CF9AE}" pid="385" name="FSC#SKEDITIONREG@103.510:viz_fileresporg_sekcia">
    <vt:lpwstr/>
  </property>
  <property fmtid="{D5CDD505-2E9C-101B-9397-08002B2CF9AE}" pid="386" name="FSC#SKEDITIONREG@103.510:viz_fileresporg_sekcia_function">
    <vt:lpwstr/>
  </property>
  <property fmtid="{D5CDD505-2E9C-101B-9397-08002B2CF9AE}" pid="387" name="FSC#SKEDITIONREG@103.510:viz_fileresporg_sekcia_head">
    <vt:lpwstr/>
  </property>
  <property fmtid="{D5CDD505-2E9C-101B-9397-08002B2CF9AE}" pid="388" name="FSC#SKEDITIONREG@103.510:viz_fileresporg_stat">
    <vt:lpwstr/>
  </property>
  <property fmtid="{D5CDD505-2E9C-101B-9397-08002B2CF9AE}" pid="389" name="FSC#SKEDITIONREG@103.510:viz_fileresporg_ulica">
    <vt:lpwstr/>
  </property>
  <property fmtid="{D5CDD505-2E9C-101B-9397-08002B2CF9AE}" pid="390" name="FSC#SKEDITIONREG@103.510:viz_fileresporgknazov">
    <vt:lpwstr/>
  </property>
  <property fmtid="{D5CDD505-2E9C-101B-9397-08002B2CF9AE}" pid="391" name="FSC#SKEDITIONREG@103.510:viz_filesubj">
    <vt:lpwstr/>
  </property>
  <property fmtid="{D5CDD505-2E9C-101B-9397-08002B2CF9AE}" pid="392" name="FSC#SKEDITIONREG@103.510:viz_incattachments">
    <vt:lpwstr/>
  </property>
  <property fmtid="{D5CDD505-2E9C-101B-9397-08002B2CF9AE}" pid="393" name="FSC#SKEDITIONREG@103.510:viz_incnr">
    <vt:lpwstr/>
  </property>
  <property fmtid="{D5CDD505-2E9C-101B-9397-08002B2CF9AE}" pid="394" name="FSC#SKEDITIONREG@103.510:viz_intletterrecivers">
    <vt:lpwstr/>
  </property>
  <property fmtid="{D5CDD505-2E9C-101B-9397-08002B2CF9AE}" pid="395" name="FSC#SKEDITIONREG@103.510:viz_objcreatedstr">
    <vt:lpwstr/>
  </property>
  <property fmtid="{D5CDD505-2E9C-101B-9397-08002B2CF9AE}" pid="396" name="FSC#SKEDITIONREG@103.510:viz_ordernumber">
    <vt:lpwstr/>
  </property>
  <property fmtid="{D5CDD505-2E9C-101B-9397-08002B2CF9AE}" pid="397" name="FSC#SKEDITIONREG@103.510:viz_oursign">
    <vt:lpwstr/>
  </property>
  <property fmtid="{D5CDD505-2E9C-101B-9397-08002B2CF9AE}" pid="398" name="FSC#SKEDITIONREG@103.510:viz_responseto_createdby">
    <vt:lpwstr/>
  </property>
  <property fmtid="{D5CDD505-2E9C-101B-9397-08002B2CF9AE}" pid="399" name="FSC#SKEDITIONREG@103.510:viz_sendersign">
    <vt:lpwstr/>
  </property>
  <property fmtid="{D5CDD505-2E9C-101B-9397-08002B2CF9AE}" pid="400" name="FSC#SKEDITIONREG@103.510:viz_shortfileresporg">
    <vt:lpwstr/>
  </property>
  <property fmtid="{D5CDD505-2E9C-101B-9397-08002B2CF9AE}" pid="401" name="FSC#SKEDITIONREG@103.510:viz_tel_number">
    <vt:lpwstr/>
  </property>
  <property fmtid="{D5CDD505-2E9C-101B-9397-08002B2CF9AE}" pid="402" name="FSC#SKEDITIONREG@103.510:viz_tel_number2">
    <vt:lpwstr/>
  </property>
  <property fmtid="{D5CDD505-2E9C-101B-9397-08002B2CF9AE}" pid="403" name="FSC#SKEDITIONREG@103.510:viz_testsalutation">
    <vt:lpwstr/>
  </property>
  <property fmtid="{D5CDD505-2E9C-101B-9397-08002B2CF9AE}" pid="404" name="FSC#SKEDITIONREG@103.510:viz_validfrom">
    <vt:lpwstr/>
  </property>
  <property fmtid="{D5CDD505-2E9C-101B-9397-08002B2CF9AE}" pid="405" name="FSC#SKEDITIONREG@103.510:zaznam_jeden_adresat">
    <vt:lpwstr/>
  </property>
  <property fmtid="{D5CDD505-2E9C-101B-9397-08002B2CF9AE}" pid="406" name="FSC#SKEDITIONREG@103.510:zaznam_vnut_adresati_1">
    <vt:lpwstr/>
  </property>
  <property fmtid="{D5CDD505-2E9C-101B-9397-08002B2CF9AE}" pid="407" name="FSC#SKEDITIONREG@103.510:zaznam_vnut_adresati_2">
    <vt:lpwstr/>
  </property>
  <property fmtid="{D5CDD505-2E9C-101B-9397-08002B2CF9AE}" pid="408" name="FSC#SKEDITIONREG@103.510:zaznam_vnut_adresati_3">
    <vt:lpwstr/>
  </property>
  <property fmtid="{D5CDD505-2E9C-101B-9397-08002B2CF9AE}" pid="409" name="FSC#SKEDITIONREG@103.510:zaznam_vnut_adresati_4">
    <vt:lpwstr/>
  </property>
  <property fmtid="{D5CDD505-2E9C-101B-9397-08002B2CF9AE}" pid="410" name="FSC#SKEDITIONREG@103.510:zaznam_vnut_adresati_5">
    <vt:lpwstr/>
  </property>
  <property fmtid="{D5CDD505-2E9C-101B-9397-08002B2CF9AE}" pid="411" name="FSC#SKEDITIONREG@103.510:zaznam_vnut_adresati_6">
    <vt:lpwstr/>
  </property>
  <property fmtid="{D5CDD505-2E9C-101B-9397-08002B2CF9AE}" pid="412" name="FSC#SKEDITIONREG@103.510:zaznam_vnut_adresati_7">
    <vt:lpwstr/>
  </property>
  <property fmtid="{D5CDD505-2E9C-101B-9397-08002B2CF9AE}" pid="413" name="FSC#SKEDITIONREG@103.510:zaznam_vnut_adresati_8">
    <vt:lpwstr/>
  </property>
  <property fmtid="{D5CDD505-2E9C-101B-9397-08002B2CF9AE}" pid="414" name="FSC#SKEDITIONREG@103.510:zaznam_vnut_adresati_9">
    <vt:lpwstr/>
  </property>
  <property fmtid="{D5CDD505-2E9C-101B-9397-08002B2CF9AE}" pid="415" name="FSC#SKEDITIONREG@103.510:zaznam_vnut_adresati_10">
    <vt:lpwstr/>
  </property>
  <property fmtid="{D5CDD505-2E9C-101B-9397-08002B2CF9AE}" pid="416" name="FSC#SKEDITIONREG@103.510:zaznam_vnut_adresati_11">
    <vt:lpwstr/>
  </property>
  <property fmtid="{D5CDD505-2E9C-101B-9397-08002B2CF9AE}" pid="417" name="FSC#SKEDITIONREG@103.510:zaznam_vnut_adresati_12">
    <vt:lpwstr/>
  </property>
  <property fmtid="{D5CDD505-2E9C-101B-9397-08002B2CF9AE}" pid="418" name="FSC#SKEDITIONREG@103.510:zaznam_vnut_adresati_13">
    <vt:lpwstr/>
  </property>
  <property fmtid="{D5CDD505-2E9C-101B-9397-08002B2CF9AE}" pid="419" name="FSC#SKEDITIONREG@103.510:zaznam_vnut_adresati_14">
    <vt:lpwstr/>
  </property>
  <property fmtid="{D5CDD505-2E9C-101B-9397-08002B2CF9AE}" pid="420" name="FSC#SKEDITIONREG@103.510:zaznam_vnut_adresati_15">
    <vt:lpwstr/>
  </property>
  <property fmtid="{D5CDD505-2E9C-101B-9397-08002B2CF9AE}" pid="421" name="FSC#SKEDITIONREG@103.510:zaznam_vnut_adresati_16">
    <vt:lpwstr/>
  </property>
  <property fmtid="{D5CDD505-2E9C-101B-9397-08002B2CF9AE}" pid="422" name="FSC#SKEDITIONREG@103.510:zaznam_vnut_adresati_17">
    <vt:lpwstr/>
  </property>
  <property fmtid="{D5CDD505-2E9C-101B-9397-08002B2CF9AE}" pid="423" name="FSC#SKEDITIONREG@103.510:zaznam_vnut_adresati_18">
    <vt:lpwstr/>
  </property>
  <property fmtid="{D5CDD505-2E9C-101B-9397-08002B2CF9AE}" pid="424" name="FSC#SKEDITIONREG@103.510:zaznam_vnut_adresati_19">
    <vt:lpwstr/>
  </property>
  <property fmtid="{D5CDD505-2E9C-101B-9397-08002B2CF9AE}" pid="425" name="FSC#SKEDITIONREG@103.510:zaznam_vnut_adresati_20">
    <vt:lpwstr/>
  </property>
  <property fmtid="{D5CDD505-2E9C-101B-9397-08002B2CF9AE}" pid="426" name="FSC#SKEDITIONREG@103.510:zaznam_vnut_adresati_21">
    <vt:lpwstr/>
  </property>
  <property fmtid="{D5CDD505-2E9C-101B-9397-08002B2CF9AE}" pid="427" name="FSC#SKEDITIONREG@103.510:zaznam_vnut_adresati_22">
    <vt:lpwstr/>
  </property>
  <property fmtid="{D5CDD505-2E9C-101B-9397-08002B2CF9AE}" pid="428" name="FSC#SKEDITIONREG@103.510:zaznam_vnut_adresati_23">
    <vt:lpwstr/>
  </property>
  <property fmtid="{D5CDD505-2E9C-101B-9397-08002B2CF9AE}" pid="429" name="FSC#SKEDITIONREG@103.510:zaznam_vnut_adresati_24">
    <vt:lpwstr/>
  </property>
  <property fmtid="{D5CDD505-2E9C-101B-9397-08002B2CF9AE}" pid="430" name="FSC#SKEDITIONREG@103.510:zaznam_vnut_adresati_25">
    <vt:lpwstr/>
  </property>
  <property fmtid="{D5CDD505-2E9C-101B-9397-08002B2CF9AE}" pid="431" name="FSC#SKEDITIONREG@103.510:zaznam_vnut_adresati_26">
    <vt:lpwstr/>
  </property>
  <property fmtid="{D5CDD505-2E9C-101B-9397-08002B2CF9AE}" pid="432" name="FSC#SKEDITIONREG@103.510:zaznam_vnut_adresati_27">
    <vt:lpwstr/>
  </property>
  <property fmtid="{D5CDD505-2E9C-101B-9397-08002B2CF9AE}" pid="433" name="FSC#SKEDITIONREG@103.510:zaznam_vnut_adresati_28">
    <vt:lpwstr/>
  </property>
  <property fmtid="{D5CDD505-2E9C-101B-9397-08002B2CF9AE}" pid="434" name="FSC#SKEDITIONREG@103.510:zaznam_vnut_adresati_29">
    <vt:lpwstr/>
  </property>
  <property fmtid="{D5CDD505-2E9C-101B-9397-08002B2CF9AE}" pid="435" name="FSC#SKEDITIONREG@103.510:zaznam_vnut_adresati_30">
    <vt:lpwstr/>
  </property>
  <property fmtid="{D5CDD505-2E9C-101B-9397-08002B2CF9AE}" pid="436" name="FSC#SKEDITIONREG@103.510:zaznam_vnut_adresati_31">
    <vt:lpwstr/>
  </property>
  <property fmtid="{D5CDD505-2E9C-101B-9397-08002B2CF9AE}" pid="437" name="FSC#SKEDITIONREG@103.510:zaznam_vnut_adresati_32">
    <vt:lpwstr/>
  </property>
  <property fmtid="{D5CDD505-2E9C-101B-9397-08002B2CF9AE}" pid="438" name="FSC#SKEDITIONREG@103.510:zaznam_vnut_adresati_33">
    <vt:lpwstr/>
  </property>
  <property fmtid="{D5CDD505-2E9C-101B-9397-08002B2CF9AE}" pid="439" name="FSC#SKEDITIONREG@103.510:zaznam_vnut_adresati_34">
    <vt:lpwstr/>
  </property>
  <property fmtid="{D5CDD505-2E9C-101B-9397-08002B2CF9AE}" pid="440" name="FSC#SKEDITIONREG@103.510:zaznam_vnut_adresati_35">
    <vt:lpwstr/>
  </property>
  <property fmtid="{D5CDD505-2E9C-101B-9397-08002B2CF9AE}" pid="441" name="FSC#SKEDITIONREG@103.510:zaznam_vnut_adresati_36">
    <vt:lpwstr/>
  </property>
  <property fmtid="{D5CDD505-2E9C-101B-9397-08002B2CF9AE}" pid="442" name="FSC#SKEDITIONREG@103.510:zaznam_vnut_adresati_37">
    <vt:lpwstr/>
  </property>
  <property fmtid="{D5CDD505-2E9C-101B-9397-08002B2CF9AE}" pid="443" name="FSC#SKEDITIONREG@103.510:zaznam_vnut_adresati_38">
    <vt:lpwstr/>
  </property>
  <property fmtid="{D5CDD505-2E9C-101B-9397-08002B2CF9AE}" pid="444" name="FSC#SKEDITIONREG@103.510:zaznam_vnut_adresati_39">
    <vt:lpwstr/>
  </property>
  <property fmtid="{D5CDD505-2E9C-101B-9397-08002B2CF9AE}" pid="445" name="FSC#SKEDITIONREG@103.510:zaznam_vnut_adresati_40">
    <vt:lpwstr/>
  </property>
  <property fmtid="{D5CDD505-2E9C-101B-9397-08002B2CF9AE}" pid="446" name="FSC#SKEDITIONREG@103.510:zaznam_vnut_adresati_41">
    <vt:lpwstr/>
  </property>
  <property fmtid="{D5CDD505-2E9C-101B-9397-08002B2CF9AE}" pid="447" name="FSC#SKEDITIONREG@103.510:zaznam_vnut_adresati_42">
    <vt:lpwstr/>
  </property>
  <property fmtid="{D5CDD505-2E9C-101B-9397-08002B2CF9AE}" pid="448" name="FSC#SKEDITIONREG@103.510:zaznam_vnut_adresati_43">
    <vt:lpwstr/>
  </property>
  <property fmtid="{D5CDD505-2E9C-101B-9397-08002B2CF9AE}" pid="449" name="FSC#SKEDITIONREG@103.510:zaznam_vnut_adresati_44">
    <vt:lpwstr/>
  </property>
  <property fmtid="{D5CDD505-2E9C-101B-9397-08002B2CF9AE}" pid="450" name="FSC#SKEDITIONREG@103.510:zaznam_vnut_adresati_45">
    <vt:lpwstr/>
  </property>
  <property fmtid="{D5CDD505-2E9C-101B-9397-08002B2CF9AE}" pid="451" name="FSC#SKEDITIONREG@103.510:zaznam_vnut_adresati_46">
    <vt:lpwstr/>
  </property>
  <property fmtid="{D5CDD505-2E9C-101B-9397-08002B2CF9AE}" pid="452" name="FSC#SKEDITIONREG@103.510:zaznam_vnut_adresati_47">
    <vt:lpwstr/>
  </property>
  <property fmtid="{D5CDD505-2E9C-101B-9397-08002B2CF9AE}" pid="453" name="FSC#SKEDITIONREG@103.510:zaznam_vnut_adresati_48">
    <vt:lpwstr/>
  </property>
  <property fmtid="{D5CDD505-2E9C-101B-9397-08002B2CF9AE}" pid="454" name="FSC#SKEDITIONREG@103.510:zaznam_vnut_adresati_49">
    <vt:lpwstr/>
  </property>
  <property fmtid="{D5CDD505-2E9C-101B-9397-08002B2CF9AE}" pid="455" name="FSC#SKEDITIONREG@103.510:zaznam_vnut_adresati_50">
    <vt:lpwstr/>
  </property>
  <property fmtid="{D5CDD505-2E9C-101B-9397-08002B2CF9AE}" pid="456" name="FSC#SKEDITIONREG@103.510:zaznam_vnut_adresati_51">
    <vt:lpwstr/>
  </property>
  <property fmtid="{D5CDD505-2E9C-101B-9397-08002B2CF9AE}" pid="457" name="FSC#SKEDITIONREG@103.510:zaznam_vnut_adresati_52">
    <vt:lpwstr/>
  </property>
  <property fmtid="{D5CDD505-2E9C-101B-9397-08002B2CF9AE}" pid="458" name="FSC#SKEDITIONREG@103.510:zaznam_vnut_adresati_53">
    <vt:lpwstr/>
  </property>
  <property fmtid="{D5CDD505-2E9C-101B-9397-08002B2CF9AE}" pid="459" name="FSC#SKEDITIONREG@103.510:zaznam_vnut_adresati_54">
    <vt:lpwstr/>
  </property>
  <property fmtid="{D5CDD505-2E9C-101B-9397-08002B2CF9AE}" pid="460" name="FSC#SKEDITIONREG@103.510:zaznam_vnut_adresati_55">
    <vt:lpwstr/>
  </property>
  <property fmtid="{D5CDD505-2E9C-101B-9397-08002B2CF9AE}" pid="461" name="FSC#SKEDITIONREG@103.510:zaznam_vnut_adresati_56">
    <vt:lpwstr/>
  </property>
  <property fmtid="{D5CDD505-2E9C-101B-9397-08002B2CF9AE}" pid="462" name="FSC#SKEDITIONREG@103.510:zaznam_vnut_adresati_57">
    <vt:lpwstr/>
  </property>
  <property fmtid="{D5CDD505-2E9C-101B-9397-08002B2CF9AE}" pid="463" name="FSC#SKEDITIONREG@103.510:zaznam_vnut_adresati_58">
    <vt:lpwstr/>
  </property>
  <property fmtid="{D5CDD505-2E9C-101B-9397-08002B2CF9AE}" pid="464" name="FSC#SKEDITIONREG@103.510:zaznam_vnut_adresati_59">
    <vt:lpwstr/>
  </property>
  <property fmtid="{D5CDD505-2E9C-101B-9397-08002B2CF9AE}" pid="465" name="FSC#SKEDITIONREG@103.510:zaznam_vnut_adresati_60">
    <vt:lpwstr/>
  </property>
  <property fmtid="{D5CDD505-2E9C-101B-9397-08002B2CF9AE}" pid="466" name="FSC#SKEDITIONREG@103.510:zaznam_vnut_adresati_61">
    <vt:lpwstr/>
  </property>
  <property fmtid="{D5CDD505-2E9C-101B-9397-08002B2CF9AE}" pid="467" name="FSC#SKEDITIONREG@103.510:zaznam_vnut_adresati_62">
    <vt:lpwstr/>
  </property>
  <property fmtid="{D5CDD505-2E9C-101B-9397-08002B2CF9AE}" pid="468" name="FSC#SKEDITIONREG@103.510:zaznam_vnut_adresati_63">
    <vt:lpwstr/>
  </property>
  <property fmtid="{D5CDD505-2E9C-101B-9397-08002B2CF9AE}" pid="469" name="FSC#SKEDITIONREG@103.510:zaznam_vnut_adresati_64">
    <vt:lpwstr/>
  </property>
  <property fmtid="{D5CDD505-2E9C-101B-9397-08002B2CF9AE}" pid="470" name="FSC#SKEDITIONREG@103.510:zaznam_vnut_adresati_65">
    <vt:lpwstr/>
  </property>
  <property fmtid="{D5CDD505-2E9C-101B-9397-08002B2CF9AE}" pid="471" name="FSC#SKEDITIONREG@103.510:zaznam_vnut_adresati_66">
    <vt:lpwstr/>
  </property>
  <property fmtid="{D5CDD505-2E9C-101B-9397-08002B2CF9AE}" pid="472" name="FSC#SKEDITIONREG@103.510:zaznam_vnut_adresati_67">
    <vt:lpwstr/>
  </property>
  <property fmtid="{D5CDD505-2E9C-101B-9397-08002B2CF9AE}" pid="473" name="FSC#SKEDITIONREG@103.510:zaznam_vnut_adresati_68">
    <vt:lpwstr/>
  </property>
  <property fmtid="{D5CDD505-2E9C-101B-9397-08002B2CF9AE}" pid="474" name="FSC#SKEDITIONREG@103.510:zaznam_vnut_adresati_69">
    <vt:lpwstr/>
  </property>
  <property fmtid="{D5CDD505-2E9C-101B-9397-08002B2CF9AE}" pid="475" name="FSC#SKEDITIONREG@103.510:zaznam_vnut_adresati_70">
    <vt:lpwstr/>
  </property>
  <property fmtid="{D5CDD505-2E9C-101B-9397-08002B2CF9AE}" pid="476" name="FSC#SKEDITIONREG@103.510:zaznam_vonk_adresati_1">
    <vt:lpwstr/>
  </property>
  <property fmtid="{D5CDD505-2E9C-101B-9397-08002B2CF9AE}" pid="477" name="FSC#SKEDITIONREG@103.510:zaznam_vonk_adresati_2">
    <vt:lpwstr/>
  </property>
  <property fmtid="{D5CDD505-2E9C-101B-9397-08002B2CF9AE}" pid="478" name="FSC#SKEDITIONREG@103.510:zaznam_vonk_adresati_3">
    <vt:lpwstr/>
  </property>
  <property fmtid="{D5CDD505-2E9C-101B-9397-08002B2CF9AE}" pid="479" name="FSC#SKEDITIONREG@103.510:zaznam_vonk_adresati_4">
    <vt:lpwstr/>
  </property>
  <property fmtid="{D5CDD505-2E9C-101B-9397-08002B2CF9AE}" pid="480" name="FSC#SKEDITIONREG@103.510:zaznam_vonk_adresati_5">
    <vt:lpwstr/>
  </property>
  <property fmtid="{D5CDD505-2E9C-101B-9397-08002B2CF9AE}" pid="481" name="FSC#SKEDITIONREG@103.510:zaznam_vonk_adresati_6">
    <vt:lpwstr/>
  </property>
  <property fmtid="{D5CDD505-2E9C-101B-9397-08002B2CF9AE}" pid="482" name="FSC#SKEDITIONREG@103.510:zaznam_vonk_adresati_7">
    <vt:lpwstr/>
  </property>
  <property fmtid="{D5CDD505-2E9C-101B-9397-08002B2CF9AE}" pid="483" name="FSC#SKEDITIONREG@103.510:zaznam_vonk_adresati_8">
    <vt:lpwstr/>
  </property>
  <property fmtid="{D5CDD505-2E9C-101B-9397-08002B2CF9AE}" pid="484" name="FSC#SKEDITIONREG@103.510:zaznam_vonk_adresati_9">
    <vt:lpwstr/>
  </property>
  <property fmtid="{D5CDD505-2E9C-101B-9397-08002B2CF9AE}" pid="485" name="FSC#SKEDITIONREG@103.510:zaznam_vonk_adresati_10">
    <vt:lpwstr/>
  </property>
  <property fmtid="{D5CDD505-2E9C-101B-9397-08002B2CF9AE}" pid="486" name="FSC#SKEDITIONREG@103.510:zaznam_vonk_adresati_11">
    <vt:lpwstr/>
  </property>
  <property fmtid="{D5CDD505-2E9C-101B-9397-08002B2CF9AE}" pid="487" name="FSC#SKEDITIONREG@103.510:zaznam_vonk_adresati_12">
    <vt:lpwstr/>
  </property>
  <property fmtid="{D5CDD505-2E9C-101B-9397-08002B2CF9AE}" pid="488" name="FSC#SKEDITIONREG@103.510:zaznam_vonk_adresati_13">
    <vt:lpwstr/>
  </property>
  <property fmtid="{D5CDD505-2E9C-101B-9397-08002B2CF9AE}" pid="489" name="FSC#SKEDITIONREG@103.510:zaznam_vonk_adresati_14">
    <vt:lpwstr/>
  </property>
  <property fmtid="{D5CDD505-2E9C-101B-9397-08002B2CF9AE}" pid="490" name="FSC#SKEDITIONREG@103.510:zaznam_vonk_adresati_15">
    <vt:lpwstr/>
  </property>
  <property fmtid="{D5CDD505-2E9C-101B-9397-08002B2CF9AE}" pid="491" name="FSC#SKEDITIONREG@103.510:zaznam_vonk_adresati_16">
    <vt:lpwstr/>
  </property>
  <property fmtid="{D5CDD505-2E9C-101B-9397-08002B2CF9AE}" pid="492" name="FSC#SKEDITIONREG@103.510:zaznam_vonk_adresati_17">
    <vt:lpwstr/>
  </property>
  <property fmtid="{D5CDD505-2E9C-101B-9397-08002B2CF9AE}" pid="493" name="FSC#SKEDITIONREG@103.510:zaznam_vonk_adresati_18">
    <vt:lpwstr/>
  </property>
  <property fmtid="{D5CDD505-2E9C-101B-9397-08002B2CF9AE}" pid="494" name="FSC#SKEDITIONREG@103.510:zaznam_vonk_adresati_19">
    <vt:lpwstr/>
  </property>
  <property fmtid="{D5CDD505-2E9C-101B-9397-08002B2CF9AE}" pid="495" name="FSC#SKEDITIONREG@103.510:zaznam_vonk_adresati_20">
    <vt:lpwstr/>
  </property>
  <property fmtid="{D5CDD505-2E9C-101B-9397-08002B2CF9AE}" pid="496" name="FSC#SKEDITIONREG@103.510:zaznam_vonk_adresati_21">
    <vt:lpwstr/>
  </property>
  <property fmtid="{D5CDD505-2E9C-101B-9397-08002B2CF9AE}" pid="497" name="FSC#SKEDITIONREG@103.510:zaznam_vonk_adresati_22">
    <vt:lpwstr/>
  </property>
  <property fmtid="{D5CDD505-2E9C-101B-9397-08002B2CF9AE}" pid="498" name="FSC#SKEDITIONREG@103.510:zaznam_vonk_adresati_23">
    <vt:lpwstr/>
  </property>
  <property fmtid="{D5CDD505-2E9C-101B-9397-08002B2CF9AE}" pid="499" name="FSC#SKEDITIONREG@103.510:zaznam_vonk_adresati_24">
    <vt:lpwstr/>
  </property>
  <property fmtid="{D5CDD505-2E9C-101B-9397-08002B2CF9AE}" pid="500" name="FSC#SKEDITIONREG@103.510:zaznam_vonk_adresati_25">
    <vt:lpwstr/>
  </property>
  <property fmtid="{D5CDD505-2E9C-101B-9397-08002B2CF9AE}" pid="501" name="FSC#SKEDITIONREG@103.510:zaznam_vonk_adresati_26">
    <vt:lpwstr/>
  </property>
  <property fmtid="{D5CDD505-2E9C-101B-9397-08002B2CF9AE}" pid="502" name="FSC#SKEDITIONREG@103.510:zaznam_vonk_adresati_27">
    <vt:lpwstr/>
  </property>
  <property fmtid="{D5CDD505-2E9C-101B-9397-08002B2CF9AE}" pid="503" name="FSC#SKEDITIONREG@103.510:zaznam_vonk_adresati_28">
    <vt:lpwstr/>
  </property>
  <property fmtid="{D5CDD505-2E9C-101B-9397-08002B2CF9AE}" pid="504" name="FSC#SKEDITIONREG@103.510:zaznam_vonk_adresati_29">
    <vt:lpwstr/>
  </property>
  <property fmtid="{D5CDD505-2E9C-101B-9397-08002B2CF9AE}" pid="505" name="FSC#SKEDITIONREG@103.510:zaznam_vonk_adresati_30">
    <vt:lpwstr/>
  </property>
  <property fmtid="{D5CDD505-2E9C-101B-9397-08002B2CF9AE}" pid="506" name="FSC#SKEDITIONREG@103.510:zaznam_vonk_adresati_31">
    <vt:lpwstr/>
  </property>
  <property fmtid="{D5CDD505-2E9C-101B-9397-08002B2CF9AE}" pid="507" name="FSC#SKEDITIONREG@103.510:zaznam_vonk_adresati_32">
    <vt:lpwstr/>
  </property>
  <property fmtid="{D5CDD505-2E9C-101B-9397-08002B2CF9AE}" pid="508" name="FSC#SKEDITIONREG@103.510:zaznam_vonk_adresati_33">
    <vt:lpwstr/>
  </property>
  <property fmtid="{D5CDD505-2E9C-101B-9397-08002B2CF9AE}" pid="509" name="FSC#SKEDITIONREG@103.510:zaznam_vonk_adresati_34">
    <vt:lpwstr/>
  </property>
  <property fmtid="{D5CDD505-2E9C-101B-9397-08002B2CF9AE}" pid="510" name="FSC#SKEDITIONREG@103.510:zaznam_vonk_adresati_35">
    <vt:lpwstr/>
  </property>
  <property fmtid="{D5CDD505-2E9C-101B-9397-08002B2CF9AE}" pid="511" name="FSC#SKEDITIONREG@103.510:Stazovatel">
    <vt:lpwstr/>
  </property>
  <property fmtid="{D5CDD505-2E9C-101B-9397-08002B2CF9AE}" pid="512" name="FSC#SKEDITIONREG@103.510:ProtiKomu">
    <vt:lpwstr/>
  </property>
  <property fmtid="{D5CDD505-2E9C-101B-9397-08002B2CF9AE}" pid="513" name="FSC#SKEDITIONREG@103.510:EvCisloStaz">
    <vt:lpwstr/>
  </property>
  <property fmtid="{D5CDD505-2E9C-101B-9397-08002B2CF9AE}" pid="514" name="FSC#SKEDITIONREG@103.510:jod_AttrDateSkutocnyDatumVydania">
    <vt:lpwstr/>
  </property>
  <property fmtid="{D5CDD505-2E9C-101B-9397-08002B2CF9AE}" pid="515" name="FSC#SKEDITIONREG@103.510:jod_AttrNumCisloZmeny">
    <vt:lpwstr/>
  </property>
  <property fmtid="{D5CDD505-2E9C-101B-9397-08002B2CF9AE}" pid="516" name="FSC#SKEDITIONREG@103.510:jod_AttrStrRegCisloZaznamu">
    <vt:lpwstr/>
  </property>
  <property fmtid="{D5CDD505-2E9C-101B-9397-08002B2CF9AE}" pid="517" name="FSC#SKEDITIONREG@103.510:jod_cislodoc">
    <vt:lpwstr/>
  </property>
  <property fmtid="{D5CDD505-2E9C-101B-9397-08002B2CF9AE}" pid="518" name="FSC#SKEDITIONREG@103.510:jod_druh">
    <vt:lpwstr/>
  </property>
  <property fmtid="{D5CDD505-2E9C-101B-9397-08002B2CF9AE}" pid="519" name="FSC#SKEDITIONREG@103.510:jod_lu">
    <vt:lpwstr/>
  </property>
  <property fmtid="{D5CDD505-2E9C-101B-9397-08002B2CF9AE}" pid="520" name="FSC#SKEDITIONREG@103.510:jod_nazov">
    <vt:lpwstr/>
  </property>
  <property fmtid="{D5CDD505-2E9C-101B-9397-08002B2CF9AE}" pid="521" name="FSC#SKEDITIONREG@103.510:jod_typ">
    <vt:lpwstr/>
  </property>
  <property fmtid="{D5CDD505-2E9C-101B-9397-08002B2CF9AE}" pid="522" name="FSC#SKEDITIONREG@103.510:jod_zh">
    <vt:lpwstr/>
  </property>
  <property fmtid="{D5CDD505-2E9C-101B-9397-08002B2CF9AE}" pid="523" name="FSC#SKEDITIONREG@103.510:jod_sAttrDatePlatnostDo">
    <vt:lpwstr/>
  </property>
  <property fmtid="{D5CDD505-2E9C-101B-9397-08002B2CF9AE}" pid="524" name="FSC#SKEDITIONREG@103.510:jod_sAttrDatePlatnostOd">
    <vt:lpwstr/>
  </property>
  <property fmtid="{D5CDD505-2E9C-101B-9397-08002B2CF9AE}" pid="525" name="FSC#SKEDITIONREG@103.510:jod_sAttrDateUcinnostDoc">
    <vt:lpwstr/>
  </property>
  <property fmtid="{D5CDD505-2E9C-101B-9397-08002B2CF9AE}" pid="526" name="FSC#SKEDITIONREG@103.510:a_telephone">
    <vt:lpwstr/>
  </property>
  <property fmtid="{D5CDD505-2E9C-101B-9397-08002B2CF9AE}" pid="527" name="FSC#SKEDITIONREG@103.510:a_email">
    <vt:lpwstr/>
  </property>
  <property fmtid="{D5CDD505-2E9C-101B-9397-08002B2CF9AE}" pid="528" name="FSC#SKEDITIONREG@103.510:a_nazovOU">
    <vt:lpwstr/>
  </property>
  <property fmtid="{D5CDD505-2E9C-101B-9397-08002B2CF9AE}" pid="529" name="FSC#SKEDITIONREG@103.510:a_veduciOU">
    <vt:lpwstr/>
  </property>
  <property fmtid="{D5CDD505-2E9C-101B-9397-08002B2CF9AE}" pid="530" name="FSC#SKEDITIONREG@103.510:a_nadradeneOU">
    <vt:lpwstr/>
  </property>
  <property fmtid="{D5CDD505-2E9C-101B-9397-08002B2CF9AE}" pid="531" name="FSC#SKEDITIONREG@103.510:a_veduciOd">
    <vt:lpwstr/>
  </property>
  <property fmtid="{D5CDD505-2E9C-101B-9397-08002B2CF9AE}" pid="532" name="FSC#SKEDITIONREG@103.510:a_komu">
    <vt:lpwstr/>
  </property>
  <property fmtid="{D5CDD505-2E9C-101B-9397-08002B2CF9AE}" pid="533" name="FSC#SKEDITIONREG@103.510:a_nasecislo">
    <vt:lpwstr/>
  </property>
  <property fmtid="{D5CDD505-2E9C-101B-9397-08002B2CF9AE}" pid="534" name="FSC#SKEDITIONREG@103.510:a_riaditelOdboru">
    <vt:lpwstr/>
  </property>
  <property fmtid="{D5CDD505-2E9C-101B-9397-08002B2CF9AE}" pid="535" name="FSC#SKEDITIONREG@103.510:zaz_fileresporg_addrstreet">
    <vt:lpwstr/>
  </property>
  <property fmtid="{D5CDD505-2E9C-101B-9397-08002B2CF9AE}" pid="536" name="FSC#SKEDITIONREG@103.510:zaz_fileresporg_addrzipcode">
    <vt:lpwstr/>
  </property>
  <property fmtid="{D5CDD505-2E9C-101B-9397-08002B2CF9AE}" pid="537" name="FSC#SKEDITIONREG@103.510:zaz_fileresporg_addrcity">
    <vt:lpwstr/>
  </property>
  <property fmtid="{D5CDD505-2E9C-101B-9397-08002B2CF9AE}" pid="538" name="FSC#SKMODSYS@103.500:mdnazov">
    <vt:lpwstr/>
  </property>
  <property fmtid="{D5CDD505-2E9C-101B-9397-08002B2CF9AE}" pid="539" name="FSC#SKMODSYS@103.500:mdfileresp">
    <vt:lpwstr/>
  </property>
  <property fmtid="{D5CDD505-2E9C-101B-9397-08002B2CF9AE}" pid="540" name="FSC#SKMODSYS@103.500:mdfileresporg">
    <vt:lpwstr/>
  </property>
  <property fmtid="{D5CDD505-2E9C-101B-9397-08002B2CF9AE}" pid="541" name="FSC#SKMODSYS@103.500:mdcreateat">
    <vt:lpwstr>19. 10. 2026</vt:lpwstr>
  </property>
  <property fmtid="{D5CDD505-2E9C-101B-9397-08002B2CF9AE}" pid="542" name="FSC#SKCP@103.500:cp_AttrPtrOrgUtvar">
    <vt:lpwstr/>
  </property>
  <property fmtid="{D5CDD505-2E9C-101B-9397-08002B2CF9AE}" pid="543" name="FSC#SKCP@103.500:cp_AttrStrEvCisloCP">
    <vt:lpwstr> </vt:lpwstr>
  </property>
  <property fmtid="{D5CDD505-2E9C-101B-9397-08002B2CF9AE}" pid="544" name="FSC#SKCP@103.500:cp_zamestnanec">
    <vt:lpwstr/>
  </property>
  <property fmtid="{D5CDD505-2E9C-101B-9397-08002B2CF9AE}" pid="545" name="FSC#SKCP@103.500:cpt_miestoRokovania">
    <vt:lpwstr/>
  </property>
  <property fmtid="{D5CDD505-2E9C-101B-9397-08002B2CF9AE}" pid="546" name="FSC#SKCP@103.500:cpt_datumCesty">
    <vt:lpwstr/>
  </property>
  <property fmtid="{D5CDD505-2E9C-101B-9397-08002B2CF9AE}" pid="547" name="FSC#SKCP@103.500:cpt_ucelCesty">
    <vt:lpwstr/>
  </property>
  <property fmtid="{D5CDD505-2E9C-101B-9397-08002B2CF9AE}" pid="548" name="FSC#SKCP@103.500:cpz_miestoRokovania">
    <vt:lpwstr/>
  </property>
  <property fmtid="{D5CDD505-2E9C-101B-9397-08002B2CF9AE}" pid="549" name="FSC#SKCP@103.500:cpz_datumCesty">
    <vt:lpwstr> - </vt:lpwstr>
  </property>
  <property fmtid="{D5CDD505-2E9C-101B-9397-08002B2CF9AE}" pid="550" name="FSC#SKCP@103.500:cpz_ucelCesty">
    <vt:lpwstr/>
  </property>
  <property fmtid="{D5CDD505-2E9C-101B-9397-08002B2CF9AE}" pid="551" name="FSC#SKCP@103.500:cpz_datumVypracovania">
    <vt:lpwstr/>
  </property>
  <property fmtid="{D5CDD505-2E9C-101B-9397-08002B2CF9AE}" pid="552" name="FSC#SKCP@103.500:cpz_datPodpSchv1">
    <vt:lpwstr/>
  </property>
  <property fmtid="{D5CDD505-2E9C-101B-9397-08002B2CF9AE}" pid="553" name="FSC#SKCP@103.500:cpz_datPodpSchv2">
    <vt:lpwstr/>
  </property>
  <property fmtid="{D5CDD505-2E9C-101B-9397-08002B2CF9AE}" pid="554" name="FSC#SKCP@103.500:cpz_datPodpSchv3">
    <vt:lpwstr/>
  </property>
  <property fmtid="{D5CDD505-2E9C-101B-9397-08002B2CF9AE}" pid="555" name="FSC#SKCP@103.500:cpz_PodpSchv1">
    <vt:lpwstr/>
  </property>
  <property fmtid="{D5CDD505-2E9C-101B-9397-08002B2CF9AE}" pid="556" name="FSC#SKCP@103.500:cpz_PodpSchv2">
    <vt:lpwstr/>
  </property>
  <property fmtid="{D5CDD505-2E9C-101B-9397-08002B2CF9AE}" pid="557" name="FSC#SKCP@103.500:cpz_PodpSchv3">
    <vt:lpwstr/>
  </property>
  <property fmtid="{D5CDD505-2E9C-101B-9397-08002B2CF9AE}" pid="558" name="FSC#SKCP@103.500:cpz_Funkcia">
    <vt:lpwstr/>
  </property>
  <property fmtid="{D5CDD505-2E9C-101B-9397-08002B2CF9AE}" pid="559" name="FSC#SKCP@103.500:cp_Spolucestujuci">
    <vt:lpwstr/>
  </property>
  <property fmtid="{D5CDD505-2E9C-101B-9397-08002B2CF9AE}" pid="560" name="FSC#SKNAD@103.500:nad_objname">
    <vt:lpwstr/>
  </property>
  <property fmtid="{D5CDD505-2E9C-101B-9397-08002B2CF9AE}" pid="561" name="FSC#SKNAD@103.500:nad_AttrStrNazov">
    <vt:lpwstr/>
  </property>
  <property fmtid="{D5CDD505-2E9C-101B-9397-08002B2CF9AE}" pid="562" name="FSC#SKNAD@103.500:nad_AttrPtrSpracovatel">
    <vt:lpwstr/>
  </property>
  <property fmtid="{D5CDD505-2E9C-101B-9397-08002B2CF9AE}" pid="563" name="FSC#SKNAD@103.500:nad_AttrPtrGestor1">
    <vt:lpwstr/>
  </property>
  <property fmtid="{D5CDD505-2E9C-101B-9397-08002B2CF9AE}" pid="564" name="FSC#SKNAD@103.500:nad_AttrPtrGestor1Funkcia">
    <vt:lpwstr/>
  </property>
  <property fmtid="{D5CDD505-2E9C-101B-9397-08002B2CF9AE}" pid="565" name="FSC#SKNAD@103.500:nad_AttrPtrGestor1OU">
    <vt:lpwstr/>
  </property>
  <property fmtid="{D5CDD505-2E9C-101B-9397-08002B2CF9AE}" pid="566" name="FSC#SKNAD@103.500:nad_AttrPtrGestor2">
    <vt:lpwstr/>
  </property>
  <property fmtid="{D5CDD505-2E9C-101B-9397-08002B2CF9AE}" pid="567" name="FSC#SKNAD@103.500:nad_AttrPtrGestor2Funkcia">
    <vt:lpwstr/>
  </property>
  <property fmtid="{D5CDD505-2E9C-101B-9397-08002B2CF9AE}" pid="568" name="FSC#SKNAD@103.500:nad_schvalil">
    <vt:lpwstr/>
  </property>
  <property fmtid="{D5CDD505-2E9C-101B-9397-08002B2CF9AE}" pid="569" name="FSC#SKNAD@103.500:nad_schvalilfunkcia">
    <vt:lpwstr/>
  </property>
  <property fmtid="{D5CDD505-2E9C-101B-9397-08002B2CF9AE}" pid="570" name="FSC#SKNAD@103.500:nad_vr">
    <vt:lpwstr/>
  </property>
  <property fmtid="{D5CDD505-2E9C-101B-9397-08002B2CF9AE}" pid="571" name="FSC#SKNAD@103.500:nad_AttrDateDatumPodpisania">
    <vt:lpwstr/>
  </property>
  <property fmtid="{D5CDD505-2E9C-101B-9397-08002B2CF9AE}" pid="572" name="FSC#SKNAD@103.500:nad_pripobjname">
    <vt:lpwstr/>
  </property>
  <property fmtid="{D5CDD505-2E9C-101B-9397-08002B2CF9AE}" pid="573" name="FSC#SKNAD@103.500:nad_pripVytvorilKto">
    <vt:lpwstr/>
  </property>
  <property fmtid="{D5CDD505-2E9C-101B-9397-08002B2CF9AE}" pid="574" name="FSC#SKNAD@103.500:nad_pripVytvorilKedy">
    <vt:lpwstr>19.10.2026, 07:34</vt:lpwstr>
  </property>
  <property fmtid="{D5CDD505-2E9C-101B-9397-08002B2CF9AE}" pid="575" name="FSC#SKNAD@103.500:nad_AttrStrCisloNA">
    <vt:lpwstr/>
  </property>
  <property fmtid="{D5CDD505-2E9C-101B-9397-08002B2CF9AE}" pid="576" name="FSC#SKNAD@103.500:nad_AttrDateUcinnaOd">
    <vt:lpwstr/>
  </property>
  <property fmtid="{D5CDD505-2E9C-101B-9397-08002B2CF9AE}" pid="577" name="FSC#SKNAD@103.500:nad_AttrDateUcinnaDo">
    <vt:lpwstr/>
  </property>
  <property fmtid="{D5CDD505-2E9C-101B-9397-08002B2CF9AE}" pid="578" name="FSC#SKNAD@103.500:nad_AttrPtrPredchadzajuceNA">
    <vt:lpwstr/>
  </property>
  <property fmtid="{D5CDD505-2E9C-101B-9397-08002B2CF9AE}" pid="579" name="FSC#SKNAD@103.500:nad_AttrPtrSpracovatelOU">
    <vt:lpwstr/>
  </property>
  <property fmtid="{D5CDD505-2E9C-101B-9397-08002B2CF9AE}" pid="580" name="FSC#SKNAD@103.500:nad_AttrPtrPatriKNA">
    <vt:lpwstr/>
  </property>
  <property fmtid="{D5CDD505-2E9C-101B-9397-08002B2CF9AE}" pid="581" name="FSC#SKNAD@103.500:nad_AttrIntCisloDodatku">
    <vt:lpwstr/>
  </property>
  <property fmtid="{D5CDD505-2E9C-101B-9397-08002B2CF9AE}" pid="582" name="FSC#SKNAD@103.500:nad_AttrPtrSpracVeduci">
    <vt:lpwstr/>
  </property>
  <property fmtid="{D5CDD505-2E9C-101B-9397-08002B2CF9AE}" pid="583" name="FSC#SKNAD@103.500:nad_AttrPtrSpracVeduciOU">
    <vt:lpwstr/>
  </property>
  <property fmtid="{D5CDD505-2E9C-101B-9397-08002B2CF9AE}" pid="584" name="FSC#SKNAD@103.500:nad_spis">
    <vt:lpwstr/>
  </property>
  <property fmtid="{D5CDD505-2E9C-101B-9397-08002B2CF9AE}" pid="585" name="FSC#SKNAD@103.500:nad_spracovatelfunkcia">
    <vt:lpwstr/>
  </property>
  <property fmtid="{D5CDD505-2E9C-101B-9397-08002B2CF9AE}" pid="586" name="FSC#SKNAD@103.500:nad_AttrDatePlatnostiDo">
    <vt:lpwstr/>
  </property>
  <property fmtid="{D5CDD505-2E9C-101B-9397-08002B2CF9AE}" pid="587" name="FSC#SKNAD@103.500:nad_AttrDatePlatnostiOd">
    <vt:lpwstr/>
  </property>
  <property fmtid="{D5CDD505-2E9C-101B-9397-08002B2CF9AE}" pid="588" name="FSC#SKPUPP@103.500:pupp_riaditelPorady">
    <vt:lpwstr/>
  </property>
  <property fmtid="{D5CDD505-2E9C-101B-9397-08002B2CF9AE}" pid="589" name="FSC#SKPUPP@103.500:pupp_cisloporady">
    <vt:lpwstr/>
  </property>
  <property fmtid="{D5CDD505-2E9C-101B-9397-08002B2CF9AE}" pid="590" name="FSC#SKPUPP@103.500:pupp_konanieOHodine">
    <vt:lpwstr/>
  </property>
  <property fmtid="{D5CDD505-2E9C-101B-9397-08002B2CF9AE}" pid="591" name="FSC#SKPUPP@103.500:pupp_datPorMesiacString">
    <vt:lpwstr/>
  </property>
  <property fmtid="{D5CDD505-2E9C-101B-9397-08002B2CF9AE}" pid="592" name="FSC#SKPUPP@103.500:pupp_datumporady">
    <vt:lpwstr/>
  </property>
  <property fmtid="{D5CDD505-2E9C-101B-9397-08002B2CF9AE}" pid="593" name="FSC#SKPUPP@103.500:pupp_konaniedo">
    <vt:lpwstr/>
  </property>
  <property fmtid="{D5CDD505-2E9C-101B-9397-08002B2CF9AE}" pid="594" name="FSC#SKPUPP@103.500:pupp_konanieod">
    <vt:lpwstr/>
  </property>
  <property fmtid="{D5CDD505-2E9C-101B-9397-08002B2CF9AE}" pid="595" name="FSC#SKPUPP@103.500:pupp_menopp">
    <vt:lpwstr/>
  </property>
  <property fmtid="{D5CDD505-2E9C-101B-9397-08002B2CF9AE}" pid="596" name="FSC#SKPUPP@103.500:pupp_miestokonania">
    <vt:lpwstr/>
  </property>
  <property fmtid="{D5CDD505-2E9C-101B-9397-08002B2CF9AE}" pid="597" name="FSC#SKPUPP@103.500:pupp_temaporady">
    <vt:lpwstr/>
  </property>
  <property fmtid="{D5CDD505-2E9C-101B-9397-08002B2CF9AE}" pid="598" name="FSC#SKPUPP@103.500:pupp_ucastnici">
    <vt:lpwstr/>
  </property>
  <property fmtid="{D5CDD505-2E9C-101B-9397-08002B2CF9AE}" pid="599" name="FSC#SKPUPP@103.500:pupp_ulohy">
    <vt:lpwstr>test</vt:lpwstr>
  </property>
  <property fmtid="{D5CDD505-2E9C-101B-9397-08002B2CF9AE}" pid="600" name="FSC#SKPUPP@103.500:pupp_ucastnici_funkcie">
    <vt:lpwstr/>
  </property>
  <property fmtid="{D5CDD505-2E9C-101B-9397-08002B2CF9AE}" pid="601" name="FSC#SKPUPP@103.500:pupp_nazov_ulohy">
    <vt:lpwstr/>
  </property>
  <property fmtid="{D5CDD505-2E9C-101B-9397-08002B2CF9AE}" pid="602" name="FSC#SKPUPP@103.500:pupp_cislo_ulohy">
    <vt:lpwstr/>
  </property>
  <property fmtid="{D5CDD505-2E9C-101B-9397-08002B2CF9AE}" pid="603" name="FSC#SKPUPP@103.500:pupp_riesitel_ulohy">
    <vt:lpwstr/>
  </property>
  <property fmtid="{D5CDD505-2E9C-101B-9397-08002B2CF9AE}" pid="604" name="FSC#SKPUPP@103.500:pupp_vybavit_ulohy">
    <vt:lpwstr/>
  </property>
  <property fmtid="{D5CDD505-2E9C-101B-9397-08002B2CF9AE}" pid="605" name="FSC#SKPUPP@103.500:pupp_orgutvar">
    <vt:lpwstr/>
  </property>
  <property fmtid="{D5CDD505-2E9C-101B-9397-08002B2CF9AE}" pid="606" name="FSC#COOELAK@1.1001:Subject">
    <vt:lpwstr/>
  </property>
  <property fmtid="{D5CDD505-2E9C-101B-9397-08002B2CF9AE}" pid="607" name="FSC#COOELAK@1.1001:FileReference">
    <vt:lpwstr/>
  </property>
  <property fmtid="{D5CDD505-2E9C-101B-9397-08002B2CF9AE}" pid="608" name="FSC#COOELAK@1.1001:FileRefYear">
    <vt:lpwstr/>
  </property>
  <property fmtid="{D5CDD505-2E9C-101B-9397-08002B2CF9AE}" pid="609" name="FSC#COOELAK@1.1001:FileRefOrdinal">
    <vt:lpwstr/>
  </property>
  <property fmtid="{D5CDD505-2E9C-101B-9397-08002B2CF9AE}" pid="610" name="FSC#COOELAK@1.1001:FileRefOU">
    <vt:lpwstr/>
  </property>
  <property fmtid="{D5CDD505-2E9C-101B-9397-08002B2CF9AE}" pid="611" name="FSC#COOELAK@1.1001:Organization">
    <vt:lpwstr/>
  </property>
  <property fmtid="{D5CDD505-2E9C-101B-9397-08002B2CF9AE}" pid="612" name="FSC#COOELAK@1.1001:Owner">
    <vt:lpwstr>Mgr. Zuzana Tarabíková</vt:lpwstr>
  </property>
  <property fmtid="{D5CDD505-2E9C-101B-9397-08002B2CF9AE}" pid="613" name="FSC#COOELAK@1.1001:OwnerExtension">
    <vt:lpwstr/>
  </property>
  <property fmtid="{D5CDD505-2E9C-101B-9397-08002B2CF9AE}" pid="614" name="FSC#COOELAK@1.1001:OwnerFaxExtension">
    <vt:lpwstr/>
  </property>
  <property fmtid="{D5CDD505-2E9C-101B-9397-08002B2CF9AE}" pid="615" name="FSC#COOELAK@1.1001:DispatchedBy">
    <vt:lpwstr/>
  </property>
  <property fmtid="{D5CDD505-2E9C-101B-9397-08002B2CF9AE}" pid="616" name="FSC#COOELAK@1.1001:DispatchedAt">
    <vt:lpwstr/>
  </property>
  <property fmtid="{D5CDD505-2E9C-101B-9397-08002B2CF9AE}" pid="617" name="FSC#COOELAK@1.1001:ApprovedBy">
    <vt:lpwstr/>
  </property>
  <property fmtid="{D5CDD505-2E9C-101B-9397-08002B2CF9AE}" pid="618" name="FSC#COOELAK@1.1001:ApprovedAt">
    <vt:lpwstr/>
  </property>
  <property fmtid="{D5CDD505-2E9C-101B-9397-08002B2CF9AE}" pid="619" name="FSC#COOELAK@1.1001:Department">
    <vt:lpwstr>SL (SEKCIA LEGISLATÍVY A PRÁVNYCH SLUŽIEB MV SR)</vt:lpwstr>
  </property>
  <property fmtid="{D5CDD505-2E9C-101B-9397-08002B2CF9AE}" pid="620" name="FSC#COOELAK@1.1001:CreatedAt">
    <vt:lpwstr>19.10.2026</vt:lpwstr>
  </property>
  <property fmtid="{D5CDD505-2E9C-101B-9397-08002B2CF9AE}" pid="621" name="FSC#COOELAK@1.1001:OU">
    <vt:lpwstr>SL (SEKCIA LEGISLATÍVY A PRÁVNYCH SLUŽIEB MV SR)</vt:lpwstr>
  </property>
  <property fmtid="{D5CDD505-2E9C-101B-9397-08002B2CF9AE}" pid="622" name="FSC#COOELAK@1.1001:Priority">
    <vt:lpwstr> ()</vt:lpwstr>
  </property>
  <property fmtid="{D5CDD505-2E9C-101B-9397-08002B2CF9AE}" pid="623" name="FSC#COOELAK@1.1001:ObjBarCode">
    <vt:lpwstr>*COO.2176.360.2.2550463*</vt:lpwstr>
  </property>
  <property fmtid="{D5CDD505-2E9C-101B-9397-08002B2CF9AE}" pid="624" name="FSC#COOELAK@1.1001:RefBarCode">
    <vt:lpwstr/>
  </property>
  <property fmtid="{D5CDD505-2E9C-101B-9397-08002B2CF9AE}" pid="625" name="FSC#COOELAK@1.1001:FileRefBarCode">
    <vt:lpwstr>**</vt:lpwstr>
  </property>
  <property fmtid="{D5CDD505-2E9C-101B-9397-08002B2CF9AE}" pid="626" name="FSC#COOELAK@1.1001:ExternalRef">
    <vt:lpwstr/>
  </property>
  <property fmtid="{D5CDD505-2E9C-101B-9397-08002B2CF9AE}" pid="627" name="FSC#COOELAK@1.1001:IncomingNumber">
    <vt:lpwstr/>
  </property>
  <property fmtid="{D5CDD505-2E9C-101B-9397-08002B2CF9AE}" pid="628" name="FSC#COOELAK@1.1001:IncomingSubject">
    <vt:lpwstr/>
  </property>
  <property fmtid="{D5CDD505-2E9C-101B-9397-08002B2CF9AE}" pid="629" name="FSC#COOELAK@1.1001:ProcessResponsible">
    <vt:lpwstr/>
  </property>
  <property fmtid="{D5CDD505-2E9C-101B-9397-08002B2CF9AE}" pid="630" name="FSC#COOELAK@1.1001:ProcessResponsiblePhone">
    <vt:lpwstr/>
  </property>
  <property fmtid="{D5CDD505-2E9C-101B-9397-08002B2CF9AE}" pid="631" name="FSC#COOELAK@1.1001:ProcessResponsibleMail">
    <vt:lpwstr/>
  </property>
  <property fmtid="{D5CDD505-2E9C-101B-9397-08002B2CF9AE}" pid="632" name="FSC#COOELAK@1.1001:ProcessResponsibleFax">
    <vt:lpwstr/>
  </property>
  <property fmtid="{D5CDD505-2E9C-101B-9397-08002B2CF9AE}" pid="633" name="FSC#COOELAK@1.1001:ApproverFirstName">
    <vt:lpwstr/>
  </property>
  <property fmtid="{D5CDD505-2E9C-101B-9397-08002B2CF9AE}" pid="634" name="FSC#COOELAK@1.1001:ApproverSurName">
    <vt:lpwstr/>
  </property>
  <property fmtid="{D5CDD505-2E9C-101B-9397-08002B2CF9AE}" pid="635" name="FSC#COOELAK@1.1001:ApproverTitle">
    <vt:lpwstr/>
  </property>
  <property fmtid="{D5CDD505-2E9C-101B-9397-08002B2CF9AE}" pid="636" name="FSC#COOELAK@1.1001:ExternalDate">
    <vt:lpwstr/>
  </property>
  <property fmtid="{D5CDD505-2E9C-101B-9397-08002B2CF9AE}" pid="637" name="FSC#COOELAK@1.1001:SettlementApprovedAt">
    <vt:lpwstr/>
  </property>
  <property fmtid="{D5CDD505-2E9C-101B-9397-08002B2CF9AE}" pid="638" name="FSC#COOELAK@1.1001:BaseNumber">
    <vt:lpwstr/>
  </property>
  <property fmtid="{D5CDD505-2E9C-101B-9397-08002B2CF9AE}" pid="639" name="FSC#COOELAK@1.1001:CurrentUserRolePos">
    <vt:lpwstr>referent 3</vt:lpwstr>
  </property>
  <property fmtid="{D5CDD505-2E9C-101B-9397-08002B2CF9AE}" pid="640" name="FSC#COOELAK@1.1001:CurrentUserEmail">
    <vt:lpwstr>Juraj.Benik@minv.sk</vt:lpwstr>
  </property>
  <property fmtid="{D5CDD505-2E9C-101B-9397-08002B2CF9AE}" pid="641" name="FSC#ELAKGOV@1.1001:PersonalSubjGender">
    <vt:lpwstr/>
  </property>
  <property fmtid="{D5CDD505-2E9C-101B-9397-08002B2CF9AE}" pid="642" name="FSC#ELAKGOV@1.1001:PersonalSubjFirstName">
    <vt:lpwstr/>
  </property>
  <property fmtid="{D5CDD505-2E9C-101B-9397-08002B2CF9AE}" pid="643" name="FSC#ELAKGOV@1.1001:PersonalSubjSurName">
    <vt:lpwstr/>
  </property>
  <property fmtid="{D5CDD505-2E9C-101B-9397-08002B2CF9AE}" pid="644" name="FSC#ELAKGOV@1.1001:PersonalSubjSalutation">
    <vt:lpwstr/>
  </property>
  <property fmtid="{D5CDD505-2E9C-101B-9397-08002B2CF9AE}" pid="645" name="FSC#ELAKGOV@1.1001:PersonalSubjAddress">
    <vt:lpwstr/>
  </property>
  <property fmtid="{D5CDD505-2E9C-101B-9397-08002B2CF9AE}" pid="646" name="FSC#ATSTATECFG@1.1001:Office">
    <vt:lpwstr/>
  </property>
  <property fmtid="{D5CDD505-2E9C-101B-9397-08002B2CF9AE}" pid="647" name="FSC#ATSTATECFG@1.1001:Agent">
    <vt:lpwstr/>
  </property>
  <property fmtid="{D5CDD505-2E9C-101B-9397-08002B2CF9AE}" pid="648" name="FSC#ATSTATECFG@1.1001:AgentPhone">
    <vt:lpwstr/>
  </property>
  <property fmtid="{D5CDD505-2E9C-101B-9397-08002B2CF9AE}" pid="649" name="FSC#ATSTATECFG@1.1001:DepartmentFax">
    <vt:lpwstr/>
  </property>
  <property fmtid="{D5CDD505-2E9C-101B-9397-08002B2CF9AE}" pid="650" name="FSC#ATSTATECFG@1.1001:DepartmentEmail">
    <vt:lpwstr/>
  </property>
  <property fmtid="{D5CDD505-2E9C-101B-9397-08002B2CF9AE}" pid="651" name="FSC#ATSTATECFG@1.1001:SubfileDate">
    <vt:lpwstr/>
  </property>
  <property fmtid="{D5CDD505-2E9C-101B-9397-08002B2CF9AE}" pid="652" name="FSC#ATSTATECFG@1.1001:SubfileSubject">
    <vt:lpwstr/>
  </property>
  <property fmtid="{D5CDD505-2E9C-101B-9397-08002B2CF9AE}" pid="653" name="FSC#ATSTATECFG@1.1001:DepartmentZipCode">
    <vt:lpwstr/>
  </property>
  <property fmtid="{D5CDD505-2E9C-101B-9397-08002B2CF9AE}" pid="654" name="FSC#ATSTATECFG@1.1001:DepartmentCountry">
    <vt:lpwstr/>
  </property>
  <property fmtid="{D5CDD505-2E9C-101B-9397-08002B2CF9AE}" pid="655" name="FSC#ATSTATECFG@1.1001:DepartmentCity">
    <vt:lpwstr/>
  </property>
  <property fmtid="{D5CDD505-2E9C-101B-9397-08002B2CF9AE}" pid="656" name="FSC#ATSTATECFG@1.1001:DepartmentStreet">
    <vt:lpwstr/>
  </property>
  <property fmtid="{D5CDD505-2E9C-101B-9397-08002B2CF9AE}" pid="657" name="FSC#CCAPRECONFIGG@15.1001:DepartmentON">
    <vt:lpwstr/>
  </property>
  <property fmtid="{D5CDD505-2E9C-101B-9397-08002B2CF9AE}" pid="658" name="FSC#CCAPRECONFIGG@15.1001:DepartmentWebsite">
    <vt:lpwstr/>
  </property>
  <property fmtid="{D5CDD505-2E9C-101B-9397-08002B2CF9AE}" pid="659" name="FSC#ATSTATECFG@1.1001:DepartmentDVR">
    <vt:lpwstr/>
  </property>
  <property fmtid="{D5CDD505-2E9C-101B-9397-08002B2CF9AE}" pid="660" name="FSC#ATSTATECFG@1.1001:DepartmentUID">
    <vt:lpwstr/>
  </property>
  <property fmtid="{D5CDD505-2E9C-101B-9397-08002B2CF9AE}" pid="661" name="FSC#ATSTATECFG@1.1001:SubfileReference">
    <vt:lpwstr/>
  </property>
  <property fmtid="{D5CDD505-2E9C-101B-9397-08002B2CF9AE}" pid="662" name="FSC#ATSTATECFG@1.1001:Clause">
    <vt:lpwstr/>
  </property>
  <property fmtid="{D5CDD505-2E9C-101B-9397-08002B2CF9AE}" pid="663" name="FSC#ATSTATECFG@1.1001:ApprovedSignature">
    <vt:lpwstr/>
  </property>
  <property fmtid="{D5CDD505-2E9C-101B-9397-08002B2CF9AE}" pid="664" name="FSC#ATSTATECFG@1.1001:BankAccount">
    <vt:lpwstr/>
  </property>
  <property fmtid="{D5CDD505-2E9C-101B-9397-08002B2CF9AE}" pid="665" name="FSC#ATSTATECFG@1.1001:BankAccountOwner">
    <vt:lpwstr/>
  </property>
  <property fmtid="{D5CDD505-2E9C-101B-9397-08002B2CF9AE}" pid="666" name="FSC#ATSTATECFG@1.1001:BankInstitute">
    <vt:lpwstr/>
  </property>
  <property fmtid="{D5CDD505-2E9C-101B-9397-08002B2CF9AE}" pid="667" name="FSC#ATSTATECFG@1.1001:BankAccountID">
    <vt:lpwstr/>
  </property>
  <property fmtid="{D5CDD505-2E9C-101B-9397-08002B2CF9AE}" pid="668" name="FSC#ATSTATECFG@1.1001:BankAccountIBAN">
    <vt:lpwstr/>
  </property>
  <property fmtid="{D5CDD505-2E9C-101B-9397-08002B2CF9AE}" pid="669" name="FSC#ATSTATECFG@1.1001:BankAccountBIC">
    <vt:lpwstr/>
  </property>
  <property fmtid="{D5CDD505-2E9C-101B-9397-08002B2CF9AE}" pid="670" name="FSC#ATSTATECFG@1.1001:BankName">
    <vt:lpwstr/>
  </property>
  <property fmtid="{D5CDD505-2E9C-101B-9397-08002B2CF9AE}" pid="671" name="FSC#COOELAK@1.1001:ObjectAddressees">
    <vt:lpwstr/>
  </property>
  <property fmtid="{D5CDD505-2E9C-101B-9397-08002B2CF9AE}" pid="672" name="FSC#COOELAK@1.1001:replyreference">
    <vt:lpwstr/>
  </property>
  <property fmtid="{D5CDD505-2E9C-101B-9397-08002B2CF9AE}" pid="673" name="FSC#COOELAK@1.1001:OfficeHours">
    <vt:lpwstr/>
  </property>
  <property fmtid="{D5CDD505-2E9C-101B-9397-08002B2CF9AE}" pid="674" name="FSC#COOELAK@1.1001:FileRefOULong">
    <vt:lpwstr/>
  </property>
</Properties>
</file>