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22516163" w14:textId="77777777"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240FC486" w14:textId="64B4D887" w:rsidR="00C921EB" w:rsidRPr="00C921EB" w:rsidRDefault="00C921EB" w:rsidP="00054C41">
      <w:pPr>
        <w:jc w:val="both"/>
        <w:rPr>
          <w:rFonts w:ascii="Times New Roman" w:eastAsia="Calibri" w:hAnsi="Times New Roman" w:cs="Times New Roman"/>
          <w:bCs/>
          <w:sz w:val="24"/>
          <w:szCs w:val="24"/>
        </w:rPr>
      </w:pPr>
      <w:r w:rsidRPr="00C921EB">
        <w:rPr>
          <w:rFonts w:ascii="Times New Roman" w:eastAsia="Calibri" w:hAnsi="Times New Roman" w:cs="Times New Roman"/>
          <w:bCs/>
          <w:sz w:val="24"/>
          <w:szCs w:val="24"/>
        </w:rPr>
        <w:t>Návrh zákona, ktorým sa mení a dopĺňa zákon Národnej rady Slovenskej republiky č. 162/1995 Z. z. o katastri nehnuteľností a o zápise vlastníckych a iných práv k nehnuteľnostiam (katastrálny zákon) v znení neskorších predpisov a ktorým sa menia a dopĺňajú niektoré zákony</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69896E62" w:rsidR="00054C41" w:rsidRPr="00C921EB" w:rsidRDefault="00C921EB" w:rsidP="00054C41">
      <w:pPr>
        <w:jc w:val="both"/>
        <w:rPr>
          <w:rFonts w:ascii="Times New Roman" w:eastAsia="Calibri" w:hAnsi="Times New Roman" w:cs="Times New Roman"/>
          <w:bCs/>
          <w:sz w:val="24"/>
          <w:szCs w:val="24"/>
        </w:rPr>
      </w:pPr>
      <w:bookmarkStart w:id="0" w:name="_Hlk171427193"/>
      <w:r>
        <w:rPr>
          <w:rFonts w:ascii="Times New Roman" w:eastAsia="Calibri" w:hAnsi="Times New Roman" w:cs="Times New Roman"/>
          <w:bCs/>
          <w:sz w:val="24"/>
          <w:szCs w:val="24"/>
        </w:rPr>
        <w:t>Úrad geodézie, kartografie a katastra Slovenskej republiky</w:t>
      </w:r>
    </w:p>
    <w:bookmarkEnd w:id="0"/>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4668D" w:rsidRPr="00C929AE" w14:paraId="7BEF3D83" w14:textId="77777777" w:rsidTr="007F46D0">
        <w:trPr>
          <w:gridAfter w:val="2"/>
          <w:wAfter w:w="583" w:type="dxa"/>
          <w:trHeight w:val="451"/>
        </w:trPr>
        <w:tc>
          <w:tcPr>
            <w:tcW w:w="146" w:type="dxa"/>
            <w:tcBorders>
              <w:top w:val="nil"/>
              <w:left w:val="nil"/>
              <w:bottom w:val="nil"/>
              <w:right w:val="nil"/>
            </w:tcBorders>
            <w:noWrap/>
            <w:vAlign w:val="bottom"/>
            <w:hideMark/>
          </w:tcPr>
          <w:p w14:paraId="5BA7F0AC"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54C8CD7A" w14:textId="59B9E8FB" w:rsidR="00C4668D" w:rsidRPr="00C929AE" w:rsidRDefault="00C4668D" w:rsidP="00C4668D">
            <w:pPr>
              <w:spacing w:after="0" w:line="240" w:lineRule="auto"/>
              <w:jc w:val="center"/>
              <w:rPr>
                <w:rFonts w:ascii="Times New Roman" w:eastAsia="Times New Roman" w:hAnsi="Times New Roman" w:cs="Times New Roman"/>
                <w:b/>
                <w:bCs/>
                <w:i/>
                <w:iCs/>
                <w:color w:val="000000"/>
                <w:sz w:val="20"/>
                <w:szCs w:val="20"/>
                <w:lang w:eastAsia="sk-SK"/>
              </w:rPr>
            </w:pPr>
            <w:r>
              <w:rPr>
                <w:b/>
                <w:bCs/>
                <w:i/>
                <w:iCs/>
                <w:color w:val="000000"/>
                <w:sz w:val="20"/>
                <w:szCs w:val="20"/>
              </w:rPr>
              <w:t>TYP NÁKLADOV</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367F96BD" w14:textId="6D7F23D6"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Zvýšenie nákladov v € na PP</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57C6AD32" w14:textId="19C90B64"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Zníženie nákladov v € na PP</w:t>
            </w:r>
          </w:p>
        </w:tc>
      </w:tr>
      <w:tr w:rsidR="00C4668D" w:rsidRPr="00C929AE" w14:paraId="0F790483" w14:textId="77777777" w:rsidTr="007F46D0">
        <w:trPr>
          <w:gridAfter w:val="2"/>
          <w:wAfter w:w="583" w:type="dxa"/>
          <w:trHeight w:val="600"/>
        </w:trPr>
        <w:tc>
          <w:tcPr>
            <w:tcW w:w="146" w:type="dxa"/>
            <w:tcBorders>
              <w:top w:val="nil"/>
              <w:left w:val="nil"/>
              <w:bottom w:val="nil"/>
              <w:right w:val="nil"/>
            </w:tcBorders>
            <w:noWrap/>
            <w:vAlign w:val="bottom"/>
            <w:hideMark/>
          </w:tcPr>
          <w:p w14:paraId="2417CF71"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407DD77A" w14:textId="2EACC6CD" w:rsidR="00C4668D" w:rsidRPr="00C929AE" w:rsidRDefault="00C4668D" w:rsidP="00C4668D">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A.Dane, odvody, clá a poplatky, ktorých cieľom je znižovať negatívne externality</w:t>
            </w:r>
          </w:p>
        </w:tc>
        <w:tc>
          <w:tcPr>
            <w:tcW w:w="2623" w:type="dxa"/>
            <w:tcBorders>
              <w:top w:val="nil"/>
              <w:left w:val="nil"/>
              <w:bottom w:val="single" w:sz="4" w:space="0" w:color="auto"/>
              <w:right w:val="single" w:sz="4" w:space="0" w:color="auto"/>
            </w:tcBorders>
            <w:shd w:val="clear" w:color="000000" w:fill="FFC000"/>
            <w:vAlign w:val="center"/>
          </w:tcPr>
          <w:p w14:paraId="36C02A5A" w14:textId="72BC7487"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tcPr>
          <w:p w14:paraId="0525A008" w14:textId="28D921CF"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C4668D" w:rsidRPr="00C929AE" w14:paraId="37B64D12" w14:textId="77777777" w:rsidTr="007F46D0">
        <w:trPr>
          <w:gridAfter w:val="2"/>
          <w:wAfter w:w="583" w:type="dxa"/>
          <w:trHeight w:val="420"/>
        </w:trPr>
        <w:tc>
          <w:tcPr>
            <w:tcW w:w="146" w:type="dxa"/>
            <w:tcBorders>
              <w:top w:val="nil"/>
              <w:left w:val="nil"/>
              <w:bottom w:val="nil"/>
              <w:right w:val="nil"/>
            </w:tcBorders>
            <w:noWrap/>
            <w:vAlign w:val="bottom"/>
            <w:hideMark/>
          </w:tcPr>
          <w:p w14:paraId="30AED282"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3DCE928E" w14:textId="41A6F7A6" w:rsidR="00C4668D" w:rsidRPr="00C929AE" w:rsidRDefault="00C4668D" w:rsidP="00C4668D">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B. Iné poplatky</w:t>
            </w:r>
          </w:p>
        </w:tc>
        <w:tc>
          <w:tcPr>
            <w:tcW w:w="2623" w:type="dxa"/>
            <w:tcBorders>
              <w:top w:val="nil"/>
              <w:left w:val="nil"/>
              <w:bottom w:val="single" w:sz="4" w:space="0" w:color="auto"/>
              <w:right w:val="single" w:sz="4" w:space="0" w:color="auto"/>
            </w:tcBorders>
            <w:shd w:val="clear" w:color="000000" w:fill="FFC000"/>
            <w:vAlign w:val="center"/>
          </w:tcPr>
          <w:p w14:paraId="38D91672" w14:textId="180AE775" w:rsidR="00C4668D" w:rsidRPr="00C929AE" w:rsidRDefault="00884C2E"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7 091 000</w:t>
            </w:r>
          </w:p>
        </w:tc>
        <w:tc>
          <w:tcPr>
            <w:tcW w:w="2622" w:type="dxa"/>
            <w:gridSpan w:val="3"/>
            <w:tcBorders>
              <w:top w:val="nil"/>
              <w:left w:val="nil"/>
              <w:bottom w:val="single" w:sz="4" w:space="0" w:color="auto"/>
              <w:right w:val="single" w:sz="8" w:space="0" w:color="auto"/>
            </w:tcBorders>
            <w:shd w:val="clear" w:color="000000" w:fill="92D050"/>
            <w:vAlign w:val="center"/>
          </w:tcPr>
          <w:p w14:paraId="7B3EEA7A" w14:textId="70B0FA9D"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C4668D" w:rsidRPr="00C929AE" w14:paraId="21231540" w14:textId="77777777" w:rsidTr="007F46D0">
        <w:trPr>
          <w:gridAfter w:val="2"/>
          <w:wAfter w:w="583" w:type="dxa"/>
          <w:trHeight w:val="435"/>
        </w:trPr>
        <w:tc>
          <w:tcPr>
            <w:tcW w:w="146" w:type="dxa"/>
            <w:tcBorders>
              <w:top w:val="nil"/>
              <w:left w:val="nil"/>
              <w:bottom w:val="nil"/>
              <w:right w:val="nil"/>
            </w:tcBorders>
            <w:noWrap/>
            <w:vAlign w:val="bottom"/>
            <w:hideMark/>
          </w:tcPr>
          <w:p w14:paraId="67B78407"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0650EE3E" w14:textId="49F256BA" w:rsidR="00C4668D" w:rsidRPr="00C929AE" w:rsidRDefault="00C4668D" w:rsidP="00C4668D">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C. Sankcie a pokuty</w:t>
            </w:r>
          </w:p>
        </w:tc>
        <w:tc>
          <w:tcPr>
            <w:tcW w:w="2623" w:type="dxa"/>
            <w:tcBorders>
              <w:top w:val="nil"/>
              <w:left w:val="nil"/>
              <w:bottom w:val="single" w:sz="4" w:space="0" w:color="auto"/>
              <w:right w:val="single" w:sz="4" w:space="0" w:color="auto"/>
            </w:tcBorders>
            <w:shd w:val="clear" w:color="000000" w:fill="FFC000"/>
            <w:vAlign w:val="center"/>
          </w:tcPr>
          <w:p w14:paraId="69D07100" w14:textId="0A9E057F"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tcPr>
          <w:p w14:paraId="7C8BFAD7" w14:textId="6D6892EC" w:rsidR="00C4668D" w:rsidRPr="00C929AE" w:rsidRDefault="008B5740" w:rsidP="00C4668D">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33 200</w:t>
            </w:r>
          </w:p>
        </w:tc>
      </w:tr>
      <w:tr w:rsidR="00C4668D" w:rsidRPr="00C929AE" w14:paraId="280383DA" w14:textId="77777777" w:rsidTr="007F46D0">
        <w:trPr>
          <w:gridAfter w:val="2"/>
          <w:wAfter w:w="583" w:type="dxa"/>
          <w:trHeight w:val="480"/>
        </w:trPr>
        <w:tc>
          <w:tcPr>
            <w:tcW w:w="146" w:type="dxa"/>
            <w:tcBorders>
              <w:top w:val="nil"/>
              <w:left w:val="nil"/>
              <w:bottom w:val="nil"/>
              <w:right w:val="nil"/>
            </w:tcBorders>
            <w:noWrap/>
            <w:vAlign w:val="bottom"/>
            <w:hideMark/>
          </w:tcPr>
          <w:p w14:paraId="59F2F790"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59103BCF" w14:textId="52A6E867" w:rsidR="00C4668D" w:rsidRPr="00C929AE" w:rsidRDefault="00C4668D" w:rsidP="00C4668D">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D. Nepriame finančné náklady</w:t>
            </w:r>
          </w:p>
        </w:tc>
        <w:tc>
          <w:tcPr>
            <w:tcW w:w="2623" w:type="dxa"/>
            <w:tcBorders>
              <w:top w:val="nil"/>
              <w:left w:val="nil"/>
              <w:bottom w:val="single" w:sz="4" w:space="0" w:color="auto"/>
              <w:right w:val="single" w:sz="4" w:space="0" w:color="auto"/>
            </w:tcBorders>
            <w:shd w:val="clear" w:color="000000" w:fill="FFC000"/>
            <w:vAlign w:val="center"/>
          </w:tcPr>
          <w:p w14:paraId="5ED34EA3" w14:textId="7BBD5943" w:rsidR="00C4668D" w:rsidRPr="00C929AE" w:rsidRDefault="00C4668D"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tcPr>
          <w:p w14:paraId="6B7CA645" w14:textId="322A774C" w:rsidR="00C4668D" w:rsidRPr="00C929AE" w:rsidRDefault="008B5740"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C4668D" w:rsidRPr="00C929AE" w14:paraId="547BC8DA" w14:textId="77777777" w:rsidTr="007F46D0">
        <w:trPr>
          <w:gridAfter w:val="2"/>
          <w:wAfter w:w="583" w:type="dxa"/>
          <w:trHeight w:val="480"/>
        </w:trPr>
        <w:tc>
          <w:tcPr>
            <w:tcW w:w="146" w:type="dxa"/>
            <w:tcBorders>
              <w:top w:val="nil"/>
              <w:left w:val="nil"/>
              <w:bottom w:val="nil"/>
              <w:right w:val="nil"/>
            </w:tcBorders>
            <w:noWrap/>
            <w:vAlign w:val="bottom"/>
          </w:tcPr>
          <w:p w14:paraId="29E6137F"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nil"/>
              <w:right w:val="single" w:sz="4" w:space="0" w:color="auto"/>
            </w:tcBorders>
            <w:vAlign w:val="center"/>
          </w:tcPr>
          <w:p w14:paraId="7A86A5AE" w14:textId="56E90EFF" w:rsidR="00C4668D" w:rsidRPr="00C929AE" w:rsidRDefault="00C4668D" w:rsidP="00C4668D">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E. Administratívne náklady</w:t>
            </w:r>
          </w:p>
        </w:tc>
        <w:tc>
          <w:tcPr>
            <w:tcW w:w="2623" w:type="dxa"/>
            <w:tcBorders>
              <w:top w:val="nil"/>
              <w:left w:val="nil"/>
              <w:bottom w:val="nil"/>
              <w:right w:val="single" w:sz="4" w:space="0" w:color="auto"/>
            </w:tcBorders>
            <w:shd w:val="clear" w:color="000000" w:fill="FFC000"/>
            <w:vAlign w:val="center"/>
          </w:tcPr>
          <w:p w14:paraId="1A8F0D68" w14:textId="5C7C5B0F" w:rsidR="00C4668D" w:rsidRPr="00C929AE" w:rsidRDefault="00884C2E"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2 272 258</w:t>
            </w:r>
          </w:p>
        </w:tc>
        <w:tc>
          <w:tcPr>
            <w:tcW w:w="2622" w:type="dxa"/>
            <w:gridSpan w:val="3"/>
            <w:tcBorders>
              <w:top w:val="nil"/>
              <w:left w:val="nil"/>
              <w:bottom w:val="nil"/>
              <w:right w:val="single" w:sz="8" w:space="0" w:color="auto"/>
            </w:tcBorders>
            <w:shd w:val="clear" w:color="000000" w:fill="92D050"/>
            <w:vAlign w:val="center"/>
          </w:tcPr>
          <w:p w14:paraId="7D0218BB" w14:textId="1050E080" w:rsidR="00C4668D" w:rsidRPr="00C929AE" w:rsidRDefault="00272A07"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1 460 738</w:t>
            </w:r>
          </w:p>
        </w:tc>
      </w:tr>
      <w:tr w:rsidR="00C4668D" w:rsidRPr="00C929AE" w14:paraId="10B7BDC5" w14:textId="77777777" w:rsidTr="007F46D0">
        <w:trPr>
          <w:gridAfter w:val="2"/>
          <w:wAfter w:w="583" w:type="dxa"/>
          <w:trHeight w:val="600"/>
        </w:trPr>
        <w:tc>
          <w:tcPr>
            <w:tcW w:w="146" w:type="dxa"/>
            <w:tcBorders>
              <w:top w:val="nil"/>
              <w:left w:val="nil"/>
              <w:bottom w:val="nil"/>
              <w:right w:val="nil"/>
            </w:tcBorders>
            <w:noWrap/>
            <w:vAlign w:val="bottom"/>
            <w:hideMark/>
          </w:tcPr>
          <w:p w14:paraId="2BD5240B"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2AD49376" w14:textId="5C4F981B" w:rsidR="00C4668D" w:rsidRPr="00C929AE" w:rsidRDefault="00C4668D" w:rsidP="00C4668D">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Spolu = A+B+C+D+E</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3829EB10" w14:textId="39D1C73D" w:rsidR="00C4668D" w:rsidRPr="00C929AE" w:rsidRDefault="00884C2E"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9 363 258</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3B2B8C72" w14:textId="10ED4776" w:rsidR="00C4668D" w:rsidRPr="00C929AE" w:rsidRDefault="00272A07" w:rsidP="00C4668D">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1 493 938</w:t>
            </w:r>
          </w:p>
        </w:tc>
      </w:tr>
      <w:tr w:rsidR="009A3720" w:rsidRPr="00C929AE" w14:paraId="3B916623" w14:textId="77777777" w:rsidTr="009A3720">
        <w:trPr>
          <w:trHeight w:val="270"/>
        </w:trPr>
        <w:tc>
          <w:tcPr>
            <w:tcW w:w="146" w:type="dxa"/>
            <w:tcBorders>
              <w:top w:val="nil"/>
              <w:left w:val="nil"/>
              <w:bottom w:val="nil"/>
              <w:right w:val="nil"/>
            </w:tcBorders>
            <w:noWrap/>
            <w:vAlign w:val="bottom"/>
            <w:hideMark/>
          </w:tcPr>
          <w:p w14:paraId="73F7E590"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tcPr>
          <w:p w14:paraId="082EAB98"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tcPr>
          <w:p w14:paraId="01799773"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tcPr>
          <w:p w14:paraId="30B3D738"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tcPr>
          <w:p w14:paraId="7E543AE9"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r>
      <w:tr w:rsidR="009A3720" w:rsidRPr="00C929AE" w14:paraId="52849A6C" w14:textId="77777777" w:rsidTr="004E35AE">
        <w:trPr>
          <w:gridAfter w:val="2"/>
          <w:wAfter w:w="583" w:type="dxa"/>
          <w:trHeight w:val="412"/>
        </w:trPr>
        <w:tc>
          <w:tcPr>
            <w:tcW w:w="146" w:type="dxa"/>
            <w:tcBorders>
              <w:top w:val="nil"/>
              <w:left w:val="nil"/>
              <w:bottom w:val="nil"/>
              <w:right w:val="nil"/>
            </w:tcBorders>
            <w:noWrap/>
            <w:vAlign w:val="bottom"/>
            <w:hideMark/>
          </w:tcPr>
          <w:p w14:paraId="54080DC1"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54048073" w14:textId="24494A9A" w:rsidR="009A3720" w:rsidRPr="00C929AE" w:rsidRDefault="009A3720" w:rsidP="009A3720">
            <w:pPr>
              <w:spacing w:after="0" w:line="240" w:lineRule="auto"/>
              <w:rPr>
                <w:rFonts w:ascii="Times New Roman" w:eastAsia="Times New Roman" w:hAnsi="Times New Roman" w:cs="Times New Roman"/>
                <w:i/>
                <w:iCs/>
                <w:color w:val="000000"/>
                <w:lang w:eastAsia="sk-SK"/>
              </w:rPr>
            </w:pPr>
            <w:r>
              <w:rPr>
                <w:b/>
                <w:bCs/>
                <w:i/>
                <w:iCs/>
                <w:color w:val="000000"/>
                <w:sz w:val="20"/>
                <w:szCs w:val="20"/>
              </w:rPr>
              <w:t>Harmonizácia práva EÚ</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4BC0A5BA" w14:textId="2ABFB317" w:rsidR="009A3720" w:rsidRPr="00C929AE" w:rsidRDefault="009A3720" w:rsidP="009A3720">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Zvýšenie nákladov v € na PP</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38A2A444" w14:textId="1746353A" w:rsidR="009A3720" w:rsidRPr="00C929AE" w:rsidRDefault="009A3720" w:rsidP="009A3720">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Zníženie nákladov v € na PP</w:t>
            </w:r>
          </w:p>
        </w:tc>
      </w:tr>
      <w:tr w:rsidR="009A3720" w:rsidRPr="00C929AE" w14:paraId="26126FD6" w14:textId="77777777" w:rsidTr="004E35AE">
        <w:trPr>
          <w:gridAfter w:val="2"/>
          <w:wAfter w:w="583" w:type="dxa"/>
          <w:trHeight w:val="840"/>
        </w:trPr>
        <w:tc>
          <w:tcPr>
            <w:tcW w:w="146" w:type="dxa"/>
            <w:tcBorders>
              <w:top w:val="nil"/>
              <w:left w:val="nil"/>
              <w:bottom w:val="nil"/>
              <w:right w:val="nil"/>
            </w:tcBorders>
            <w:noWrap/>
            <w:vAlign w:val="bottom"/>
            <w:hideMark/>
          </w:tcPr>
          <w:p w14:paraId="4424F348"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nil"/>
              <w:right w:val="single" w:sz="4" w:space="0" w:color="auto"/>
            </w:tcBorders>
            <w:vAlign w:val="center"/>
          </w:tcPr>
          <w:p w14:paraId="5895E706" w14:textId="7B74AA90" w:rsidR="009A3720" w:rsidRPr="00C929AE" w:rsidRDefault="009A3720" w:rsidP="009A3720">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F. Úplná harmonizácia práva EÚ</w:t>
            </w:r>
            <w:r>
              <w:rPr>
                <w:b/>
                <w:bCs/>
                <w:i/>
                <w:iCs/>
                <w:color w:val="000000"/>
                <w:sz w:val="20"/>
                <w:szCs w:val="20"/>
              </w:rPr>
              <w:br/>
            </w:r>
            <w:r>
              <w:rPr>
                <w:i/>
                <w:iCs/>
                <w:color w:val="000000"/>
                <w:sz w:val="16"/>
                <w:szCs w:val="16"/>
              </w:rPr>
              <w:t>(okrem daní, odvodov, ciel a poplatkov, ktorých cieľom je znižovať negatívne externality)</w:t>
            </w:r>
          </w:p>
        </w:tc>
        <w:tc>
          <w:tcPr>
            <w:tcW w:w="2623" w:type="dxa"/>
            <w:tcBorders>
              <w:top w:val="nil"/>
              <w:left w:val="nil"/>
              <w:bottom w:val="nil"/>
              <w:right w:val="single" w:sz="4" w:space="0" w:color="auto"/>
            </w:tcBorders>
            <w:shd w:val="clear" w:color="000000" w:fill="FFC000"/>
            <w:vAlign w:val="center"/>
          </w:tcPr>
          <w:p w14:paraId="09CCB12B" w14:textId="45C054DE" w:rsidR="009A3720" w:rsidRPr="00C929AE" w:rsidRDefault="009A3720" w:rsidP="009A3720">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nil"/>
              <w:right w:val="single" w:sz="8" w:space="0" w:color="auto"/>
            </w:tcBorders>
            <w:shd w:val="clear" w:color="000000" w:fill="92D050"/>
            <w:vAlign w:val="center"/>
          </w:tcPr>
          <w:p w14:paraId="0CB565E3" w14:textId="7E849A8B" w:rsidR="009A3720" w:rsidRPr="00C929AE" w:rsidRDefault="009A3720" w:rsidP="009A3720">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9A3720" w:rsidRPr="00C929AE" w14:paraId="2B062396" w14:textId="77777777" w:rsidTr="004E35AE">
        <w:trPr>
          <w:gridAfter w:val="2"/>
          <w:wAfter w:w="583" w:type="dxa"/>
          <w:trHeight w:val="486"/>
        </w:trPr>
        <w:tc>
          <w:tcPr>
            <w:tcW w:w="146" w:type="dxa"/>
            <w:tcBorders>
              <w:top w:val="nil"/>
              <w:left w:val="nil"/>
              <w:bottom w:val="nil"/>
              <w:right w:val="nil"/>
            </w:tcBorders>
            <w:noWrap/>
            <w:vAlign w:val="bottom"/>
            <w:hideMark/>
          </w:tcPr>
          <w:p w14:paraId="2C592B53"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73DFED09" w14:textId="4029B4CA" w:rsidR="009A3720" w:rsidRPr="00C929AE" w:rsidRDefault="009A3720" w:rsidP="009A3720">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G. Goldplating</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709562F6" w14:textId="1B09919C" w:rsidR="009A3720" w:rsidRPr="00C929AE" w:rsidRDefault="009A3720" w:rsidP="009A3720">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2E025867" w14:textId="5923DA8C" w:rsidR="009A3720" w:rsidRPr="00C929AE" w:rsidRDefault="009A3720" w:rsidP="009A3720">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9A3720" w:rsidRPr="00C929AE" w14:paraId="665D2803" w14:textId="77777777" w:rsidTr="009A3720">
        <w:trPr>
          <w:trHeight w:val="360"/>
        </w:trPr>
        <w:tc>
          <w:tcPr>
            <w:tcW w:w="146" w:type="dxa"/>
            <w:tcBorders>
              <w:top w:val="nil"/>
              <w:left w:val="nil"/>
              <w:bottom w:val="nil"/>
              <w:right w:val="nil"/>
            </w:tcBorders>
            <w:noWrap/>
            <w:vAlign w:val="bottom"/>
            <w:hideMark/>
          </w:tcPr>
          <w:p w14:paraId="259005DD"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tcPr>
          <w:p w14:paraId="213DB6FE" w14:textId="77777777" w:rsidR="009A3720" w:rsidRPr="00C929AE" w:rsidRDefault="009A3720" w:rsidP="009A3720">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tcPr>
          <w:p w14:paraId="57A20198"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tcPr>
          <w:p w14:paraId="7D23FD74"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tcPr>
          <w:p w14:paraId="68BF5827"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9A3720" w:rsidRPr="00C929AE" w:rsidRDefault="009A3720" w:rsidP="009A3720">
            <w:pPr>
              <w:spacing w:after="0" w:line="240" w:lineRule="auto"/>
              <w:rPr>
                <w:rFonts w:ascii="Times New Roman" w:eastAsia="Times New Roman" w:hAnsi="Times New Roman" w:cs="Times New Roman"/>
                <w:i/>
                <w:iCs/>
                <w:color w:val="000000"/>
                <w:sz w:val="20"/>
                <w:szCs w:val="20"/>
                <w:lang w:eastAsia="sk-SK"/>
              </w:rPr>
            </w:pPr>
          </w:p>
        </w:tc>
      </w:tr>
      <w:tr w:rsidR="00C4668D" w:rsidRPr="00C929AE" w14:paraId="578385C8" w14:textId="77777777" w:rsidTr="00627C35">
        <w:trPr>
          <w:gridAfter w:val="2"/>
          <w:wAfter w:w="583" w:type="dxa"/>
          <w:trHeight w:val="390"/>
        </w:trPr>
        <w:tc>
          <w:tcPr>
            <w:tcW w:w="146" w:type="dxa"/>
            <w:tcBorders>
              <w:top w:val="nil"/>
              <w:left w:val="nil"/>
              <w:bottom w:val="nil"/>
              <w:right w:val="nil"/>
            </w:tcBorders>
            <w:noWrap/>
            <w:vAlign w:val="bottom"/>
            <w:hideMark/>
          </w:tcPr>
          <w:p w14:paraId="1ED4DAC7"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tcPr>
          <w:p w14:paraId="66D9B60B" w14:textId="573E27DB" w:rsidR="00C4668D" w:rsidRPr="00C929AE" w:rsidRDefault="00C4668D" w:rsidP="00C4668D">
            <w:pPr>
              <w:spacing w:after="0" w:line="240" w:lineRule="auto"/>
              <w:rPr>
                <w:rFonts w:ascii="Times New Roman" w:eastAsia="Times New Roman" w:hAnsi="Times New Roman" w:cs="Times New Roman"/>
                <w:i/>
                <w:iCs/>
                <w:color w:val="000000"/>
                <w:sz w:val="20"/>
                <w:szCs w:val="20"/>
                <w:lang w:eastAsia="sk-SK"/>
              </w:rPr>
            </w:pPr>
            <w:r>
              <w:rPr>
                <w:i/>
                <w:iCs/>
                <w:color w:val="000000"/>
                <w:sz w:val="20"/>
                <w:szCs w:val="20"/>
              </w:rPr>
              <w:t>VÝPOČET PRAVIDLA 1in2out:</w:t>
            </w:r>
          </w:p>
        </w:tc>
        <w:tc>
          <w:tcPr>
            <w:tcW w:w="2623" w:type="dxa"/>
            <w:tcBorders>
              <w:top w:val="single" w:sz="8" w:space="0" w:color="auto"/>
              <w:left w:val="nil"/>
              <w:bottom w:val="single" w:sz="4" w:space="0" w:color="auto"/>
              <w:right w:val="single" w:sz="4" w:space="0" w:color="auto"/>
            </w:tcBorders>
            <w:shd w:val="clear" w:color="000000" w:fill="FFC000"/>
            <w:vAlign w:val="center"/>
          </w:tcPr>
          <w:p w14:paraId="4929B536" w14:textId="093D362D" w:rsidR="00C4668D" w:rsidRPr="00C929AE" w:rsidRDefault="00C4668D" w:rsidP="00C4668D">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IN</w:t>
            </w:r>
          </w:p>
        </w:tc>
        <w:tc>
          <w:tcPr>
            <w:tcW w:w="2622" w:type="dxa"/>
            <w:gridSpan w:val="3"/>
            <w:tcBorders>
              <w:top w:val="single" w:sz="8" w:space="0" w:color="auto"/>
              <w:left w:val="nil"/>
              <w:bottom w:val="single" w:sz="4" w:space="0" w:color="auto"/>
              <w:right w:val="single" w:sz="8" w:space="0" w:color="auto"/>
            </w:tcBorders>
            <w:shd w:val="clear" w:color="000000" w:fill="92D050"/>
            <w:vAlign w:val="center"/>
          </w:tcPr>
          <w:p w14:paraId="6019C410" w14:textId="0EDA7FCF" w:rsidR="00C4668D" w:rsidRPr="00C929AE" w:rsidRDefault="00C4668D" w:rsidP="00C4668D">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OUT</w:t>
            </w:r>
          </w:p>
        </w:tc>
      </w:tr>
      <w:tr w:rsidR="00C4668D" w:rsidRPr="00C929AE" w14:paraId="4C7053DD" w14:textId="77777777" w:rsidTr="00627C35">
        <w:trPr>
          <w:gridAfter w:val="2"/>
          <w:wAfter w:w="583" w:type="dxa"/>
          <w:trHeight w:val="390"/>
        </w:trPr>
        <w:tc>
          <w:tcPr>
            <w:tcW w:w="146" w:type="dxa"/>
            <w:tcBorders>
              <w:top w:val="nil"/>
              <w:left w:val="nil"/>
              <w:bottom w:val="nil"/>
              <w:right w:val="nil"/>
            </w:tcBorders>
            <w:noWrap/>
            <w:vAlign w:val="bottom"/>
            <w:hideMark/>
          </w:tcPr>
          <w:p w14:paraId="6BB0400A" w14:textId="77777777" w:rsidR="00C4668D" w:rsidRPr="00C929AE" w:rsidRDefault="00C4668D" w:rsidP="00C4668D">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tcPr>
          <w:p w14:paraId="6395BF89" w14:textId="5244254E" w:rsidR="00C4668D" w:rsidRPr="00751DA9" w:rsidRDefault="00C4668D" w:rsidP="00C4668D">
            <w:pPr>
              <w:spacing w:after="0" w:line="240" w:lineRule="auto"/>
              <w:rPr>
                <w:rFonts w:ascii="Times New Roman" w:eastAsia="Times New Roman" w:hAnsi="Times New Roman" w:cs="Times New Roman"/>
                <w:i/>
                <w:iCs/>
                <w:color w:val="000000"/>
                <w:sz w:val="20"/>
                <w:szCs w:val="20"/>
                <w:lang w:eastAsia="sk-SK"/>
              </w:rPr>
            </w:pPr>
            <w:r>
              <w:rPr>
                <w:i/>
                <w:iCs/>
                <w:color w:val="000000"/>
                <w:sz w:val="20"/>
                <w:szCs w:val="20"/>
              </w:rPr>
              <w:t>H</w:t>
            </w:r>
            <w:r>
              <w:rPr>
                <w:b/>
                <w:bCs/>
                <w:i/>
                <w:iCs/>
                <w:color w:val="000000"/>
                <w:sz w:val="20"/>
                <w:szCs w:val="20"/>
              </w:rPr>
              <w:t>.</w:t>
            </w:r>
            <w:r>
              <w:rPr>
                <w:i/>
                <w:iCs/>
                <w:color w:val="000000"/>
                <w:sz w:val="20"/>
                <w:szCs w:val="20"/>
              </w:rPr>
              <w:t xml:space="preserve"> Náklady okrem výnimiek = B+D+E-F</w:t>
            </w:r>
          </w:p>
        </w:tc>
        <w:tc>
          <w:tcPr>
            <w:tcW w:w="2623" w:type="dxa"/>
            <w:tcBorders>
              <w:top w:val="nil"/>
              <w:left w:val="nil"/>
              <w:bottom w:val="single" w:sz="8" w:space="0" w:color="auto"/>
              <w:right w:val="single" w:sz="4" w:space="0" w:color="auto"/>
            </w:tcBorders>
            <w:shd w:val="clear" w:color="000000" w:fill="FFC000"/>
            <w:vAlign w:val="center"/>
          </w:tcPr>
          <w:p w14:paraId="02E1C703" w14:textId="1F384DCC" w:rsidR="00C4668D" w:rsidRPr="00C929AE" w:rsidRDefault="00884C2E" w:rsidP="00C4668D">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9 363 258</w:t>
            </w:r>
          </w:p>
        </w:tc>
        <w:tc>
          <w:tcPr>
            <w:tcW w:w="2622" w:type="dxa"/>
            <w:gridSpan w:val="3"/>
            <w:tcBorders>
              <w:top w:val="nil"/>
              <w:left w:val="nil"/>
              <w:bottom w:val="single" w:sz="8" w:space="0" w:color="auto"/>
              <w:right w:val="single" w:sz="8" w:space="0" w:color="auto"/>
            </w:tcBorders>
            <w:shd w:val="clear" w:color="000000" w:fill="92D050"/>
            <w:vAlign w:val="center"/>
          </w:tcPr>
          <w:p w14:paraId="2A9C6235" w14:textId="49D5EC17" w:rsidR="00C4668D" w:rsidRPr="00C929AE" w:rsidRDefault="00272A07" w:rsidP="00C4668D">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1 493 938</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059"/>
        <w:gridCol w:w="1134"/>
        <w:gridCol w:w="1802"/>
        <w:gridCol w:w="1108"/>
        <w:gridCol w:w="851"/>
        <w:gridCol w:w="843"/>
        <w:gridCol w:w="1000"/>
        <w:gridCol w:w="708"/>
        <w:gridCol w:w="1134"/>
      </w:tblGrid>
      <w:tr w:rsidR="00DE6ACB" w:rsidRPr="000A6B7F" w14:paraId="58E6573D" w14:textId="77777777" w:rsidTr="005C4EFC">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0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8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8B20FE" w:rsidRPr="00951740" w14:paraId="4CC85C0C"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33E2FE64" w14:textId="6E502F62" w:rsidR="008B20FE" w:rsidRPr="00951740" w:rsidRDefault="008B20F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vAlign w:val="center"/>
          </w:tcPr>
          <w:p w14:paraId="26460EAF" w14:textId="07EBDEEC"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Podávanie elektronických návrhov na začatie katastrálneho konania</w:t>
            </w:r>
          </w:p>
        </w:tc>
        <w:tc>
          <w:tcPr>
            <w:tcW w:w="992" w:type="dxa"/>
            <w:tcBorders>
              <w:top w:val="single" w:sz="4" w:space="0" w:color="auto"/>
              <w:left w:val="single" w:sz="4" w:space="0" w:color="auto"/>
              <w:bottom w:val="single" w:sz="4" w:space="0" w:color="auto"/>
              <w:right w:val="single" w:sz="4" w:space="0" w:color="auto"/>
            </w:tcBorders>
          </w:tcPr>
          <w:p w14:paraId="68AE0692" w14:textId="7ED3BDF4"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162/1995</w:t>
            </w:r>
          </w:p>
        </w:tc>
        <w:tc>
          <w:tcPr>
            <w:tcW w:w="1134" w:type="dxa"/>
            <w:tcBorders>
              <w:top w:val="single" w:sz="4" w:space="0" w:color="auto"/>
              <w:left w:val="single" w:sz="4" w:space="0" w:color="auto"/>
              <w:bottom w:val="single" w:sz="4" w:space="0" w:color="auto"/>
              <w:right w:val="single" w:sz="4" w:space="0" w:color="auto"/>
            </w:tcBorders>
          </w:tcPr>
          <w:p w14:paraId="773EF550" w14:textId="1C2B242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23</w:t>
            </w:r>
          </w:p>
        </w:tc>
        <w:tc>
          <w:tcPr>
            <w:tcW w:w="1059" w:type="dxa"/>
            <w:tcBorders>
              <w:top w:val="single" w:sz="4" w:space="0" w:color="auto"/>
              <w:left w:val="single" w:sz="4" w:space="0" w:color="auto"/>
              <w:bottom w:val="single" w:sz="4" w:space="0" w:color="auto"/>
              <w:right w:val="single" w:sz="4" w:space="0" w:color="auto"/>
            </w:tcBorders>
            <w:vAlign w:val="center"/>
          </w:tcPr>
          <w:p w14:paraId="4555FBF1" w14:textId="1F20064F"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0EAF2C63" w14:textId="16951A15"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5A585F">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714691A7" w14:textId="31949F11"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osoby podávajúce návrhy na začatie katastrálnych konaní</w:t>
            </w:r>
          </w:p>
        </w:tc>
        <w:tc>
          <w:tcPr>
            <w:tcW w:w="1108" w:type="dxa"/>
            <w:tcBorders>
              <w:top w:val="single" w:sz="4" w:space="0" w:color="auto"/>
              <w:left w:val="single" w:sz="4" w:space="0" w:color="auto"/>
              <w:bottom w:val="single" w:sz="4" w:space="0" w:color="auto"/>
              <w:right w:val="single" w:sz="4" w:space="0" w:color="auto"/>
            </w:tcBorders>
          </w:tcPr>
          <w:p w14:paraId="3B4E9CA5" w14:textId="00AEB04D" w:rsidR="008B20FE" w:rsidRPr="00951740" w:rsidRDefault="008B20FE" w:rsidP="008B20FE">
            <w:pPr>
              <w:spacing w:after="0" w:line="240" w:lineRule="auto"/>
              <w:ind w:right="143"/>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5A585F">
              <w:rPr>
                <w:rFonts w:ascii="Times New Roman" w:eastAsia="Times New Roman" w:hAnsi="Times New Roman" w:cs="Times New Roman"/>
                <w:sz w:val="20"/>
                <w:szCs w:val="20"/>
                <w:lang w:eastAsia="sk-SK"/>
              </w:rPr>
              <w:t>45 000</w:t>
            </w:r>
            <w:r w:rsidRPr="00951740">
              <w:rPr>
                <w:rFonts w:ascii="Times New Roman" w:eastAsia="Times New Roman" w:hAnsi="Times New Roman" w:cs="Times New Roman"/>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noWrap/>
            <w:vAlign w:val="center"/>
          </w:tcPr>
          <w:p w14:paraId="51DC2BD9" w14:textId="08780478" w:rsidR="008B20FE" w:rsidRPr="00951740" w:rsidRDefault="0070499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49</w:t>
            </w:r>
          </w:p>
        </w:tc>
        <w:tc>
          <w:tcPr>
            <w:tcW w:w="843" w:type="dxa"/>
            <w:tcBorders>
              <w:top w:val="single" w:sz="4" w:space="0" w:color="auto"/>
              <w:left w:val="single" w:sz="4" w:space="0" w:color="auto"/>
              <w:bottom w:val="single" w:sz="4" w:space="0" w:color="auto"/>
              <w:right w:val="single" w:sz="4" w:space="0" w:color="auto"/>
            </w:tcBorders>
            <w:noWrap/>
            <w:vAlign w:val="center"/>
          </w:tcPr>
          <w:p w14:paraId="068B0FBC" w14:textId="4D556052"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2 205 000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1FE741FE" w14:textId="1FA5E71E"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05DB6493" w14:textId="787A4BB2"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2 205 000</w:t>
            </w:r>
          </w:p>
        </w:tc>
        <w:tc>
          <w:tcPr>
            <w:tcW w:w="1134" w:type="dxa"/>
            <w:tcBorders>
              <w:top w:val="single" w:sz="4" w:space="0" w:color="auto"/>
              <w:left w:val="single" w:sz="4" w:space="0" w:color="auto"/>
              <w:bottom w:val="single" w:sz="4" w:space="0" w:color="auto"/>
              <w:right w:val="single" w:sz="4" w:space="0" w:color="auto"/>
            </w:tcBorders>
            <w:vAlign w:val="center"/>
          </w:tcPr>
          <w:p w14:paraId="4CAE10D3" w14:textId="2B855E32"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68409F11"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3D8019B1"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2</w:t>
            </w:r>
          </w:p>
        </w:tc>
        <w:tc>
          <w:tcPr>
            <w:tcW w:w="1740" w:type="dxa"/>
            <w:tcBorders>
              <w:top w:val="single" w:sz="4" w:space="0" w:color="auto"/>
              <w:left w:val="single" w:sz="4" w:space="0" w:color="auto"/>
              <w:bottom w:val="single" w:sz="4" w:space="0" w:color="auto"/>
              <w:right w:val="single" w:sz="4" w:space="0" w:color="auto"/>
            </w:tcBorders>
            <w:vAlign w:val="center"/>
          </w:tcPr>
          <w:p w14:paraId="76667343" w14:textId="21F855B0"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Podávanie </w:t>
            </w:r>
            <w:r w:rsidR="00F93BF8">
              <w:rPr>
                <w:rFonts w:ascii="Times New Roman" w:eastAsia="Times New Roman" w:hAnsi="Times New Roman" w:cs="Times New Roman"/>
                <w:sz w:val="20"/>
                <w:szCs w:val="20"/>
                <w:lang w:eastAsia="sk-SK"/>
              </w:rPr>
              <w:t>návrhov na začatie katastrálneho konania v listinnej podobe</w:t>
            </w:r>
          </w:p>
        </w:tc>
        <w:tc>
          <w:tcPr>
            <w:tcW w:w="992" w:type="dxa"/>
            <w:tcBorders>
              <w:top w:val="single" w:sz="4" w:space="0" w:color="auto"/>
              <w:left w:val="single" w:sz="4" w:space="0" w:color="auto"/>
              <w:bottom w:val="single" w:sz="4" w:space="0" w:color="auto"/>
              <w:right w:val="single" w:sz="4" w:space="0" w:color="auto"/>
            </w:tcBorders>
          </w:tcPr>
          <w:p w14:paraId="5360DAFB"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162/1995</w:t>
            </w:r>
          </w:p>
        </w:tc>
        <w:tc>
          <w:tcPr>
            <w:tcW w:w="1134" w:type="dxa"/>
            <w:tcBorders>
              <w:top w:val="single" w:sz="4" w:space="0" w:color="auto"/>
              <w:left w:val="single" w:sz="4" w:space="0" w:color="auto"/>
              <w:bottom w:val="single" w:sz="4" w:space="0" w:color="auto"/>
              <w:right w:val="single" w:sz="4" w:space="0" w:color="auto"/>
            </w:tcBorders>
          </w:tcPr>
          <w:p w14:paraId="45BDC2F3" w14:textId="23430890"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F93BF8">
              <w:rPr>
                <w:rFonts w:ascii="Times New Roman" w:eastAsia="Times New Roman" w:hAnsi="Times New Roman" w:cs="Times New Roman"/>
                <w:sz w:val="20"/>
                <w:szCs w:val="20"/>
                <w:lang w:eastAsia="sk-SK"/>
              </w:rPr>
              <w:t>24 ods. 1 písm. e) a f)</w:t>
            </w:r>
          </w:p>
        </w:tc>
        <w:tc>
          <w:tcPr>
            <w:tcW w:w="1059" w:type="dxa"/>
            <w:tcBorders>
              <w:top w:val="single" w:sz="4" w:space="0" w:color="auto"/>
              <w:left w:val="single" w:sz="4" w:space="0" w:color="auto"/>
              <w:bottom w:val="single" w:sz="4" w:space="0" w:color="auto"/>
              <w:right w:val="single" w:sz="4" w:space="0" w:color="auto"/>
            </w:tcBorders>
            <w:vAlign w:val="center"/>
          </w:tcPr>
          <w:p w14:paraId="1BECB01B" w14:textId="4B9B47D8"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622CCEC1" w14:textId="7C984247"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6C049EDF" w14:textId="77777777"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osoby podávajúce návrhy na začatie katastrálnych konaní</w:t>
            </w:r>
          </w:p>
        </w:tc>
        <w:tc>
          <w:tcPr>
            <w:tcW w:w="1108" w:type="dxa"/>
            <w:tcBorders>
              <w:top w:val="single" w:sz="4" w:space="0" w:color="auto"/>
              <w:left w:val="single" w:sz="4" w:space="0" w:color="auto"/>
              <w:bottom w:val="single" w:sz="4" w:space="0" w:color="auto"/>
              <w:right w:val="single" w:sz="4" w:space="0" w:color="auto"/>
            </w:tcBorders>
          </w:tcPr>
          <w:p w14:paraId="084FCC46" w14:textId="30878A6D"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F93BF8">
              <w:rPr>
                <w:rFonts w:ascii="Times New Roman" w:eastAsia="Times New Roman" w:hAnsi="Times New Roman" w:cs="Times New Roman"/>
                <w:sz w:val="20"/>
                <w:szCs w:val="20"/>
                <w:lang w:eastAsia="sk-SK"/>
              </w:rPr>
              <w:t>30 000</w:t>
            </w:r>
            <w:r w:rsidRPr="00951740">
              <w:rPr>
                <w:rFonts w:ascii="Times New Roman" w:eastAsia="Times New Roman" w:hAnsi="Times New Roman" w:cs="Times New Roman"/>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noWrap/>
            <w:vAlign w:val="center"/>
          </w:tcPr>
          <w:p w14:paraId="785C4542" w14:textId="4436EB67" w:rsidR="008B20FE" w:rsidRPr="00951740" w:rsidRDefault="0070499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61</w:t>
            </w:r>
          </w:p>
        </w:tc>
        <w:tc>
          <w:tcPr>
            <w:tcW w:w="843" w:type="dxa"/>
            <w:tcBorders>
              <w:top w:val="single" w:sz="4" w:space="0" w:color="auto"/>
              <w:left w:val="single" w:sz="4" w:space="0" w:color="auto"/>
              <w:bottom w:val="single" w:sz="4" w:space="0" w:color="auto"/>
              <w:right w:val="single" w:sz="4" w:space="0" w:color="auto"/>
            </w:tcBorders>
            <w:noWrap/>
            <w:vAlign w:val="center"/>
          </w:tcPr>
          <w:p w14:paraId="06D9FF26" w14:textId="42BE7FCD" w:rsidR="008B20FE" w:rsidRPr="00951740" w:rsidRDefault="0070499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182 592</w:t>
            </w:r>
          </w:p>
        </w:tc>
        <w:tc>
          <w:tcPr>
            <w:tcW w:w="1000" w:type="dxa"/>
            <w:tcBorders>
              <w:top w:val="single" w:sz="4" w:space="0" w:color="auto"/>
              <w:left w:val="single" w:sz="4" w:space="0" w:color="auto"/>
              <w:bottom w:val="single" w:sz="4" w:space="0" w:color="auto"/>
              <w:right w:val="single" w:sz="4" w:space="0" w:color="auto"/>
            </w:tcBorders>
            <w:noWrap/>
            <w:vAlign w:val="center"/>
          </w:tcPr>
          <w:p w14:paraId="741E062E" w14:textId="3D152B57" w:rsidR="008B20FE" w:rsidRPr="00951740" w:rsidRDefault="00F93BF8"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Out</w:t>
            </w:r>
            <w:r w:rsidR="008B20FE" w:rsidRPr="00951740">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znižuje</w:t>
            </w:r>
            <w:r w:rsidR="008B20FE" w:rsidRPr="00951740">
              <w:rPr>
                <w:rFonts w:ascii="Times New Roman" w:eastAsia="Times New Roman" w:hAnsi="Times New Roman" w:cs="Times New Roman"/>
                <w:sz w:val="20"/>
                <w:szCs w:val="20"/>
                <w:lang w:eastAsia="sk-SK"/>
              </w:rPr>
              <w:t xml:space="preserv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3EE00773" w14:textId="6D3F43F5" w:rsidR="008B20FE" w:rsidRPr="00951740" w:rsidRDefault="0070499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182 592</w:t>
            </w:r>
          </w:p>
        </w:tc>
        <w:tc>
          <w:tcPr>
            <w:tcW w:w="1134" w:type="dxa"/>
            <w:tcBorders>
              <w:top w:val="single" w:sz="4" w:space="0" w:color="auto"/>
              <w:left w:val="single" w:sz="4" w:space="0" w:color="auto"/>
              <w:bottom w:val="single" w:sz="4" w:space="0" w:color="auto"/>
              <w:right w:val="single" w:sz="4" w:space="0" w:color="auto"/>
            </w:tcBorders>
            <w:vAlign w:val="center"/>
          </w:tcPr>
          <w:p w14:paraId="338AA09E"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7B0C1178"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12234EEE"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3</w:t>
            </w:r>
          </w:p>
        </w:tc>
        <w:tc>
          <w:tcPr>
            <w:tcW w:w="1740" w:type="dxa"/>
            <w:tcBorders>
              <w:top w:val="single" w:sz="4" w:space="0" w:color="auto"/>
              <w:left w:val="single" w:sz="4" w:space="0" w:color="auto"/>
              <w:bottom w:val="single" w:sz="4" w:space="0" w:color="auto"/>
              <w:right w:val="single" w:sz="4" w:space="0" w:color="auto"/>
            </w:tcBorders>
            <w:vAlign w:val="center"/>
          </w:tcPr>
          <w:p w14:paraId="6F97CEAF" w14:textId="5A806832"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Vypustenie oznámenia o návrhu na vklad</w:t>
            </w:r>
          </w:p>
        </w:tc>
        <w:tc>
          <w:tcPr>
            <w:tcW w:w="992" w:type="dxa"/>
            <w:tcBorders>
              <w:top w:val="single" w:sz="4" w:space="0" w:color="auto"/>
              <w:left w:val="single" w:sz="4" w:space="0" w:color="auto"/>
              <w:bottom w:val="single" w:sz="4" w:space="0" w:color="auto"/>
              <w:right w:val="single" w:sz="4" w:space="0" w:color="auto"/>
            </w:tcBorders>
          </w:tcPr>
          <w:p w14:paraId="2DE101B1"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162/1995</w:t>
            </w:r>
          </w:p>
        </w:tc>
        <w:tc>
          <w:tcPr>
            <w:tcW w:w="1134" w:type="dxa"/>
            <w:tcBorders>
              <w:top w:val="single" w:sz="4" w:space="0" w:color="auto"/>
              <w:left w:val="single" w:sz="4" w:space="0" w:color="auto"/>
              <w:bottom w:val="single" w:sz="4" w:space="0" w:color="auto"/>
              <w:right w:val="single" w:sz="4" w:space="0" w:color="auto"/>
            </w:tcBorders>
          </w:tcPr>
          <w:p w14:paraId="2C0AAF5B" w14:textId="2A957110"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30</w:t>
            </w:r>
          </w:p>
        </w:tc>
        <w:tc>
          <w:tcPr>
            <w:tcW w:w="1059" w:type="dxa"/>
            <w:tcBorders>
              <w:top w:val="single" w:sz="4" w:space="0" w:color="auto"/>
              <w:left w:val="single" w:sz="4" w:space="0" w:color="auto"/>
              <w:bottom w:val="single" w:sz="4" w:space="0" w:color="auto"/>
              <w:right w:val="single" w:sz="4" w:space="0" w:color="auto"/>
            </w:tcBorders>
            <w:vAlign w:val="center"/>
          </w:tcPr>
          <w:p w14:paraId="30F5F78C" w14:textId="66905F0C"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67268641" w14:textId="2CDCF55F"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4BF967FE" w14:textId="77777777"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osoby podávajúce návrhy na začatie katastrálnych konaní</w:t>
            </w:r>
          </w:p>
        </w:tc>
        <w:tc>
          <w:tcPr>
            <w:tcW w:w="1108" w:type="dxa"/>
            <w:tcBorders>
              <w:top w:val="single" w:sz="4" w:space="0" w:color="auto"/>
              <w:left w:val="single" w:sz="4" w:space="0" w:color="auto"/>
              <w:bottom w:val="single" w:sz="4" w:space="0" w:color="auto"/>
              <w:right w:val="single" w:sz="4" w:space="0" w:color="auto"/>
            </w:tcBorders>
          </w:tcPr>
          <w:p w14:paraId="3A176932" w14:textId="4803EBD9"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9E4AD9">
              <w:rPr>
                <w:rFonts w:ascii="Times New Roman" w:eastAsia="Times New Roman" w:hAnsi="Times New Roman" w:cs="Times New Roman"/>
                <w:sz w:val="20"/>
                <w:szCs w:val="20"/>
                <w:lang w:eastAsia="sk-SK"/>
              </w:rPr>
              <w:t>14 000</w:t>
            </w:r>
          </w:p>
        </w:tc>
        <w:tc>
          <w:tcPr>
            <w:tcW w:w="851" w:type="dxa"/>
            <w:tcBorders>
              <w:top w:val="single" w:sz="4" w:space="0" w:color="auto"/>
              <w:left w:val="single" w:sz="4" w:space="0" w:color="auto"/>
              <w:bottom w:val="single" w:sz="4" w:space="0" w:color="auto"/>
              <w:right w:val="single" w:sz="4" w:space="0" w:color="auto"/>
            </w:tcBorders>
            <w:noWrap/>
            <w:vAlign w:val="center"/>
          </w:tcPr>
          <w:p w14:paraId="2F2B688D" w14:textId="24AE1D73" w:rsidR="008B20FE" w:rsidRPr="00951740" w:rsidRDefault="0070499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15</w:t>
            </w:r>
          </w:p>
        </w:tc>
        <w:tc>
          <w:tcPr>
            <w:tcW w:w="843" w:type="dxa"/>
            <w:tcBorders>
              <w:top w:val="single" w:sz="4" w:space="0" w:color="auto"/>
              <w:left w:val="single" w:sz="4" w:space="0" w:color="auto"/>
              <w:bottom w:val="single" w:sz="4" w:space="0" w:color="auto"/>
              <w:right w:val="single" w:sz="4" w:space="0" w:color="auto"/>
            </w:tcBorders>
            <w:noWrap/>
            <w:vAlign w:val="center"/>
          </w:tcPr>
          <w:p w14:paraId="2F56A458" w14:textId="00FF1EBB" w:rsidR="008B20FE" w:rsidRPr="00951740" w:rsidRDefault="0070499E"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210 000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2546725F" w14:textId="77777777" w:rsidR="009E4AD9"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p w14:paraId="29EB8382" w14:textId="79F198EB"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w:t>
            </w:r>
            <w:r w:rsidR="009E4AD9">
              <w:rPr>
                <w:rFonts w:ascii="Times New Roman" w:eastAsia="Times New Roman" w:hAnsi="Times New Roman" w:cs="Times New Roman"/>
                <w:sz w:val="20"/>
                <w:szCs w:val="20"/>
                <w:lang w:eastAsia="sk-SK"/>
              </w:rPr>
              <w:t>zvyšuje</w:t>
            </w:r>
            <w:r w:rsidRPr="00951740">
              <w:rPr>
                <w:rFonts w:ascii="Times New Roman" w:eastAsia="Times New Roman" w:hAnsi="Times New Roman" w:cs="Times New Roman"/>
                <w:sz w:val="20"/>
                <w:szCs w:val="20"/>
                <w:lang w:eastAsia="sk-SK"/>
              </w:rPr>
              <w:t xml:space="preserv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4B20ED44" w14:textId="72357AA6" w:rsidR="008B20FE" w:rsidRPr="00951740" w:rsidRDefault="0070499E"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210 000</w:t>
            </w:r>
          </w:p>
        </w:tc>
        <w:tc>
          <w:tcPr>
            <w:tcW w:w="1134" w:type="dxa"/>
            <w:tcBorders>
              <w:top w:val="single" w:sz="4" w:space="0" w:color="auto"/>
              <w:left w:val="single" w:sz="4" w:space="0" w:color="auto"/>
              <w:bottom w:val="single" w:sz="4" w:space="0" w:color="auto"/>
              <w:right w:val="single" w:sz="4" w:space="0" w:color="auto"/>
            </w:tcBorders>
            <w:vAlign w:val="center"/>
          </w:tcPr>
          <w:p w14:paraId="493B17C7"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50000DFA"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1907232E"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4</w:t>
            </w:r>
          </w:p>
        </w:tc>
        <w:tc>
          <w:tcPr>
            <w:tcW w:w="1740" w:type="dxa"/>
            <w:tcBorders>
              <w:top w:val="single" w:sz="4" w:space="0" w:color="auto"/>
              <w:left w:val="single" w:sz="4" w:space="0" w:color="auto"/>
              <w:bottom w:val="single" w:sz="4" w:space="0" w:color="auto"/>
              <w:right w:val="single" w:sz="4" w:space="0" w:color="auto"/>
            </w:tcBorders>
            <w:vAlign w:val="center"/>
          </w:tcPr>
          <w:p w14:paraId="41DD557B" w14:textId="02284779" w:rsidR="008B20FE" w:rsidRPr="00951740" w:rsidRDefault="009E4AD9"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Povinnosť úradného osvedčenia podpisu pri predkupnom práve,</w:t>
            </w:r>
            <w:r>
              <w:rPr>
                <w:rFonts w:ascii="Times New Roman" w:eastAsia="Times New Roman" w:hAnsi="Times New Roman" w:cs="Times New Roman"/>
                <w:sz w:val="20"/>
                <w:szCs w:val="20"/>
                <w:lang w:eastAsia="sk-SK"/>
              </w:rPr>
              <w:t xml:space="preserve"> </w:t>
            </w:r>
            <w:r w:rsidRPr="00951740">
              <w:rPr>
                <w:rFonts w:ascii="Times New Roman" w:eastAsia="Times New Roman" w:hAnsi="Times New Roman" w:cs="Times New Roman"/>
                <w:sz w:val="20"/>
                <w:szCs w:val="20"/>
                <w:lang w:eastAsia="sk-SK"/>
              </w:rPr>
              <w:t>späťvzatí návrhu na vklad a kvitancii</w:t>
            </w:r>
          </w:p>
        </w:tc>
        <w:tc>
          <w:tcPr>
            <w:tcW w:w="992" w:type="dxa"/>
            <w:tcBorders>
              <w:top w:val="single" w:sz="4" w:space="0" w:color="auto"/>
              <w:left w:val="single" w:sz="4" w:space="0" w:color="auto"/>
              <w:bottom w:val="single" w:sz="4" w:space="0" w:color="auto"/>
              <w:right w:val="single" w:sz="4" w:space="0" w:color="auto"/>
            </w:tcBorders>
          </w:tcPr>
          <w:p w14:paraId="63252B3F"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162/1995</w:t>
            </w:r>
          </w:p>
        </w:tc>
        <w:tc>
          <w:tcPr>
            <w:tcW w:w="1134" w:type="dxa"/>
            <w:tcBorders>
              <w:top w:val="single" w:sz="4" w:space="0" w:color="auto"/>
              <w:left w:val="single" w:sz="4" w:space="0" w:color="auto"/>
              <w:bottom w:val="single" w:sz="4" w:space="0" w:color="auto"/>
              <w:right w:val="single" w:sz="4" w:space="0" w:color="auto"/>
            </w:tcBorders>
          </w:tcPr>
          <w:p w14:paraId="23F8E861" w14:textId="75C75F22"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9E4AD9">
              <w:rPr>
                <w:rFonts w:ascii="Times New Roman" w:eastAsia="Times New Roman" w:hAnsi="Times New Roman" w:cs="Times New Roman"/>
                <w:sz w:val="20"/>
                <w:szCs w:val="20"/>
                <w:lang w:eastAsia="sk-SK"/>
              </w:rPr>
              <w:t>42 ods. 3</w:t>
            </w:r>
          </w:p>
        </w:tc>
        <w:tc>
          <w:tcPr>
            <w:tcW w:w="1059" w:type="dxa"/>
            <w:tcBorders>
              <w:top w:val="single" w:sz="4" w:space="0" w:color="auto"/>
              <w:left w:val="single" w:sz="4" w:space="0" w:color="auto"/>
              <w:bottom w:val="single" w:sz="4" w:space="0" w:color="auto"/>
              <w:right w:val="single" w:sz="4" w:space="0" w:color="auto"/>
            </w:tcBorders>
            <w:vAlign w:val="center"/>
          </w:tcPr>
          <w:p w14:paraId="1EF79893" w14:textId="384FC048"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1BA4EFE2" w14:textId="0BCCFC4A"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21937896" w14:textId="262ECB1A" w:rsidR="008B20FE" w:rsidRPr="00951740" w:rsidRDefault="009E4AD9"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osoby podávajúce návrh na vklad práva</w:t>
            </w:r>
            <w:r>
              <w:rPr>
                <w:rFonts w:ascii="Times New Roman" w:eastAsia="Times New Roman" w:hAnsi="Times New Roman" w:cs="Times New Roman"/>
                <w:color w:val="000000"/>
                <w:sz w:val="20"/>
                <w:szCs w:val="20"/>
                <w:lang w:eastAsia="sk-SK"/>
              </w:rPr>
              <w:t xml:space="preserve"> do katastra a návrh na záznam</w:t>
            </w:r>
          </w:p>
        </w:tc>
        <w:tc>
          <w:tcPr>
            <w:tcW w:w="1108" w:type="dxa"/>
            <w:tcBorders>
              <w:top w:val="single" w:sz="4" w:space="0" w:color="auto"/>
              <w:left w:val="single" w:sz="4" w:space="0" w:color="auto"/>
              <w:bottom w:val="single" w:sz="4" w:space="0" w:color="auto"/>
              <w:right w:val="single" w:sz="4" w:space="0" w:color="auto"/>
            </w:tcBorders>
          </w:tcPr>
          <w:p w14:paraId="3185D0E9" w14:textId="77A8405E"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5A585F">
              <w:rPr>
                <w:rFonts w:ascii="Times New Roman" w:eastAsia="Times New Roman" w:hAnsi="Times New Roman" w:cs="Times New Roman"/>
                <w:sz w:val="20"/>
                <w:szCs w:val="20"/>
                <w:lang w:eastAsia="sk-SK"/>
              </w:rPr>
              <w:t>75 000</w:t>
            </w:r>
            <w:r w:rsidRPr="00951740">
              <w:rPr>
                <w:rFonts w:ascii="Times New Roman" w:eastAsia="Times New Roman" w:hAnsi="Times New Roman" w:cs="Times New Roman"/>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noWrap/>
            <w:vAlign w:val="center"/>
          </w:tcPr>
          <w:p w14:paraId="75AC39E2" w14:textId="2F488336" w:rsidR="008B20FE" w:rsidRPr="00951740" w:rsidRDefault="0070499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w:t>
            </w:r>
          </w:p>
        </w:tc>
        <w:tc>
          <w:tcPr>
            <w:tcW w:w="843" w:type="dxa"/>
            <w:tcBorders>
              <w:top w:val="single" w:sz="4" w:space="0" w:color="auto"/>
              <w:left w:val="single" w:sz="4" w:space="0" w:color="auto"/>
              <w:bottom w:val="single" w:sz="4" w:space="0" w:color="auto"/>
              <w:right w:val="single" w:sz="4" w:space="0" w:color="auto"/>
            </w:tcBorders>
            <w:noWrap/>
            <w:vAlign w:val="center"/>
          </w:tcPr>
          <w:p w14:paraId="6B3578A1" w14:textId="1967EBD2" w:rsidR="008B20FE" w:rsidRPr="00951740" w:rsidRDefault="0070499E"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500 000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7AFE32EC" w14:textId="77777777" w:rsidR="009E4AD9"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p w14:paraId="7D61971F" w14:textId="753ADE16"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w:t>
            </w:r>
            <w:r w:rsidR="009E4AD9">
              <w:rPr>
                <w:rFonts w:ascii="Times New Roman" w:eastAsia="Times New Roman" w:hAnsi="Times New Roman" w:cs="Times New Roman"/>
                <w:sz w:val="20"/>
                <w:szCs w:val="20"/>
                <w:lang w:eastAsia="sk-SK"/>
              </w:rPr>
              <w:t>zvyšuje</w:t>
            </w:r>
            <w:r w:rsidRPr="00951740">
              <w:rPr>
                <w:rFonts w:ascii="Times New Roman" w:eastAsia="Times New Roman" w:hAnsi="Times New Roman" w:cs="Times New Roman"/>
                <w:sz w:val="20"/>
                <w:szCs w:val="20"/>
                <w:lang w:eastAsia="sk-SK"/>
              </w:rPr>
              <w:t xml:space="preserv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23EF69FD" w14:textId="4EEDD9A4" w:rsidR="008B20FE" w:rsidRPr="00951740" w:rsidRDefault="0070499E"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500 000</w:t>
            </w:r>
          </w:p>
        </w:tc>
        <w:tc>
          <w:tcPr>
            <w:tcW w:w="1134" w:type="dxa"/>
            <w:tcBorders>
              <w:top w:val="single" w:sz="4" w:space="0" w:color="auto"/>
              <w:left w:val="single" w:sz="4" w:space="0" w:color="auto"/>
              <w:bottom w:val="single" w:sz="4" w:space="0" w:color="auto"/>
              <w:right w:val="single" w:sz="4" w:space="0" w:color="auto"/>
            </w:tcBorders>
            <w:vAlign w:val="center"/>
          </w:tcPr>
          <w:p w14:paraId="32C1CDC7"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09CE0776"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2D2522FD"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5</w:t>
            </w:r>
          </w:p>
        </w:tc>
        <w:tc>
          <w:tcPr>
            <w:tcW w:w="1740" w:type="dxa"/>
            <w:tcBorders>
              <w:top w:val="single" w:sz="4" w:space="0" w:color="auto"/>
              <w:left w:val="single" w:sz="4" w:space="0" w:color="auto"/>
              <w:bottom w:val="single" w:sz="4" w:space="0" w:color="auto"/>
              <w:right w:val="single" w:sz="4" w:space="0" w:color="auto"/>
            </w:tcBorders>
            <w:vAlign w:val="center"/>
          </w:tcPr>
          <w:p w14:paraId="04BBFE5C" w14:textId="4064D8DA"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Zavedenie povinnosti autentifikácie/regist</w:t>
            </w:r>
            <w:r>
              <w:rPr>
                <w:rFonts w:ascii="Times New Roman" w:eastAsia="Times New Roman" w:hAnsi="Times New Roman" w:cs="Times New Roman"/>
                <w:sz w:val="20"/>
                <w:szCs w:val="20"/>
                <w:lang w:eastAsia="sk-SK"/>
              </w:rPr>
              <w:lastRenderedPageBreak/>
              <w:t>rácie pri prístupe na katastrálny portál</w:t>
            </w:r>
          </w:p>
        </w:tc>
        <w:tc>
          <w:tcPr>
            <w:tcW w:w="992" w:type="dxa"/>
            <w:tcBorders>
              <w:top w:val="single" w:sz="4" w:space="0" w:color="auto"/>
              <w:left w:val="single" w:sz="4" w:space="0" w:color="auto"/>
              <w:bottom w:val="single" w:sz="4" w:space="0" w:color="auto"/>
              <w:right w:val="single" w:sz="4" w:space="0" w:color="auto"/>
            </w:tcBorders>
          </w:tcPr>
          <w:p w14:paraId="3B19B69C"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lastRenderedPageBreak/>
              <w:t>162/1995</w:t>
            </w:r>
          </w:p>
        </w:tc>
        <w:tc>
          <w:tcPr>
            <w:tcW w:w="1134" w:type="dxa"/>
            <w:tcBorders>
              <w:top w:val="single" w:sz="4" w:space="0" w:color="auto"/>
              <w:left w:val="single" w:sz="4" w:space="0" w:color="auto"/>
              <w:bottom w:val="single" w:sz="4" w:space="0" w:color="auto"/>
              <w:right w:val="single" w:sz="4" w:space="0" w:color="auto"/>
            </w:tcBorders>
          </w:tcPr>
          <w:p w14:paraId="647F586F" w14:textId="09AF96BC"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69a</w:t>
            </w:r>
          </w:p>
        </w:tc>
        <w:tc>
          <w:tcPr>
            <w:tcW w:w="1059" w:type="dxa"/>
            <w:tcBorders>
              <w:top w:val="single" w:sz="4" w:space="0" w:color="auto"/>
              <w:left w:val="single" w:sz="4" w:space="0" w:color="auto"/>
              <w:bottom w:val="single" w:sz="4" w:space="0" w:color="auto"/>
              <w:right w:val="single" w:sz="4" w:space="0" w:color="auto"/>
            </w:tcBorders>
            <w:vAlign w:val="center"/>
          </w:tcPr>
          <w:p w14:paraId="04708B65" w14:textId="56528F49"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6CA058D6" w14:textId="51ACFE67"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5E7CFDF4" w14:textId="06924EC3" w:rsidR="008B20FE" w:rsidRPr="00951740" w:rsidRDefault="009E4AD9" w:rsidP="008B20FE">
            <w:pPr>
              <w:spacing w:after="0" w:line="240" w:lineRule="auto"/>
              <w:rPr>
                <w:rFonts w:ascii="Times New Roman" w:eastAsia="Times New Roman" w:hAnsi="Times New Roman" w:cs="Times New Roman"/>
                <w:color w:val="000000"/>
                <w:sz w:val="20"/>
                <w:szCs w:val="20"/>
                <w:lang w:eastAsia="sk-SK"/>
              </w:rPr>
            </w:pPr>
            <w:r w:rsidRPr="009E4AD9">
              <w:rPr>
                <w:rFonts w:ascii="Times New Roman" w:eastAsia="Times New Roman" w:hAnsi="Times New Roman" w:cs="Times New Roman"/>
                <w:color w:val="000000"/>
                <w:sz w:val="20"/>
                <w:szCs w:val="20"/>
                <w:lang w:eastAsia="sk-SK"/>
              </w:rPr>
              <w:t xml:space="preserve">osoby nahliadajúce na údaje katastra prostredníctvom </w:t>
            </w:r>
            <w:r w:rsidRPr="009E4AD9">
              <w:rPr>
                <w:rFonts w:ascii="Times New Roman" w:eastAsia="Times New Roman" w:hAnsi="Times New Roman" w:cs="Times New Roman"/>
                <w:color w:val="000000"/>
                <w:sz w:val="20"/>
                <w:szCs w:val="20"/>
                <w:lang w:eastAsia="sk-SK"/>
              </w:rPr>
              <w:lastRenderedPageBreak/>
              <w:t>katastrálneho portálu</w:t>
            </w:r>
          </w:p>
        </w:tc>
        <w:tc>
          <w:tcPr>
            <w:tcW w:w="1108" w:type="dxa"/>
            <w:tcBorders>
              <w:top w:val="single" w:sz="4" w:space="0" w:color="auto"/>
              <w:left w:val="single" w:sz="4" w:space="0" w:color="auto"/>
              <w:bottom w:val="single" w:sz="4" w:space="0" w:color="auto"/>
              <w:right w:val="single" w:sz="4" w:space="0" w:color="auto"/>
            </w:tcBorders>
          </w:tcPr>
          <w:p w14:paraId="7C276F5A" w14:textId="7BF71440"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200 000</w:t>
            </w:r>
          </w:p>
        </w:tc>
        <w:tc>
          <w:tcPr>
            <w:tcW w:w="851" w:type="dxa"/>
            <w:tcBorders>
              <w:top w:val="single" w:sz="4" w:space="0" w:color="auto"/>
              <w:left w:val="single" w:sz="4" w:space="0" w:color="auto"/>
              <w:bottom w:val="single" w:sz="4" w:space="0" w:color="auto"/>
              <w:right w:val="single" w:sz="4" w:space="0" w:color="auto"/>
            </w:tcBorders>
            <w:noWrap/>
            <w:vAlign w:val="center"/>
          </w:tcPr>
          <w:p w14:paraId="0FE7B740" w14:textId="0160C514" w:rsidR="008B20FE" w:rsidRPr="00951740" w:rsidRDefault="006D0FD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843" w:type="dxa"/>
            <w:tcBorders>
              <w:top w:val="single" w:sz="4" w:space="0" w:color="auto"/>
              <w:left w:val="single" w:sz="4" w:space="0" w:color="auto"/>
              <w:bottom w:val="single" w:sz="4" w:space="0" w:color="auto"/>
              <w:right w:val="single" w:sz="4" w:space="0" w:color="auto"/>
            </w:tcBorders>
            <w:noWrap/>
            <w:vAlign w:val="center"/>
          </w:tcPr>
          <w:p w14:paraId="476DC6ED" w14:textId="564C8845" w:rsidR="008B20FE" w:rsidRPr="00951740" w:rsidRDefault="006D0FD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400 000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5975402C"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022BBC2B" w14:textId="7702AC3E" w:rsidR="008B20FE" w:rsidRPr="00951740" w:rsidRDefault="006D0FD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400 000</w:t>
            </w:r>
          </w:p>
        </w:tc>
        <w:tc>
          <w:tcPr>
            <w:tcW w:w="1134" w:type="dxa"/>
            <w:tcBorders>
              <w:top w:val="single" w:sz="4" w:space="0" w:color="auto"/>
              <w:left w:val="single" w:sz="4" w:space="0" w:color="auto"/>
              <w:bottom w:val="single" w:sz="4" w:space="0" w:color="auto"/>
              <w:right w:val="single" w:sz="4" w:space="0" w:color="auto"/>
            </w:tcBorders>
            <w:vAlign w:val="center"/>
          </w:tcPr>
          <w:p w14:paraId="62DE6B7A"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798D3902"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4000DFB5"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6</w:t>
            </w:r>
          </w:p>
        </w:tc>
        <w:tc>
          <w:tcPr>
            <w:tcW w:w="1740" w:type="dxa"/>
            <w:tcBorders>
              <w:top w:val="single" w:sz="4" w:space="0" w:color="auto"/>
              <w:left w:val="single" w:sz="4" w:space="0" w:color="auto"/>
              <w:bottom w:val="single" w:sz="4" w:space="0" w:color="auto"/>
              <w:right w:val="single" w:sz="4" w:space="0" w:color="auto"/>
            </w:tcBorders>
            <w:vAlign w:val="center"/>
          </w:tcPr>
          <w:p w14:paraId="7C92F22D" w14:textId="565981B1" w:rsidR="008B20FE" w:rsidRPr="00951740" w:rsidRDefault="009E4AD9" w:rsidP="008B20FE">
            <w:pPr>
              <w:spacing w:after="0" w:line="240" w:lineRule="auto"/>
              <w:rPr>
                <w:rFonts w:ascii="Times New Roman" w:eastAsia="Times New Roman" w:hAnsi="Times New Roman" w:cs="Times New Roman"/>
                <w:sz w:val="20"/>
                <w:szCs w:val="20"/>
                <w:lang w:eastAsia="sk-SK"/>
              </w:rPr>
            </w:pPr>
            <w:r w:rsidRPr="009E4AD9">
              <w:rPr>
                <w:rFonts w:ascii="Times New Roman" w:eastAsia="Times New Roman" w:hAnsi="Times New Roman" w:cs="Times New Roman"/>
                <w:sz w:val="20"/>
                <w:szCs w:val="20"/>
                <w:lang w:eastAsia="sk-SK"/>
              </w:rPr>
              <w:t>Vypustenie pokuty za neohlásené zmeny údajov katastra v lehote ustanovenej zákonom</w:t>
            </w:r>
          </w:p>
        </w:tc>
        <w:tc>
          <w:tcPr>
            <w:tcW w:w="992" w:type="dxa"/>
            <w:tcBorders>
              <w:top w:val="single" w:sz="4" w:space="0" w:color="auto"/>
              <w:left w:val="single" w:sz="4" w:space="0" w:color="auto"/>
              <w:bottom w:val="single" w:sz="4" w:space="0" w:color="auto"/>
              <w:right w:val="single" w:sz="4" w:space="0" w:color="auto"/>
            </w:tcBorders>
          </w:tcPr>
          <w:p w14:paraId="2C6196DE"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162/1995</w:t>
            </w:r>
          </w:p>
        </w:tc>
        <w:tc>
          <w:tcPr>
            <w:tcW w:w="1134" w:type="dxa"/>
            <w:tcBorders>
              <w:top w:val="single" w:sz="4" w:space="0" w:color="auto"/>
              <w:left w:val="single" w:sz="4" w:space="0" w:color="auto"/>
              <w:bottom w:val="single" w:sz="4" w:space="0" w:color="auto"/>
              <w:right w:val="single" w:sz="4" w:space="0" w:color="auto"/>
            </w:tcBorders>
          </w:tcPr>
          <w:p w14:paraId="36E5997E" w14:textId="59119817"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76 ods. 1 písm. a)</w:t>
            </w:r>
          </w:p>
        </w:tc>
        <w:tc>
          <w:tcPr>
            <w:tcW w:w="1059" w:type="dxa"/>
            <w:tcBorders>
              <w:top w:val="single" w:sz="4" w:space="0" w:color="auto"/>
              <w:left w:val="single" w:sz="4" w:space="0" w:color="auto"/>
              <w:bottom w:val="single" w:sz="4" w:space="0" w:color="auto"/>
              <w:right w:val="single" w:sz="4" w:space="0" w:color="auto"/>
            </w:tcBorders>
            <w:vAlign w:val="center"/>
          </w:tcPr>
          <w:p w14:paraId="213E3E42" w14:textId="2ACB5A43"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6BE72864" w14:textId="666B5F27"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1E0569EF" w14:textId="1C70DC22" w:rsidR="008B20FE" w:rsidRPr="00951740" w:rsidRDefault="009E4AD9" w:rsidP="008B20FE">
            <w:pPr>
              <w:spacing w:after="0" w:line="240" w:lineRule="auto"/>
              <w:rPr>
                <w:rFonts w:ascii="Times New Roman" w:eastAsia="Times New Roman" w:hAnsi="Times New Roman" w:cs="Times New Roman"/>
                <w:color w:val="000000"/>
                <w:sz w:val="20"/>
                <w:szCs w:val="20"/>
                <w:lang w:eastAsia="sk-SK"/>
              </w:rPr>
            </w:pPr>
            <w:r w:rsidRPr="009E4AD9">
              <w:rPr>
                <w:rFonts w:ascii="Times New Roman" w:eastAsia="Times New Roman" w:hAnsi="Times New Roman" w:cs="Times New Roman"/>
                <w:color w:val="000000"/>
                <w:sz w:val="20"/>
                <w:szCs w:val="20"/>
                <w:lang w:eastAsia="sk-SK"/>
              </w:rPr>
              <w:t>osoby, ktoré neoznámili zmenu údajov katastra</w:t>
            </w:r>
          </w:p>
        </w:tc>
        <w:tc>
          <w:tcPr>
            <w:tcW w:w="1108" w:type="dxa"/>
            <w:tcBorders>
              <w:top w:val="single" w:sz="4" w:space="0" w:color="auto"/>
              <w:left w:val="single" w:sz="4" w:space="0" w:color="auto"/>
              <w:bottom w:val="single" w:sz="4" w:space="0" w:color="auto"/>
              <w:right w:val="single" w:sz="4" w:space="0" w:color="auto"/>
            </w:tcBorders>
          </w:tcPr>
          <w:p w14:paraId="50BDB4FD" w14:textId="3C70D605"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100</w:t>
            </w:r>
          </w:p>
        </w:tc>
        <w:tc>
          <w:tcPr>
            <w:tcW w:w="851" w:type="dxa"/>
            <w:tcBorders>
              <w:top w:val="single" w:sz="4" w:space="0" w:color="auto"/>
              <w:left w:val="single" w:sz="4" w:space="0" w:color="auto"/>
              <w:bottom w:val="single" w:sz="4" w:space="0" w:color="auto"/>
              <w:right w:val="single" w:sz="4" w:space="0" w:color="auto"/>
            </w:tcBorders>
            <w:noWrap/>
            <w:vAlign w:val="center"/>
          </w:tcPr>
          <w:p w14:paraId="18D52C79" w14:textId="3DB38106" w:rsidR="008B20FE" w:rsidRPr="00951740" w:rsidRDefault="006D0FD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332</w:t>
            </w:r>
          </w:p>
        </w:tc>
        <w:tc>
          <w:tcPr>
            <w:tcW w:w="843" w:type="dxa"/>
            <w:tcBorders>
              <w:top w:val="single" w:sz="4" w:space="0" w:color="auto"/>
              <w:left w:val="single" w:sz="4" w:space="0" w:color="auto"/>
              <w:bottom w:val="single" w:sz="4" w:space="0" w:color="auto"/>
              <w:right w:val="single" w:sz="4" w:space="0" w:color="auto"/>
            </w:tcBorders>
            <w:noWrap/>
            <w:vAlign w:val="center"/>
          </w:tcPr>
          <w:p w14:paraId="4517DA46" w14:textId="2D690C57" w:rsidR="008B20FE" w:rsidRPr="00951740" w:rsidRDefault="006D0FD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33 200</w:t>
            </w:r>
          </w:p>
        </w:tc>
        <w:tc>
          <w:tcPr>
            <w:tcW w:w="1000" w:type="dxa"/>
            <w:tcBorders>
              <w:top w:val="single" w:sz="4" w:space="0" w:color="auto"/>
              <w:left w:val="single" w:sz="4" w:space="0" w:color="auto"/>
              <w:bottom w:val="single" w:sz="4" w:space="0" w:color="auto"/>
              <w:right w:val="single" w:sz="4" w:space="0" w:color="auto"/>
            </w:tcBorders>
            <w:noWrap/>
            <w:vAlign w:val="center"/>
          </w:tcPr>
          <w:p w14:paraId="3CE38CBA" w14:textId="77777777" w:rsidR="009E4AD9"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Out</w:t>
            </w:r>
          </w:p>
          <w:p w14:paraId="3F1D91BC" w14:textId="193E5FCA"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w:t>
            </w:r>
            <w:r w:rsidR="00EE66FA">
              <w:rPr>
                <w:rFonts w:ascii="Times New Roman" w:eastAsia="Times New Roman" w:hAnsi="Times New Roman" w:cs="Times New Roman"/>
                <w:sz w:val="20"/>
                <w:szCs w:val="20"/>
                <w:lang w:eastAsia="sk-SK"/>
              </w:rPr>
              <w:t>znižuje náklady</w:t>
            </w:r>
            <w:r w:rsidRPr="00951740">
              <w:rPr>
                <w:rFonts w:ascii="Times New Roman" w:eastAsia="Times New Roman" w:hAnsi="Times New Roman" w:cs="Times New Roman"/>
                <w:sz w:val="20"/>
                <w:szCs w:val="20"/>
                <w:lang w:eastAsia="sk-SK"/>
              </w:rPr>
              <w:t>)</w:t>
            </w:r>
          </w:p>
        </w:tc>
        <w:tc>
          <w:tcPr>
            <w:tcW w:w="708" w:type="dxa"/>
            <w:tcBorders>
              <w:top w:val="single" w:sz="4" w:space="0" w:color="auto"/>
              <w:left w:val="single" w:sz="4" w:space="0" w:color="auto"/>
              <w:bottom w:val="single" w:sz="4" w:space="0" w:color="auto"/>
              <w:right w:val="single" w:sz="4" w:space="0" w:color="auto"/>
            </w:tcBorders>
            <w:noWrap/>
            <w:vAlign w:val="center"/>
          </w:tcPr>
          <w:p w14:paraId="6C6CBF1F" w14:textId="03ED841D" w:rsidR="008B20FE" w:rsidRPr="00951740" w:rsidRDefault="006D0FD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33 200</w:t>
            </w:r>
          </w:p>
        </w:tc>
        <w:tc>
          <w:tcPr>
            <w:tcW w:w="1134" w:type="dxa"/>
            <w:tcBorders>
              <w:top w:val="single" w:sz="4" w:space="0" w:color="auto"/>
              <w:left w:val="single" w:sz="4" w:space="0" w:color="auto"/>
              <w:bottom w:val="single" w:sz="4" w:space="0" w:color="auto"/>
              <w:right w:val="single" w:sz="4" w:space="0" w:color="auto"/>
            </w:tcBorders>
            <w:vAlign w:val="center"/>
          </w:tcPr>
          <w:p w14:paraId="22ED02B2"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2B60429D"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39D0F378"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7</w:t>
            </w:r>
          </w:p>
        </w:tc>
        <w:tc>
          <w:tcPr>
            <w:tcW w:w="1740" w:type="dxa"/>
            <w:tcBorders>
              <w:top w:val="single" w:sz="4" w:space="0" w:color="auto"/>
              <w:left w:val="single" w:sz="4" w:space="0" w:color="auto"/>
              <w:bottom w:val="single" w:sz="4" w:space="0" w:color="auto"/>
              <w:right w:val="single" w:sz="4" w:space="0" w:color="auto"/>
            </w:tcBorders>
            <w:vAlign w:val="center"/>
          </w:tcPr>
          <w:p w14:paraId="2019123F" w14:textId="6584157E" w:rsidR="008B20FE" w:rsidRPr="00951740" w:rsidRDefault="009E4AD9" w:rsidP="008B20FE">
            <w:pPr>
              <w:spacing w:after="0" w:line="240" w:lineRule="auto"/>
              <w:rPr>
                <w:rFonts w:ascii="Times New Roman" w:eastAsia="Times New Roman" w:hAnsi="Times New Roman" w:cs="Times New Roman"/>
                <w:sz w:val="20"/>
                <w:szCs w:val="20"/>
                <w:lang w:eastAsia="sk-SK"/>
              </w:rPr>
            </w:pPr>
            <w:r w:rsidRPr="009E4AD9">
              <w:rPr>
                <w:rFonts w:ascii="Times New Roman" w:eastAsia="Times New Roman" w:hAnsi="Times New Roman" w:cs="Times New Roman"/>
                <w:sz w:val="20"/>
                <w:szCs w:val="20"/>
                <w:lang w:eastAsia="sk-SK"/>
              </w:rPr>
              <w:t>Zavedenie nového správneho poplatku za vydanie výpisu z listu vlastníctva prostredníctvom špecializovaného portálu</w:t>
            </w:r>
          </w:p>
        </w:tc>
        <w:tc>
          <w:tcPr>
            <w:tcW w:w="992" w:type="dxa"/>
            <w:tcBorders>
              <w:top w:val="single" w:sz="4" w:space="0" w:color="auto"/>
              <w:left w:val="single" w:sz="4" w:space="0" w:color="auto"/>
              <w:bottom w:val="single" w:sz="4" w:space="0" w:color="auto"/>
              <w:right w:val="single" w:sz="4" w:space="0" w:color="auto"/>
            </w:tcBorders>
          </w:tcPr>
          <w:p w14:paraId="7CDDB195" w14:textId="74E1E4EA"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w:t>
            </w:r>
            <w:r w:rsidR="009E4AD9">
              <w:rPr>
                <w:rFonts w:ascii="Times New Roman" w:eastAsia="Times New Roman" w:hAnsi="Times New Roman" w:cs="Times New Roman"/>
                <w:sz w:val="20"/>
                <w:szCs w:val="20"/>
                <w:lang w:eastAsia="sk-SK"/>
              </w:rPr>
              <w:t>45</w:t>
            </w:r>
            <w:r w:rsidRPr="00951740">
              <w:rPr>
                <w:rFonts w:ascii="Times New Roman" w:eastAsia="Times New Roman" w:hAnsi="Times New Roman" w:cs="Times New Roman"/>
                <w:sz w:val="20"/>
                <w:szCs w:val="20"/>
                <w:lang w:eastAsia="sk-SK"/>
              </w:rPr>
              <w:t>/1995</w:t>
            </w:r>
          </w:p>
        </w:tc>
        <w:tc>
          <w:tcPr>
            <w:tcW w:w="1134" w:type="dxa"/>
            <w:tcBorders>
              <w:top w:val="single" w:sz="4" w:space="0" w:color="auto"/>
              <w:left w:val="single" w:sz="4" w:space="0" w:color="auto"/>
              <w:bottom w:val="single" w:sz="4" w:space="0" w:color="auto"/>
              <w:right w:val="single" w:sz="4" w:space="0" w:color="auto"/>
            </w:tcBorders>
          </w:tcPr>
          <w:p w14:paraId="5FF291E5" w14:textId="2DD2C477"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Položka 10 písm. a) bod 5.</w:t>
            </w:r>
          </w:p>
        </w:tc>
        <w:tc>
          <w:tcPr>
            <w:tcW w:w="1059" w:type="dxa"/>
            <w:tcBorders>
              <w:top w:val="single" w:sz="4" w:space="0" w:color="auto"/>
              <w:left w:val="single" w:sz="4" w:space="0" w:color="auto"/>
              <w:bottom w:val="single" w:sz="4" w:space="0" w:color="auto"/>
              <w:right w:val="single" w:sz="4" w:space="0" w:color="auto"/>
            </w:tcBorders>
            <w:vAlign w:val="center"/>
          </w:tcPr>
          <w:p w14:paraId="77D3E644" w14:textId="788F415C"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1735A402" w14:textId="56BD0A22"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7FE1AA61" w14:textId="2D429528" w:rsidR="008B20FE" w:rsidRPr="00951740" w:rsidRDefault="009E4AD9" w:rsidP="008B20FE">
            <w:pPr>
              <w:spacing w:after="0" w:line="240" w:lineRule="auto"/>
              <w:rPr>
                <w:rFonts w:ascii="Times New Roman" w:eastAsia="Times New Roman" w:hAnsi="Times New Roman" w:cs="Times New Roman"/>
                <w:color w:val="000000"/>
                <w:sz w:val="20"/>
                <w:szCs w:val="20"/>
                <w:lang w:eastAsia="sk-SK"/>
              </w:rPr>
            </w:pPr>
            <w:r w:rsidRPr="009E4AD9">
              <w:rPr>
                <w:rFonts w:ascii="Times New Roman" w:eastAsia="Times New Roman" w:hAnsi="Times New Roman" w:cs="Times New Roman"/>
                <w:color w:val="000000"/>
                <w:sz w:val="20"/>
                <w:szCs w:val="20"/>
                <w:lang w:eastAsia="sk-SK"/>
              </w:rPr>
              <w:t>osoby žiadajúce o vydanie výpisu z LV prostredníctvom špecializovaného portálu</w:t>
            </w:r>
          </w:p>
        </w:tc>
        <w:tc>
          <w:tcPr>
            <w:tcW w:w="1108" w:type="dxa"/>
            <w:tcBorders>
              <w:top w:val="single" w:sz="4" w:space="0" w:color="auto"/>
              <w:left w:val="single" w:sz="4" w:space="0" w:color="auto"/>
              <w:bottom w:val="single" w:sz="4" w:space="0" w:color="auto"/>
              <w:right w:val="single" w:sz="4" w:space="0" w:color="auto"/>
            </w:tcBorders>
          </w:tcPr>
          <w:p w14:paraId="0F523A49" w14:textId="58CB6703" w:rsidR="008B20FE" w:rsidRPr="00951740"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200 000</w:t>
            </w:r>
          </w:p>
        </w:tc>
        <w:tc>
          <w:tcPr>
            <w:tcW w:w="851" w:type="dxa"/>
            <w:tcBorders>
              <w:top w:val="single" w:sz="4" w:space="0" w:color="auto"/>
              <w:left w:val="single" w:sz="4" w:space="0" w:color="auto"/>
              <w:bottom w:val="single" w:sz="4" w:space="0" w:color="auto"/>
              <w:right w:val="single" w:sz="4" w:space="0" w:color="auto"/>
            </w:tcBorders>
            <w:noWrap/>
            <w:vAlign w:val="center"/>
          </w:tcPr>
          <w:p w14:paraId="6092BD7D" w14:textId="49F203FB" w:rsidR="008B20FE" w:rsidRPr="00951740" w:rsidRDefault="006D0FD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w:t>
            </w:r>
          </w:p>
        </w:tc>
        <w:tc>
          <w:tcPr>
            <w:tcW w:w="843" w:type="dxa"/>
            <w:tcBorders>
              <w:top w:val="single" w:sz="4" w:space="0" w:color="auto"/>
              <w:left w:val="single" w:sz="4" w:space="0" w:color="auto"/>
              <w:bottom w:val="single" w:sz="4" w:space="0" w:color="auto"/>
              <w:right w:val="single" w:sz="4" w:space="0" w:color="auto"/>
            </w:tcBorders>
            <w:noWrap/>
            <w:vAlign w:val="center"/>
          </w:tcPr>
          <w:p w14:paraId="787C3C5F" w14:textId="3E799F86" w:rsidR="008B20FE" w:rsidRPr="00951740" w:rsidRDefault="006D0FD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1 200 000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2483C3B0" w14:textId="77777777" w:rsidR="009E4AD9" w:rsidRDefault="009E4A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p w14:paraId="51251227" w14:textId="46F8313A"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w:t>
            </w:r>
            <w:r w:rsidR="00EE66FA">
              <w:rPr>
                <w:rFonts w:ascii="Times New Roman" w:eastAsia="Times New Roman" w:hAnsi="Times New Roman" w:cs="Times New Roman"/>
                <w:sz w:val="20"/>
                <w:szCs w:val="20"/>
                <w:lang w:eastAsia="sk-SK"/>
              </w:rPr>
              <w:t>zvyšuje</w:t>
            </w:r>
            <w:r w:rsidRPr="00951740">
              <w:rPr>
                <w:rFonts w:ascii="Times New Roman" w:eastAsia="Times New Roman" w:hAnsi="Times New Roman" w:cs="Times New Roman"/>
                <w:sz w:val="20"/>
                <w:szCs w:val="20"/>
                <w:lang w:eastAsia="sk-SK"/>
              </w:rPr>
              <w:t xml:space="preserv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163655EF" w14:textId="1F326AEB" w:rsidR="008B20FE" w:rsidRPr="00951740" w:rsidRDefault="006D0FD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1 200 000</w:t>
            </w:r>
          </w:p>
        </w:tc>
        <w:tc>
          <w:tcPr>
            <w:tcW w:w="1134" w:type="dxa"/>
            <w:tcBorders>
              <w:top w:val="single" w:sz="4" w:space="0" w:color="auto"/>
              <w:left w:val="single" w:sz="4" w:space="0" w:color="auto"/>
              <w:bottom w:val="single" w:sz="4" w:space="0" w:color="auto"/>
              <w:right w:val="single" w:sz="4" w:space="0" w:color="auto"/>
            </w:tcBorders>
            <w:vAlign w:val="center"/>
          </w:tcPr>
          <w:p w14:paraId="3D8B7DA7"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72ABD384"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013D0F8F" w14:textId="3AC433F1" w:rsidR="008B20FE" w:rsidRPr="00951740" w:rsidRDefault="00B94CF1"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8</w:t>
            </w:r>
          </w:p>
        </w:tc>
        <w:tc>
          <w:tcPr>
            <w:tcW w:w="1740" w:type="dxa"/>
            <w:tcBorders>
              <w:top w:val="single" w:sz="4" w:space="0" w:color="auto"/>
              <w:left w:val="single" w:sz="4" w:space="0" w:color="auto"/>
              <w:bottom w:val="single" w:sz="4" w:space="0" w:color="auto"/>
              <w:right w:val="single" w:sz="4" w:space="0" w:color="auto"/>
            </w:tcBorders>
            <w:vAlign w:val="center"/>
          </w:tcPr>
          <w:p w14:paraId="1E8A8957" w14:textId="5C82CD77" w:rsidR="008B20FE" w:rsidRPr="00951740" w:rsidRDefault="00FB1038" w:rsidP="008B20FE">
            <w:pPr>
              <w:spacing w:after="0" w:line="240" w:lineRule="auto"/>
              <w:rPr>
                <w:rFonts w:ascii="Times New Roman" w:eastAsia="Times New Roman" w:hAnsi="Times New Roman" w:cs="Times New Roman"/>
                <w:sz w:val="20"/>
                <w:szCs w:val="20"/>
                <w:lang w:eastAsia="sk-SK"/>
              </w:rPr>
            </w:pPr>
            <w:r w:rsidRPr="00FB1038">
              <w:rPr>
                <w:rFonts w:ascii="Times New Roman" w:eastAsia="Times New Roman" w:hAnsi="Times New Roman" w:cs="Times New Roman"/>
                <w:sz w:val="20"/>
                <w:szCs w:val="20"/>
                <w:lang w:eastAsia="sk-SK"/>
              </w:rPr>
              <w:t>Zavedenie nového správneho poplatku za vyhľadanie listiny, sprístupnenie listiny na nahliadnutie a poskytnutie fotokópie listiny</w:t>
            </w:r>
          </w:p>
        </w:tc>
        <w:tc>
          <w:tcPr>
            <w:tcW w:w="992" w:type="dxa"/>
            <w:tcBorders>
              <w:top w:val="single" w:sz="4" w:space="0" w:color="auto"/>
              <w:left w:val="single" w:sz="4" w:space="0" w:color="auto"/>
              <w:bottom w:val="single" w:sz="4" w:space="0" w:color="auto"/>
              <w:right w:val="single" w:sz="4" w:space="0" w:color="auto"/>
            </w:tcBorders>
          </w:tcPr>
          <w:p w14:paraId="43C37E69"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145/1995</w:t>
            </w:r>
          </w:p>
        </w:tc>
        <w:tc>
          <w:tcPr>
            <w:tcW w:w="1134" w:type="dxa"/>
            <w:tcBorders>
              <w:top w:val="single" w:sz="4" w:space="0" w:color="auto"/>
              <w:left w:val="single" w:sz="4" w:space="0" w:color="auto"/>
              <w:bottom w:val="single" w:sz="4" w:space="0" w:color="auto"/>
              <w:right w:val="single" w:sz="4" w:space="0" w:color="auto"/>
            </w:tcBorders>
          </w:tcPr>
          <w:p w14:paraId="3DD56324" w14:textId="5092613F"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Položka 1</w:t>
            </w:r>
            <w:r w:rsidR="009E4AD9">
              <w:rPr>
                <w:rFonts w:ascii="Times New Roman" w:eastAsia="Times New Roman" w:hAnsi="Times New Roman" w:cs="Times New Roman"/>
                <w:sz w:val="20"/>
                <w:szCs w:val="20"/>
                <w:lang w:eastAsia="sk-SK"/>
              </w:rPr>
              <w:t>0</w:t>
            </w:r>
            <w:r w:rsidRPr="00951740">
              <w:rPr>
                <w:rFonts w:ascii="Times New Roman" w:eastAsia="Times New Roman" w:hAnsi="Times New Roman" w:cs="Times New Roman"/>
                <w:sz w:val="20"/>
                <w:szCs w:val="20"/>
                <w:lang w:eastAsia="sk-SK"/>
              </w:rPr>
              <w:t xml:space="preserve"> písm. </w:t>
            </w:r>
            <w:r w:rsidR="009E4AD9">
              <w:rPr>
                <w:rFonts w:ascii="Times New Roman" w:eastAsia="Times New Roman" w:hAnsi="Times New Roman" w:cs="Times New Roman"/>
                <w:sz w:val="20"/>
                <w:szCs w:val="20"/>
                <w:lang w:eastAsia="sk-SK"/>
              </w:rPr>
              <w:t>k</w:t>
            </w:r>
            <w:r w:rsidRPr="00951740">
              <w:rPr>
                <w:rFonts w:ascii="Times New Roman" w:eastAsia="Times New Roman" w:hAnsi="Times New Roman" w:cs="Times New Roman"/>
                <w:sz w:val="20"/>
                <w:szCs w:val="20"/>
                <w:lang w:eastAsia="sk-SK"/>
              </w:rPr>
              <w:t>)</w:t>
            </w:r>
          </w:p>
        </w:tc>
        <w:tc>
          <w:tcPr>
            <w:tcW w:w="1059" w:type="dxa"/>
            <w:tcBorders>
              <w:top w:val="single" w:sz="4" w:space="0" w:color="auto"/>
              <w:left w:val="single" w:sz="4" w:space="0" w:color="auto"/>
              <w:bottom w:val="single" w:sz="4" w:space="0" w:color="auto"/>
              <w:right w:val="single" w:sz="4" w:space="0" w:color="auto"/>
            </w:tcBorders>
            <w:vAlign w:val="center"/>
          </w:tcPr>
          <w:p w14:paraId="3E4927E8" w14:textId="77777777"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178CC23B" w14:textId="47C0110C"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sidRPr="00951740">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0E0407D6" w14:textId="2EB0AA8C" w:rsidR="008B20FE" w:rsidRPr="00951740" w:rsidRDefault="009E4AD9" w:rsidP="008B20FE">
            <w:pPr>
              <w:spacing w:after="0" w:line="240" w:lineRule="auto"/>
              <w:rPr>
                <w:rFonts w:ascii="Times New Roman" w:eastAsia="Times New Roman" w:hAnsi="Times New Roman" w:cs="Times New Roman"/>
                <w:color w:val="000000"/>
                <w:sz w:val="20"/>
                <w:szCs w:val="20"/>
                <w:lang w:eastAsia="sk-SK"/>
              </w:rPr>
            </w:pPr>
            <w:r w:rsidRPr="009E4AD9">
              <w:rPr>
                <w:rFonts w:ascii="Times New Roman" w:eastAsia="Times New Roman" w:hAnsi="Times New Roman" w:cs="Times New Roman"/>
                <w:color w:val="000000"/>
                <w:sz w:val="20"/>
                <w:szCs w:val="20"/>
                <w:lang w:eastAsia="sk-SK"/>
              </w:rPr>
              <w:t>osoby ktoré žiadajú vyh</w:t>
            </w:r>
            <w:r>
              <w:rPr>
                <w:rFonts w:ascii="Times New Roman" w:eastAsia="Times New Roman" w:hAnsi="Times New Roman" w:cs="Times New Roman"/>
                <w:color w:val="000000"/>
                <w:sz w:val="20"/>
                <w:szCs w:val="20"/>
                <w:lang w:eastAsia="sk-SK"/>
              </w:rPr>
              <w:t>ľ</w:t>
            </w:r>
            <w:r w:rsidRPr="009E4AD9">
              <w:rPr>
                <w:rFonts w:ascii="Times New Roman" w:eastAsia="Times New Roman" w:hAnsi="Times New Roman" w:cs="Times New Roman"/>
                <w:color w:val="000000"/>
                <w:sz w:val="20"/>
                <w:szCs w:val="20"/>
                <w:lang w:eastAsia="sk-SK"/>
              </w:rPr>
              <w:t xml:space="preserve">adanie </w:t>
            </w:r>
            <w:r>
              <w:rPr>
                <w:rFonts w:ascii="Times New Roman" w:eastAsia="Times New Roman" w:hAnsi="Times New Roman" w:cs="Times New Roman"/>
                <w:color w:val="000000"/>
                <w:sz w:val="20"/>
                <w:szCs w:val="20"/>
                <w:lang w:eastAsia="sk-SK"/>
              </w:rPr>
              <w:t xml:space="preserve">do </w:t>
            </w:r>
            <w:r w:rsidRPr="009E4AD9">
              <w:rPr>
                <w:rFonts w:ascii="Times New Roman" w:eastAsia="Times New Roman" w:hAnsi="Times New Roman" w:cs="Times New Roman"/>
                <w:color w:val="000000"/>
                <w:sz w:val="20"/>
                <w:szCs w:val="20"/>
                <w:lang w:eastAsia="sk-SK"/>
              </w:rPr>
              <w:t>listiny, sprístupnenie listiny na nahli</w:t>
            </w:r>
            <w:r>
              <w:rPr>
                <w:rFonts w:ascii="Times New Roman" w:eastAsia="Times New Roman" w:hAnsi="Times New Roman" w:cs="Times New Roman"/>
                <w:color w:val="000000"/>
                <w:sz w:val="20"/>
                <w:szCs w:val="20"/>
                <w:lang w:eastAsia="sk-SK"/>
              </w:rPr>
              <w:t>a</w:t>
            </w:r>
            <w:r w:rsidRPr="009E4AD9">
              <w:rPr>
                <w:rFonts w:ascii="Times New Roman" w:eastAsia="Times New Roman" w:hAnsi="Times New Roman" w:cs="Times New Roman"/>
                <w:color w:val="000000"/>
                <w:sz w:val="20"/>
                <w:szCs w:val="20"/>
                <w:lang w:eastAsia="sk-SK"/>
              </w:rPr>
              <w:t>dnutie</w:t>
            </w:r>
            <w:r>
              <w:rPr>
                <w:rFonts w:ascii="Times New Roman" w:eastAsia="Times New Roman" w:hAnsi="Times New Roman" w:cs="Times New Roman"/>
                <w:color w:val="000000"/>
                <w:sz w:val="20"/>
                <w:szCs w:val="20"/>
                <w:lang w:eastAsia="sk-SK"/>
              </w:rPr>
              <w:t xml:space="preserve"> </w:t>
            </w:r>
            <w:r w:rsidRPr="009E4AD9">
              <w:rPr>
                <w:rFonts w:ascii="Times New Roman" w:eastAsia="Times New Roman" w:hAnsi="Times New Roman" w:cs="Times New Roman"/>
                <w:color w:val="000000"/>
                <w:sz w:val="20"/>
                <w:szCs w:val="20"/>
                <w:lang w:eastAsia="sk-SK"/>
              </w:rPr>
              <w:t xml:space="preserve">a poskytnutie fotokópie listiny zo zbierky listín za každú listinu </w:t>
            </w:r>
            <w:r w:rsidR="008B20FE" w:rsidRPr="00951740">
              <w:rPr>
                <w:rFonts w:ascii="Times New Roman" w:eastAsia="Times New Roman" w:hAnsi="Times New Roman" w:cs="Times New Roman"/>
                <w:color w:val="000000"/>
                <w:sz w:val="20"/>
                <w:szCs w:val="20"/>
                <w:lang w:eastAsia="sk-SK"/>
              </w:rPr>
              <w:t xml:space="preserve">podobe prostredníctvom elektronickej podateľne ústredného portálu verejnej správy </w:t>
            </w:r>
          </w:p>
        </w:tc>
        <w:tc>
          <w:tcPr>
            <w:tcW w:w="1108" w:type="dxa"/>
            <w:tcBorders>
              <w:top w:val="single" w:sz="4" w:space="0" w:color="auto"/>
              <w:left w:val="single" w:sz="4" w:space="0" w:color="auto"/>
              <w:bottom w:val="single" w:sz="4" w:space="0" w:color="auto"/>
              <w:right w:val="single" w:sz="4" w:space="0" w:color="auto"/>
            </w:tcBorders>
          </w:tcPr>
          <w:p w14:paraId="4BAD4B46" w14:textId="1B9B1AA3"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 </w:t>
            </w:r>
            <w:r w:rsidR="005A585F">
              <w:rPr>
                <w:rFonts w:ascii="Times New Roman" w:eastAsia="Times New Roman" w:hAnsi="Times New Roman" w:cs="Times New Roman"/>
                <w:sz w:val="20"/>
                <w:szCs w:val="20"/>
                <w:lang w:eastAsia="sk-SK"/>
              </w:rPr>
              <w:t>17 300</w:t>
            </w:r>
            <w:r w:rsidRPr="00951740">
              <w:rPr>
                <w:rFonts w:ascii="Times New Roman" w:eastAsia="Times New Roman" w:hAnsi="Times New Roman" w:cs="Times New Roman"/>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noWrap/>
            <w:vAlign w:val="center"/>
          </w:tcPr>
          <w:p w14:paraId="522D8E8D" w14:textId="02682B0C" w:rsidR="008B20FE" w:rsidRPr="00951740" w:rsidRDefault="006D0FD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15</w:t>
            </w:r>
          </w:p>
        </w:tc>
        <w:tc>
          <w:tcPr>
            <w:tcW w:w="843" w:type="dxa"/>
            <w:tcBorders>
              <w:top w:val="single" w:sz="4" w:space="0" w:color="auto"/>
              <w:left w:val="single" w:sz="4" w:space="0" w:color="auto"/>
              <w:bottom w:val="single" w:sz="4" w:space="0" w:color="auto"/>
              <w:right w:val="single" w:sz="4" w:space="0" w:color="auto"/>
            </w:tcBorders>
            <w:noWrap/>
            <w:vAlign w:val="center"/>
          </w:tcPr>
          <w:p w14:paraId="38C2940F" w14:textId="6B423F63"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259 500</w:t>
            </w:r>
          </w:p>
        </w:tc>
        <w:tc>
          <w:tcPr>
            <w:tcW w:w="1000" w:type="dxa"/>
            <w:tcBorders>
              <w:top w:val="single" w:sz="4" w:space="0" w:color="auto"/>
              <w:left w:val="single" w:sz="4" w:space="0" w:color="auto"/>
              <w:bottom w:val="single" w:sz="4" w:space="0" w:color="auto"/>
              <w:right w:val="single" w:sz="4" w:space="0" w:color="auto"/>
            </w:tcBorders>
            <w:noWrap/>
            <w:vAlign w:val="center"/>
          </w:tcPr>
          <w:p w14:paraId="1BB6DF50"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51A1CE10" w14:textId="36B0EAEE"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259 500</w:t>
            </w:r>
          </w:p>
        </w:tc>
        <w:tc>
          <w:tcPr>
            <w:tcW w:w="1134" w:type="dxa"/>
            <w:tcBorders>
              <w:top w:val="single" w:sz="4" w:space="0" w:color="auto"/>
              <w:left w:val="single" w:sz="4" w:space="0" w:color="auto"/>
              <w:bottom w:val="single" w:sz="4" w:space="0" w:color="auto"/>
              <w:right w:val="single" w:sz="4" w:space="0" w:color="auto"/>
            </w:tcBorders>
            <w:vAlign w:val="center"/>
          </w:tcPr>
          <w:p w14:paraId="476B1906"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20EF07FC"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44DE7513" w14:textId="51FE9D66" w:rsidR="008B20FE" w:rsidRPr="00951740" w:rsidRDefault="006774CC"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9</w:t>
            </w:r>
          </w:p>
        </w:tc>
        <w:tc>
          <w:tcPr>
            <w:tcW w:w="1740" w:type="dxa"/>
            <w:tcBorders>
              <w:top w:val="single" w:sz="4" w:space="0" w:color="auto"/>
              <w:left w:val="single" w:sz="4" w:space="0" w:color="auto"/>
              <w:bottom w:val="single" w:sz="4" w:space="0" w:color="auto"/>
              <w:right w:val="single" w:sz="4" w:space="0" w:color="auto"/>
            </w:tcBorders>
            <w:vAlign w:val="center"/>
          </w:tcPr>
          <w:p w14:paraId="253E3923" w14:textId="502E3B09" w:rsidR="008B20FE" w:rsidRPr="00951740" w:rsidRDefault="00FB1038" w:rsidP="008B20FE">
            <w:pPr>
              <w:spacing w:after="0" w:line="240" w:lineRule="auto"/>
              <w:rPr>
                <w:rFonts w:ascii="Times New Roman" w:eastAsia="Times New Roman" w:hAnsi="Times New Roman" w:cs="Times New Roman"/>
                <w:sz w:val="20"/>
                <w:szCs w:val="20"/>
                <w:lang w:eastAsia="sk-SK"/>
              </w:rPr>
            </w:pPr>
            <w:r w:rsidRPr="00FB1038">
              <w:rPr>
                <w:rFonts w:ascii="Times New Roman" w:eastAsia="Times New Roman" w:hAnsi="Times New Roman" w:cs="Times New Roman"/>
                <w:sz w:val="20"/>
                <w:szCs w:val="20"/>
                <w:lang w:eastAsia="sk-SK"/>
              </w:rPr>
              <w:t xml:space="preserve">Zvýšenie správneho poplatku za návrh na začatie katastrálneho konania o povolení vkladu práva k nehnuteľnosti do </w:t>
            </w:r>
            <w:r w:rsidRPr="00FB1038">
              <w:rPr>
                <w:rFonts w:ascii="Times New Roman" w:eastAsia="Times New Roman" w:hAnsi="Times New Roman" w:cs="Times New Roman"/>
                <w:sz w:val="20"/>
                <w:szCs w:val="20"/>
                <w:lang w:eastAsia="sk-SK"/>
              </w:rPr>
              <w:lastRenderedPageBreak/>
              <w:t>katastra v elektronickej podobe prostredníctvom elektronickej podateľne ÚPVS - bežné</w:t>
            </w:r>
          </w:p>
        </w:tc>
        <w:tc>
          <w:tcPr>
            <w:tcW w:w="992" w:type="dxa"/>
            <w:tcBorders>
              <w:top w:val="single" w:sz="4" w:space="0" w:color="auto"/>
              <w:left w:val="single" w:sz="4" w:space="0" w:color="auto"/>
              <w:bottom w:val="single" w:sz="4" w:space="0" w:color="auto"/>
              <w:right w:val="single" w:sz="4" w:space="0" w:color="auto"/>
            </w:tcBorders>
          </w:tcPr>
          <w:p w14:paraId="5F22C862"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lastRenderedPageBreak/>
              <w:t>145/1995</w:t>
            </w:r>
          </w:p>
        </w:tc>
        <w:tc>
          <w:tcPr>
            <w:tcW w:w="1134" w:type="dxa"/>
            <w:tcBorders>
              <w:top w:val="single" w:sz="4" w:space="0" w:color="auto"/>
              <w:left w:val="single" w:sz="4" w:space="0" w:color="auto"/>
              <w:bottom w:val="single" w:sz="4" w:space="0" w:color="auto"/>
              <w:right w:val="single" w:sz="4" w:space="0" w:color="auto"/>
            </w:tcBorders>
          </w:tcPr>
          <w:p w14:paraId="546E3B2E" w14:textId="282AC0E0"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 xml:space="preserve">Položka 11 písm. </w:t>
            </w:r>
            <w:r w:rsidR="00FB1038">
              <w:rPr>
                <w:rFonts w:ascii="Times New Roman" w:eastAsia="Times New Roman" w:hAnsi="Times New Roman" w:cs="Times New Roman"/>
                <w:sz w:val="20"/>
                <w:szCs w:val="20"/>
                <w:lang w:eastAsia="sk-SK"/>
              </w:rPr>
              <w:t>a</w:t>
            </w:r>
            <w:r w:rsidRPr="00951740">
              <w:rPr>
                <w:rFonts w:ascii="Times New Roman" w:eastAsia="Times New Roman" w:hAnsi="Times New Roman" w:cs="Times New Roman"/>
                <w:sz w:val="20"/>
                <w:szCs w:val="20"/>
                <w:lang w:eastAsia="sk-SK"/>
              </w:rPr>
              <w:t>)</w:t>
            </w:r>
          </w:p>
        </w:tc>
        <w:tc>
          <w:tcPr>
            <w:tcW w:w="1059" w:type="dxa"/>
            <w:tcBorders>
              <w:top w:val="single" w:sz="4" w:space="0" w:color="auto"/>
              <w:left w:val="single" w:sz="4" w:space="0" w:color="auto"/>
              <w:bottom w:val="single" w:sz="4" w:space="0" w:color="auto"/>
              <w:right w:val="single" w:sz="4" w:space="0" w:color="auto"/>
            </w:tcBorders>
            <w:vAlign w:val="center"/>
          </w:tcPr>
          <w:p w14:paraId="23E13CEA" w14:textId="77777777"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12EA9163" w14:textId="37B77391"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01.07.2</w:t>
            </w:r>
            <w:r w:rsidR="00FB1038">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4BD8352B" w14:textId="42E406D7" w:rsidR="008B20FE" w:rsidRPr="00951740" w:rsidRDefault="00FB1038" w:rsidP="008B20FE">
            <w:pPr>
              <w:spacing w:after="0" w:line="240" w:lineRule="auto"/>
              <w:rPr>
                <w:rFonts w:ascii="Times New Roman" w:eastAsia="Times New Roman" w:hAnsi="Times New Roman" w:cs="Times New Roman"/>
                <w:color w:val="000000"/>
                <w:sz w:val="20"/>
                <w:szCs w:val="20"/>
                <w:lang w:eastAsia="sk-SK"/>
              </w:rPr>
            </w:pPr>
            <w:r w:rsidRPr="00FB1038">
              <w:rPr>
                <w:rFonts w:ascii="Times New Roman" w:eastAsia="Times New Roman" w:hAnsi="Times New Roman" w:cs="Times New Roman"/>
                <w:color w:val="000000"/>
                <w:sz w:val="20"/>
                <w:szCs w:val="20"/>
                <w:lang w:eastAsia="sk-SK"/>
              </w:rPr>
              <w:t xml:space="preserve">osoby ktoré podali  návrh na  začatie  konania  o  povolení  vkladu práva k nehnuteľnosti do katastra   nehnuteľností v </w:t>
            </w:r>
            <w:r w:rsidRPr="00FB1038">
              <w:rPr>
                <w:rFonts w:ascii="Times New Roman" w:eastAsia="Times New Roman" w:hAnsi="Times New Roman" w:cs="Times New Roman"/>
                <w:color w:val="000000"/>
                <w:sz w:val="20"/>
                <w:szCs w:val="20"/>
                <w:lang w:eastAsia="sk-SK"/>
              </w:rPr>
              <w:lastRenderedPageBreak/>
              <w:t>elektronickej podobe prostredníctvom elektronickej podateľne ústredného portálu verejnej správy - bežn</w:t>
            </w:r>
            <w:r>
              <w:rPr>
                <w:rFonts w:ascii="Times New Roman" w:eastAsia="Times New Roman" w:hAnsi="Times New Roman" w:cs="Times New Roman"/>
                <w:color w:val="000000"/>
                <w:sz w:val="20"/>
                <w:szCs w:val="20"/>
                <w:lang w:eastAsia="sk-SK"/>
              </w:rPr>
              <w:t>é</w:t>
            </w:r>
          </w:p>
        </w:tc>
        <w:tc>
          <w:tcPr>
            <w:tcW w:w="1108" w:type="dxa"/>
            <w:tcBorders>
              <w:top w:val="single" w:sz="4" w:space="0" w:color="auto"/>
              <w:left w:val="single" w:sz="4" w:space="0" w:color="auto"/>
              <w:bottom w:val="single" w:sz="4" w:space="0" w:color="auto"/>
              <w:right w:val="single" w:sz="4" w:space="0" w:color="auto"/>
            </w:tcBorders>
          </w:tcPr>
          <w:p w14:paraId="407C80EC" w14:textId="78A9E7DF" w:rsidR="008B20FE" w:rsidRPr="00951740" w:rsidRDefault="005A585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27 500</w:t>
            </w:r>
          </w:p>
        </w:tc>
        <w:tc>
          <w:tcPr>
            <w:tcW w:w="851" w:type="dxa"/>
            <w:tcBorders>
              <w:top w:val="single" w:sz="4" w:space="0" w:color="auto"/>
              <w:left w:val="single" w:sz="4" w:space="0" w:color="auto"/>
              <w:bottom w:val="single" w:sz="4" w:space="0" w:color="auto"/>
              <w:right w:val="single" w:sz="4" w:space="0" w:color="auto"/>
            </w:tcBorders>
            <w:noWrap/>
            <w:vAlign w:val="center"/>
          </w:tcPr>
          <w:p w14:paraId="036AB076" w14:textId="17D10483" w:rsidR="008B20FE" w:rsidRPr="00951740" w:rsidRDefault="006D0FD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50</w:t>
            </w:r>
          </w:p>
        </w:tc>
        <w:tc>
          <w:tcPr>
            <w:tcW w:w="843" w:type="dxa"/>
            <w:tcBorders>
              <w:top w:val="single" w:sz="4" w:space="0" w:color="auto"/>
              <w:left w:val="single" w:sz="4" w:space="0" w:color="auto"/>
              <w:bottom w:val="single" w:sz="4" w:space="0" w:color="auto"/>
              <w:right w:val="single" w:sz="4" w:space="0" w:color="auto"/>
            </w:tcBorders>
            <w:noWrap/>
            <w:vAlign w:val="center"/>
          </w:tcPr>
          <w:p w14:paraId="2F00405D" w14:textId="2854A5AB"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1 375 000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37B1EAAE"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3F84E635" w14:textId="0B087B60"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1 375 000</w:t>
            </w:r>
          </w:p>
        </w:tc>
        <w:tc>
          <w:tcPr>
            <w:tcW w:w="1134" w:type="dxa"/>
            <w:tcBorders>
              <w:top w:val="single" w:sz="4" w:space="0" w:color="auto"/>
              <w:left w:val="single" w:sz="4" w:space="0" w:color="auto"/>
              <w:bottom w:val="single" w:sz="4" w:space="0" w:color="auto"/>
              <w:right w:val="single" w:sz="4" w:space="0" w:color="auto"/>
            </w:tcBorders>
            <w:vAlign w:val="center"/>
          </w:tcPr>
          <w:p w14:paraId="688066A7"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6DA30E3C"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0D1216EE" w14:textId="1DAD9FB2"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w:t>
            </w:r>
            <w:r w:rsidR="006774CC">
              <w:rPr>
                <w:rFonts w:ascii="Times New Roman" w:eastAsia="Times New Roman" w:hAnsi="Times New Roman" w:cs="Times New Roman"/>
                <w:sz w:val="20"/>
                <w:szCs w:val="20"/>
                <w:lang w:eastAsia="sk-SK"/>
              </w:rPr>
              <w:t>0</w:t>
            </w:r>
          </w:p>
        </w:tc>
        <w:tc>
          <w:tcPr>
            <w:tcW w:w="1740" w:type="dxa"/>
            <w:tcBorders>
              <w:top w:val="single" w:sz="4" w:space="0" w:color="auto"/>
              <w:left w:val="single" w:sz="4" w:space="0" w:color="auto"/>
              <w:bottom w:val="single" w:sz="4" w:space="0" w:color="auto"/>
              <w:right w:val="single" w:sz="4" w:space="0" w:color="auto"/>
            </w:tcBorders>
            <w:vAlign w:val="center"/>
          </w:tcPr>
          <w:p w14:paraId="0A066DC6" w14:textId="4E6EE40B" w:rsidR="008B20FE" w:rsidRPr="00951740" w:rsidRDefault="00FB1038" w:rsidP="008B20FE">
            <w:pPr>
              <w:spacing w:after="0" w:line="240" w:lineRule="auto"/>
              <w:rPr>
                <w:rFonts w:ascii="Times New Roman" w:eastAsia="Times New Roman" w:hAnsi="Times New Roman" w:cs="Times New Roman"/>
                <w:sz w:val="20"/>
                <w:szCs w:val="20"/>
                <w:lang w:eastAsia="sk-SK"/>
              </w:rPr>
            </w:pPr>
            <w:r w:rsidRPr="00FB1038">
              <w:rPr>
                <w:rFonts w:ascii="Times New Roman" w:eastAsia="Times New Roman" w:hAnsi="Times New Roman" w:cs="Times New Roman"/>
                <w:sz w:val="20"/>
                <w:szCs w:val="20"/>
                <w:lang w:eastAsia="sk-SK"/>
              </w:rPr>
              <w:t>Zvýšenie správneho poplatku za návrh na začatie katastrálneho konania o povolení vkladu práva k nehnuteľnosti do katastra v elektronickej podobe prostredníctvom elektronickej podateľne ÚPVS - zrýchlené</w:t>
            </w:r>
          </w:p>
        </w:tc>
        <w:tc>
          <w:tcPr>
            <w:tcW w:w="992" w:type="dxa"/>
            <w:tcBorders>
              <w:top w:val="single" w:sz="4" w:space="0" w:color="auto"/>
              <w:left w:val="single" w:sz="4" w:space="0" w:color="auto"/>
              <w:bottom w:val="single" w:sz="4" w:space="0" w:color="auto"/>
              <w:right w:val="single" w:sz="4" w:space="0" w:color="auto"/>
            </w:tcBorders>
          </w:tcPr>
          <w:p w14:paraId="33ADF915"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145/1995</w:t>
            </w:r>
          </w:p>
        </w:tc>
        <w:tc>
          <w:tcPr>
            <w:tcW w:w="1134" w:type="dxa"/>
            <w:tcBorders>
              <w:top w:val="single" w:sz="4" w:space="0" w:color="auto"/>
              <w:left w:val="single" w:sz="4" w:space="0" w:color="auto"/>
              <w:bottom w:val="single" w:sz="4" w:space="0" w:color="auto"/>
              <w:right w:val="single" w:sz="4" w:space="0" w:color="auto"/>
            </w:tcBorders>
          </w:tcPr>
          <w:p w14:paraId="34395E4A" w14:textId="007F23CB" w:rsidR="008B20FE" w:rsidRPr="00951740" w:rsidRDefault="00FB1038"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Položka 11 písm. c)</w:t>
            </w:r>
          </w:p>
        </w:tc>
        <w:tc>
          <w:tcPr>
            <w:tcW w:w="1059" w:type="dxa"/>
            <w:tcBorders>
              <w:top w:val="single" w:sz="4" w:space="0" w:color="auto"/>
              <w:left w:val="single" w:sz="4" w:space="0" w:color="auto"/>
              <w:bottom w:val="single" w:sz="4" w:space="0" w:color="auto"/>
              <w:right w:val="single" w:sz="4" w:space="0" w:color="auto"/>
            </w:tcBorders>
            <w:vAlign w:val="center"/>
          </w:tcPr>
          <w:p w14:paraId="17E3178C" w14:textId="77777777"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sidRPr="00951740">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7E0B2774" w14:textId="3FAC873D"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sidRPr="00951740">
              <w:rPr>
                <w:rFonts w:ascii="Times New Roman" w:eastAsia="Times New Roman" w:hAnsi="Times New Roman" w:cs="Times New Roman"/>
                <w:color w:val="000000"/>
                <w:sz w:val="20"/>
                <w:szCs w:val="20"/>
                <w:lang w:eastAsia="sk-SK"/>
              </w:rPr>
              <w:t>01.07.2</w:t>
            </w:r>
            <w:r w:rsidR="00FB1038">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0CF585EE" w14:textId="35521E00" w:rsidR="008B20FE" w:rsidRPr="00951740" w:rsidRDefault="00FB1038" w:rsidP="008B20FE">
            <w:pPr>
              <w:spacing w:after="0" w:line="240" w:lineRule="auto"/>
              <w:rPr>
                <w:rFonts w:ascii="Times New Roman" w:eastAsia="Times New Roman" w:hAnsi="Times New Roman" w:cs="Times New Roman"/>
                <w:color w:val="000000"/>
                <w:sz w:val="20"/>
                <w:szCs w:val="20"/>
                <w:lang w:eastAsia="sk-SK"/>
              </w:rPr>
            </w:pPr>
            <w:r w:rsidRPr="00FB1038">
              <w:rPr>
                <w:rFonts w:ascii="Times New Roman" w:eastAsia="Times New Roman" w:hAnsi="Times New Roman" w:cs="Times New Roman"/>
                <w:color w:val="000000"/>
                <w:sz w:val="20"/>
                <w:szCs w:val="20"/>
                <w:lang w:eastAsia="sk-SK"/>
              </w:rPr>
              <w:t>osoby ktoré podali  návrh na  začatie  konania  o  povolení  vkladu práva k nehnuteľnosti do katastra   nehnuteľností v elektronickej podobe prostredníctvom elektronickej podateľne ústredného portálu verejnej správy - urýchlene</w:t>
            </w:r>
          </w:p>
        </w:tc>
        <w:tc>
          <w:tcPr>
            <w:tcW w:w="1108" w:type="dxa"/>
            <w:tcBorders>
              <w:top w:val="single" w:sz="4" w:space="0" w:color="auto"/>
              <w:left w:val="single" w:sz="4" w:space="0" w:color="auto"/>
              <w:bottom w:val="single" w:sz="4" w:space="0" w:color="auto"/>
              <w:right w:val="single" w:sz="4" w:space="0" w:color="auto"/>
            </w:tcBorders>
          </w:tcPr>
          <w:p w14:paraId="421FA772" w14:textId="3243CCC7" w:rsidR="008B20FE" w:rsidRPr="00951740" w:rsidRDefault="005A585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18 360</w:t>
            </w:r>
          </w:p>
        </w:tc>
        <w:tc>
          <w:tcPr>
            <w:tcW w:w="851" w:type="dxa"/>
            <w:tcBorders>
              <w:top w:val="single" w:sz="4" w:space="0" w:color="auto"/>
              <w:left w:val="single" w:sz="4" w:space="0" w:color="auto"/>
              <w:bottom w:val="single" w:sz="4" w:space="0" w:color="auto"/>
              <w:right w:val="single" w:sz="4" w:space="0" w:color="auto"/>
            </w:tcBorders>
            <w:noWrap/>
            <w:vAlign w:val="center"/>
          </w:tcPr>
          <w:p w14:paraId="53678BCB" w14:textId="5F192CFC" w:rsidR="008B20FE" w:rsidRPr="00951740" w:rsidRDefault="006D0FDF"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150</w:t>
            </w:r>
          </w:p>
        </w:tc>
        <w:tc>
          <w:tcPr>
            <w:tcW w:w="843" w:type="dxa"/>
            <w:tcBorders>
              <w:top w:val="single" w:sz="4" w:space="0" w:color="auto"/>
              <w:left w:val="single" w:sz="4" w:space="0" w:color="auto"/>
              <w:bottom w:val="single" w:sz="4" w:space="0" w:color="auto"/>
              <w:right w:val="single" w:sz="4" w:space="0" w:color="auto"/>
            </w:tcBorders>
            <w:noWrap/>
            <w:vAlign w:val="center"/>
          </w:tcPr>
          <w:p w14:paraId="466ABA3F" w14:textId="623F7075"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2 754 000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0777D204" w14:textId="35063C97" w:rsidR="008B20FE" w:rsidRPr="00951740" w:rsidRDefault="00FB1038"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1AC08FBD" w14:textId="01CF2681" w:rsidR="008B20FE" w:rsidRPr="00951740" w:rsidRDefault="005A585F"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2 754 000</w:t>
            </w:r>
          </w:p>
        </w:tc>
        <w:tc>
          <w:tcPr>
            <w:tcW w:w="1134" w:type="dxa"/>
            <w:tcBorders>
              <w:top w:val="single" w:sz="4" w:space="0" w:color="auto"/>
              <w:left w:val="single" w:sz="4" w:space="0" w:color="auto"/>
              <w:bottom w:val="single" w:sz="4" w:space="0" w:color="auto"/>
              <w:right w:val="single" w:sz="4" w:space="0" w:color="auto"/>
            </w:tcBorders>
            <w:vAlign w:val="center"/>
          </w:tcPr>
          <w:p w14:paraId="6857068C" w14:textId="77777777" w:rsidR="008B20FE" w:rsidRPr="00951740" w:rsidRDefault="008B20FE" w:rsidP="008B20FE">
            <w:pPr>
              <w:spacing w:after="0" w:line="240" w:lineRule="auto"/>
              <w:rPr>
                <w:rFonts w:ascii="Times New Roman" w:eastAsia="Times New Roman" w:hAnsi="Times New Roman" w:cs="Times New Roman"/>
                <w:sz w:val="20"/>
                <w:szCs w:val="20"/>
                <w:lang w:eastAsia="sk-SK"/>
              </w:rPr>
            </w:pPr>
            <w:r w:rsidRPr="00951740">
              <w:rPr>
                <w:rFonts w:ascii="Times New Roman" w:eastAsia="Times New Roman" w:hAnsi="Times New Roman" w:cs="Times New Roman"/>
                <w:sz w:val="20"/>
                <w:szCs w:val="20"/>
                <w:lang w:eastAsia="sk-SK"/>
              </w:rPr>
              <w:t>0</w:t>
            </w:r>
          </w:p>
        </w:tc>
      </w:tr>
      <w:tr w:rsidR="008B20FE" w:rsidRPr="00951740" w14:paraId="4705DCD4"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75B0031C" w14:textId="6D85CB8D" w:rsidR="008B20FE" w:rsidRPr="00951740" w:rsidRDefault="008B20F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r w:rsidR="006774CC">
              <w:rPr>
                <w:rFonts w:ascii="Times New Roman" w:eastAsia="Times New Roman" w:hAnsi="Times New Roman" w:cs="Times New Roman"/>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vAlign w:val="center"/>
          </w:tcPr>
          <w:p w14:paraId="7C7452A9" w14:textId="32531D10" w:rsidR="008B20FE" w:rsidRPr="00951740" w:rsidRDefault="00FB1038" w:rsidP="008B20FE">
            <w:pPr>
              <w:spacing w:after="0" w:line="240" w:lineRule="auto"/>
              <w:rPr>
                <w:rFonts w:ascii="Times New Roman" w:eastAsia="Times New Roman" w:hAnsi="Times New Roman" w:cs="Times New Roman"/>
                <w:sz w:val="20"/>
                <w:szCs w:val="20"/>
                <w:lang w:eastAsia="sk-SK"/>
              </w:rPr>
            </w:pPr>
            <w:r w:rsidRPr="00FB1038">
              <w:rPr>
                <w:rFonts w:ascii="Times New Roman" w:eastAsia="Times New Roman" w:hAnsi="Times New Roman" w:cs="Times New Roman"/>
                <w:sz w:val="20"/>
                <w:szCs w:val="20"/>
                <w:lang w:eastAsia="sk-SK"/>
              </w:rPr>
              <w:t>Zvýšenie správneho poplatku za návrh na začatie katastrálneho konania o povolení vkladu práva k nehnuteľnosti do katastra v elektronickej podobe prostredníctvom štrukt</w:t>
            </w:r>
            <w:r w:rsidR="00F936D9">
              <w:rPr>
                <w:rFonts w:ascii="Times New Roman" w:eastAsia="Times New Roman" w:hAnsi="Times New Roman" w:cs="Times New Roman"/>
                <w:sz w:val="20"/>
                <w:szCs w:val="20"/>
                <w:lang w:eastAsia="sk-SK"/>
              </w:rPr>
              <w:t>ú</w:t>
            </w:r>
            <w:r w:rsidRPr="00FB1038">
              <w:rPr>
                <w:rFonts w:ascii="Times New Roman" w:eastAsia="Times New Roman" w:hAnsi="Times New Roman" w:cs="Times New Roman"/>
                <w:sz w:val="20"/>
                <w:szCs w:val="20"/>
                <w:lang w:eastAsia="sk-SK"/>
              </w:rPr>
              <w:t>rovaného formulára</w:t>
            </w:r>
            <w:r w:rsidR="00F936D9">
              <w:rPr>
                <w:rFonts w:ascii="Times New Roman" w:eastAsia="Times New Roman" w:hAnsi="Times New Roman" w:cs="Times New Roman"/>
                <w:sz w:val="20"/>
                <w:szCs w:val="20"/>
                <w:lang w:eastAsia="sk-SK"/>
              </w:rPr>
              <w:t xml:space="preserve"> - zrýchlené</w:t>
            </w:r>
          </w:p>
        </w:tc>
        <w:tc>
          <w:tcPr>
            <w:tcW w:w="992" w:type="dxa"/>
            <w:tcBorders>
              <w:top w:val="single" w:sz="4" w:space="0" w:color="auto"/>
              <w:left w:val="single" w:sz="4" w:space="0" w:color="auto"/>
              <w:bottom w:val="single" w:sz="4" w:space="0" w:color="auto"/>
              <w:right w:val="single" w:sz="4" w:space="0" w:color="auto"/>
            </w:tcBorders>
          </w:tcPr>
          <w:p w14:paraId="15942997" w14:textId="3E8133AC" w:rsidR="008B20FE" w:rsidRPr="00951740" w:rsidRDefault="008B20F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145/1995</w:t>
            </w:r>
          </w:p>
        </w:tc>
        <w:tc>
          <w:tcPr>
            <w:tcW w:w="1134" w:type="dxa"/>
            <w:tcBorders>
              <w:top w:val="single" w:sz="4" w:space="0" w:color="auto"/>
              <w:left w:val="single" w:sz="4" w:space="0" w:color="auto"/>
              <w:bottom w:val="single" w:sz="4" w:space="0" w:color="auto"/>
              <w:right w:val="single" w:sz="4" w:space="0" w:color="auto"/>
            </w:tcBorders>
          </w:tcPr>
          <w:p w14:paraId="700C33A2" w14:textId="5E9B126F" w:rsidR="008B20FE" w:rsidRPr="00951740" w:rsidRDefault="00FB1038"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Položka 11 písm. d)</w:t>
            </w:r>
          </w:p>
        </w:tc>
        <w:tc>
          <w:tcPr>
            <w:tcW w:w="1059" w:type="dxa"/>
            <w:tcBorders>
              <w:top w:val="single" w:sz="4" w:space="0" w:color="auto"/>
              <w:left w:val="single" w:sz="4" w:space="0" w:color="auto"/>
              <w:bottom w:val="single" w:sz="4" w:space="0" w:color="auto"/>
              <w:right w:val="single" w:sz="4" w:space="0" w:color="auto"/>
            </w:tcBorders>
            <w:vAlign w:val="center"/>
          </w:tcPr>
          <w:p w14:paraId="1F25CD62" w14:textId="2A9EBA33" w:rsidR="008B20FE" w:rsidRPr="00951740" w:rsidRDefault="008B20FE" w:rsidP="008B20FE">
            <w:pPr>
              <w:pStyle w:val="gmail-m-1648484718305530482msolistparagraph"/>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0844E213" w14:textId="0ABA42B7" w:rsidR="008B20FE" w:rsidRPr="00951740" w:rsidRDefault="008B20FE"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01.07.2</w:t>
            </w:r>
            <w:r w:rsidR="00FB1038">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55A1B297" w14:textId="04385986" w:rsidR="008B20FE" w:rsidRPr="00951740" w:rsidRDefault="00FB1038" w:rsidP="008B20FE">
            <w:pPr>
              <w:spacing w:after="0" w:line="240" w:lineRule="auto"/>
              <w:rPr>
                <w:rFonts w:ascii="Times New Roman" w:eastAsia="Times New Roman" w:hAnsi="Times New Roman" w:cs="Times New Roman"/>
                <w:color w:val="000000"/>
                <w:sz w:val="20"/>
                <w:szCs w:val="20"/>
                <w:lang w:eastAsia="sk-SK"/>
              </w:rPr>
            </w:pPr>
            <w:r w:rsidRPr="00FB1038">
              <w:rPr>
                <w:rFonts w:ascii="Times New Roman" w:eastAsia="Times New Roman" w:hAnsi="Times New Roman" w:cs="Times New Roman"/>
                <w:color w:val="000000"/>
                <w:sz w:val="20"/>
                <w:szCs w:val="20"/>
                <w:lang w:eastAsia="sk-SK"/>
              </w:rPr>
              <w:t>osoby ktoré podali  návrh na  začatie  konania  o  povolení  vkladu práva k nehnuteľnosti do katastra   nehnuteľností v elektronickej podobe prostredníctvom štrukt</w:t>
            </w:r>
            <w:r w:rsidR="00F936D9">
              <w:rPr>
                <w:rFonts w:ascii="Times New Roman" w:eastAsia="Times New Roman" w:hAnsi="Times New Roman" w:cs="Times New Roman"/>
                <w:color w:val="000000"/>
                <w:sz w:val="20"/>
                <w:szCs w:val="20"/>
                <w:lang w:eastAsia="sk-SK"/>
              </w:rPr>
              <w:t>ú</w:t>
            </w:r>
            <w:r w:rsidRPr="00FB1038">
              <w:rPr>
                <w:rFonts w:ascii="Times New Roman" w:eastAsia="Times New Roman" w:hAnsi="Times New Roman" w:cs="Times New Roman"/>
                <w:color w:val="000000"/>
                <w:sz w:val="20"/>
                <w:szCs w:val="20"/>
                <w:lang w:eastAsia="sk-SK"/>
              </w:rPr>
              <w:t>rovaného formulára</w:t>
            </w:r>
            <w:r w:rsidR="002050E5">
              <w:rPr>
                <w:rFonts w:ascii="Times New Roman" w:eastAsia="Times New Roman" w:hAnsi="Times New Roman" w:cs="Times New Roman"/>
                <w:color w:val="000000"/>
                <w:sz w:val="20"/>
                <w:szCs w:val="20"/>
                <w:lang w:eastAsia="sk-SK"/>
              </w:rPr>
              <w:t xml:space="preserve"> -zrýchlené</w:t>
            </w:r>
          </w:p>
        </w:tc>
        <w:tc>
          <w:tcPr>
            <w:tcW w:w="1108" w:type="dxa"/>
            <w:tcBorders>
              <w:top w:val="single" w:sz="4" w:space="0" w:color="auto"/>
              <w:left w:val="single" w:sz="4" w:space="0" w:color="auto"/>
              <w:bottom w:val="single" w:sz="4" w:space="0" w:color="auto"/>
              <w:right w:val="single" w:sz="4" w:space="0" w:color="auto"/>
            </w:tcBorders>
          </w:tcPr>
          <w:p w14:paraId="374D33D5" w14:textId="11448B92" w:rsidR="008B20FE" w:rsidRPr="00951740" w:rsidRDefault="00FB1038"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20 000</w:t>
            </w:r>
          </w:p>
        </w:tc>
        <w:tc>
          <w:tcPr>
            <w:tcW w:w="851" w:type="dxa"/>
            <w:tcBorders>
              <w:top w:val="single" w:sz="4" w:space="0" w:color="auto"/>
              <w:left w:val="single" w:sz="4" w:space="0" w:color="auto"/>
              <w:bottom w:val="single" w:sz="4" w:space="0" w:color="auto"/>
              <w:right w:val="single" w:sz="4" w:space="0" w:color="auto"/>
            </w:tcBorders>
            <w:noWrap/>
            <w:vAlign w:val="center"/>
          </w:tcPr>
          <w:p w14:paraId="27CA3837" w14:textId="18A3ECA7" w:rsidR="008B20FE" w:rsidRPr="00951740" w:rsidRDefault="00F936D9"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50</w:t>
            </w:r>
          </w:p>
        </w:tc>
        <w:tc>
          <w:tcPr>
            <w:tcW w:w="843" w:type="dxa"/>
            <w:tcBorders>
              <w:top w:val="single" w:sz="4" w:space="0" w:color="auto"/>
              <w:left w:val="single" w:sz="4" w:space="0" w:color="auto"/>
              <w:bottom w:val="single" w:sz="4" w:space="0" w:color="auto"/>
              <w:right w:val="single" w:sz="4" w:space="0" w:color="auto"/>
            </w:tcBorders>
            <w:noWrap/>
            <w:vAlign w:val="center"/>
          </w:tcPr>
          <w:p w14:paraId="13DB548C" w14:textId="7B58683D" w:rsidR="008B20FE" w:rsidRPr="00951740" w:rsidRDefault="00F936D9"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1 000 000</w:t>
            </w:r>
          </w:p>
        </w:tc>
        <w:tc>
          <w:tcPr>
            <w:tcW w:w="1000" w:type="dxa"/>
            <w:tcBorders>
              <w:top w:val="single" w:sz="4" w:space="0" w:color="auto"/>
              <w:left w:val="single" w:sz="4" w:space="0" w:color="auto"/>
              <w:bottom w:val="single" w:sz="4" w:space="0" w:color="auto"/>
              <w:right w:val="single" w:sz="4" w:space="0" w:color="auto"/>
            </w:tcBorders>
            <w:noWrap/>
            <w:vAlign w:val="center"/>
          </w:tcPr>
          <w:p w14:paraId="18A53C28" w14:textId="77777777" w:rsidR="008B20FE" w:rsidRDefault="008B20F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p w14:paraId="60474C09" w14:textId="29F59B1D" w:rsidR="008B20FE" w:rsidRPr="00951740" w:rsidRDefault="008B20F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2A3CD28F" w14:textId="3CDB49A8" w:rsidR="008B20FE" w:rsidRPr="00951740" w:rsidRDefault="00F936D9" w:rsidP="008B20FE">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1 000 000</w:t>
            </w:r>
          </w:p>
        </w:tc>
        <w:tc>
          <w:tcPr>
            <w:tcW w:w="1134" w:type="dxa"/>
            <w:tcBorders>
              <w:top w:val="single" w:sz="4" w:space="0" w:color="auto"/>
              <w:left w:val="single" w:sz="4" w:space="0" w:color="auto"/>
              <w:bottom w:val="single" w:sz="4" w:space="0" w:color="auto"/>
              <w:right w:val="single" w:sz="4" w:space="0" w:color="auto"/>
            </w:tcBorders>
            <w:vAlign w:val="center"/>
          </w:tcPr>
          <w:p w14:paraId="7A6670E4" w14:textId="4DD585B3" w:rsidR="008B20FE" w:rsidRPr="00951740" w:rsidRDefault="008B20FE" w:rsidP="008B20F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FB1038" w:rsidRPr="00951740" w14:paraId="00A2C8F6" w14:textId="77777777" w:rsidTr="005C4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2FF8AF2F" w14:textId="3C835EE7"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1</w:t>
            </w:r>
            <w:r w:rsidR="006774CC">
              <w:rPr>
                <w:rFonts w:ascii="Times New Roman" w:eastAsia="Times New Roman" w:hAnsi="Times New Roman" w:cs="Times New Roman"/>
                <w:sz w:val="20"/>
                <w:szCs w:val="20"/>
                <w:lang w:eastAsia="sk-SK"/>
              </w:rPr>
              <w:t>2</w:t>
            </w:r>
          </w:p>
        </w:tc>
        <w:tc>
          <w:tcPr>
            <w:tcW w:w="1740" w:type="dxa"/>
            <w:tcBorders>
              <w:top w:val="single" w:sz="4" w:space="0" w:color="auto"/>
              <w:left w:val="single" w:sz="4" w:space="0" w:color="auto"/>
              <w:bottom w:val="single" w:sz="4" w:space="0" w:color="auto"/>
              <w:right w:val="single" w:sz="4" w:space="0" w:color="auto"/>
            </w:tcBorders>
            <w:vAlign w:val="center"/>
          </w:tcPr>
          <w:p w14:paraId="726577F3" w14:textId="47E97694" w:rsidR="00FB1038" w:rsidRPr="00FB1038" w:rsidRDefault="00FB1038" w:rsidP="00FB1038">
            <w:pPr>
              <w:spacing w:after="0" w:line="240" w:lineRule="auto"/>
              <w:rPr>
                <w:rFonts w:ascii="Times New Roman" w:eastAsia="Times New Roman" w:hAnsi="Times New Roman" w:cs="Times New Roman"/>
                <w:sz w:val="20"/>
                <w:szCs w:val="20"/>
                <w:lang w:eastAsia="sk-SK"/>
              </w:rPr>
            </w:pPr>
            <w:r w:rsidRPr="00FB1038">
              <w:rPr>
                <w:rFonts w:ascii="Times New Roman" w:eastAsia="Times New Roman" w:hAnsi="Times New Roman" w:cs="Times New Roman"/>
                <w:sz w:val="20"/>
                <w:szCs w:val="20"/>
                <w:lang w:eastAsia="sk-SK"/>
              </w:rPr>
              <w:t>Zvýšenie správneho poplatku za prešetrenie údajov katastra</w:t>
            </w:r>
          </w:p>
        </w:tc>
        <w:tc>
          <w:tcPr>
            <w:tcW w:w="992" w:type="dxa"/>
            <w:tcBorders>
              <w:top w:val="single" w:sz="4" w:space="0" w:color="auto"/>
              <w:left w:val="single" w:sz="4" w:space="0" w:color="auto"/>
              <w:bottom w:val="single" w:sz="4" w:space="0" w:color="auto"/>
              <w:right w:val="single" w:sz="4" w:space="0" w:color="auto"/>
            </w:tcBorders>
          </w:tcPr>
          <w:p w14:paraId="39B78D9E" w14:textId="4AD7D296"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145/1995</w:t>
            </w:r>
          </w:p>
        </w:tc>
        <w:tc>
          <w:tcPr>
            <w:tcW w:w="1134" w:type="dxa"/>
            <w:tcBorders>
              <w:top w:val="single" w:sz="4" w:space="0" w:color="auto"/>
              <w:left w:val="single" w:sz="4" w:space="0" w:color="auto"/>
              <w:bottom w:val="single" w:sz="4" w:space="0" w:color="auto"/>
              <w:right w:val="single" w:sz="4" w:space="0" w:color="auto"/>
            </w:tcBorders>
          </w:tcPr>
          <w:p w14:paraId="51C0AAA8" w14:textId="0DB76CCA"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Položka 11a</w:t>
            </w:r>
          </w:p>
        </w:tc>
        <w:tc>
          <w:tcPr>
            <w:tcW w:w="1059" w:type="dxa"/>
            <w:tcBorders>
              <w:top w:val="single" w:sz="4" w:space="0" w:color="auto"/>
              <w:left w:val="single" w:sz="4" w:space="0" w:color="auto"/>
              <w:bottom w:val="single" w:sz="4" w:space="0" w:color="auto"/>
              <w:right w:val="single" w:sz="4" w:space="0" w:color="auto"/>
            </w:tcBorders>
            <w:vAlign w:val="center"/>
          </w:tcPr>
          <w:p w14:paraId="675FDB13" w14:textId="265A0488" w:rsidR="00FB1038" w:rsidRDefault="00FB1038" w:rsidP="00FB1038">
            <w:pPr>
              <w:pStyle w:val="gmail-m-1648484718305530482msolistparagraph"/>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1.SK</w:t>
            </w:r>
          </w:p>
        </w:tc>
        <w:tc>
          <w:tcPr>
            <w:tcW w:w="1134" w:type="dxa"/>
            <w:tcBorders>
              <w:top w:val="single" w:sz="4" w:space="0" w:color="auto"/>
              <w:left w:val="single" w:sz="4" w:space="0" w:color="auto"/>
              <w:bottom w:val="single" w:sz="4" w:space="0" w:color="auto"/>
              <w:right w:val="single" w:sz="4" w:space="0" w:color="auto"/>
            </w:tcBorders>
            <w:vAlign w:val="center"/>
          </w:tcPr>
          <w:p w14:paraId="63646541" w14:textId="76A2D8E7" w:rsidR="00FB1038" w:rsidRDefault="00FB1038" w:rsidP="00FB1038">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01.0</w:t>
            </w:r>
            <w:r w:rsidR="00B94CF1">
              <w:rPr>
                <w:rFonts w:ascii="Times New Roman" w:eastAsia="Times New Roman" w:hAnsi="Times New Roman" w:cs="Times New Roman"/>
                <w:color w:val="000000"/>
                <w:sz w:val="20"/>
                <w:szCs w:val="20"/>
                <w:lang w:eastAsia="sk-SK"/>
              </w:rPr>
              <w:t>1</w:t>
            </w:r>
            <w:r>
              <w:rPr>
                <w:rFonts w:ascii="Times New Roman" w:eastAsia="Times New Roman" w:hAnsi="Times New Roman" w:cs="Times New Roman"/>
                <w:color w:val="000000"/>
                <w:sz w:val="20"/>
                <w:szCs w:val="20"/>
                <w:lang w:eastAsia="sk-SK"/>
              </w:rPr>
              <w:t>.2</w:t>
            </w:r>
            <w:r w:rsidR="00B94CF1">
              <w:rPr>
                <w:rFonts w:ascii="Times New Roman" w:eastAsia="Times New Roman" w:hAnsi="Times New Roman" w:cs="Times New Roman"/>
                <w:color w:val="000000"/>
                <w:sz w:val="20"/>
                <w:szCs w:val="20"/>
                <w:lang w:eastAsia="sk-SK"/>
              </w:rPr>
              <w:t>7</w:t>
            </w:r>
          </w:p>
        </w:tc>
        <w:tc>
          <w:tcPr>
            <w:tcW w:w="1802" w:type="dxa"/>
            <w:tcBorders>
              <w:top w:val="single" w:sz="4" w:space="0" w:color="auto"/>
              <w:left w:val="single" w:sz="4" w:space="0" w:color="auto"/>
              <w:bottom w:val="single" w:sz="4" w:space="0" w:color="auto"/>
              <w:right w:val="single" w:sz="4" w:space="0" w:color="auto"/>
            </w:tcBorders>
            <w:noWrap/>
            <w:vAlign w:val="center"/>
          </w:tcPr>
          <w:p w14:paraId="1D8D6A66" w14:textId="0CA2A6FC" w:rsidR="00FB1038" w:rsidRPr="00FB1038" w:rsidRDefault="00FB1038" w:rsidP="00FB1038">
            <w:pPr>
              <w:spacing w:after="0" w:line="240" w:lineRule="auto"/>
              <w:rPr>
                <w:rFonts w:ascii="Times New Roman" w:eastAsia="Times New Roman" w:hAnsi="Times New Roman" w:cs="Times New Roman"/>
                <w:color w:val="000000"/>
                <w:sz w:val="20"/>
                <w:szCs w:val="20"/>
                <w:lang w:eastAsia="sk-SK"/>
              </w:rPr>
            </w:pPr>
            <w:r w:rsidRPr="00FB1038">
              <w:rPr>
                <w:rFonts w:ascii="Times New Roman" w:eastAsia="Times New Roman" w:hAnsi="Times New Roman" w:cs="Times New Roman"/>
                <w:color w:val="000000"/>
                <w:sz w:val="20"/>
                <w:szCs w:val="20"/>
                <w:lang w:eastAsia="sk-SK"/>
              </w:rPr>
              <w:t>osoby žiadajúce o prešetrenie údajov katastra</w:t>
            </w:r>
          </w:p>
        </w:tc>
        <w:tc>
          <w:tcPr>
            <w:tcW w:w="1108" w:type="dxa"/>
            <w:tcBorders>
              <w:top w:val="single" w:sz="4" w:space="0" w:color="auto"/>
              <w:left w:val="single" w:sz="4" w:space="0" w:color="auto"/>
              <w:bottom w:val="single" w:sz="4" w:space="0" w:color="auto"/>
              <w:right w:val="single" w:sz="4" w:space="0" w:color="auto"/>
            </w:tcBorders>
          </w:tcPr>
          <w:p w14:paraId="5537813A" w14:textId="5B3F103B"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1 500</w:t>
            </w:r>
          </w:p>
        </w:tc>
        <w:tc>
          <w:tcPr>
            <w:tcW w:w="851" w:type="dxa"/>
            <w:tcBorders>
              <w:top w:val="single" w:sz="4" w:space="0" w:color="auto"/>
              <w:left w:val="single" w:sz="4" w:space="0" w:color="auto"/>
              <w:bottom w:val="single" w:sz="4" w:space="0" w:color="auto"/>
              <w:right w:val="single" w:sz="4" w:space="0" w:color="auto"/>
            </w:tcBorders>
            <w:noWrap/>
            <w:vAlign w:val="center"/>
          </w:tcPr>
          <w:p w14:paraId="4D65746C" w14:textId="2408C7FA" w:rsidR="00FB1038" w:rsidRPr="00951740" w:rsidRDefault="0008590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95</w:t>
            </w:r>
          </w:p>
        </w:tc>
        <w:tc>
          <w:tcPr>
            <w:tcW w:w="843" w:type="dxa"/>
            <w:tcBorders>
              <w:top w:val="single" w:sz="4" w:space="0" w:color="auto"/>
              <w:left w:val="single" w:sz="4" w:space="0" w:color="auto"/>
              <w:bottom w:val="single" w:sz="4" w:space="0" w:color="auto"/>
              <w:right w:val="single" w:sz="4" w:space="0" w:color="auto"/>
            </w:tcBorders>
            <w:noWrap/>
            <w:vAlign w:val="center"/>
          </w:tcPr>
          <w:p w14:paraId="483031B8" w14:textId="4E6DDB88" w:rsidR="00FB1038" w:rsidRPr="00951740" w:rsidRDefault="00085908" w:rsidP="00FB1038">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142 500</w:t>
            </w:r>
          </w:p>
        </w:tc>
        <w:tc>
          <w:tcPr>
            <w:tcW w:w="1000" w:type="dxa"/>
            <w:tcBorders>
              <w:top w:val="single" w:sz="4" w:space="0" w:color="auto"/>
              <w:left w:val="single" w:sz="4" w:space="0" w:color="auto"/>
              <w:bottom w:val="single" w:sz="4" w:space="0" w:color="auto"/>
              <w:right w:val="single" w:sz="4" w:space="0" w:color="auto"/>
            </w:tcBorders>
            <w:noWrap/>
            <w:vAlign w:val="center"/>
          </w:tcPr>
          <w:p w14:paraId="016D7063" w14:textId="77777777"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p w14:paraId="7BF03B8D" w14:textId="5E7D3432"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(zvyšuje náklady)</w:t>
            </w:r>
          </w:p>
        </w:tc>
        <w:tc>
          <w:tcPr>
            <w:tcW w:w="708" w:type="dxa"/>
            <w:tcBorders>
              <w:top w:val="single" w:sz="4" w:space="0" w:color="auto"/>
              <w:left w:val="single" w:sz="4" w:space="0" w:color="auto"/>
              <w:bottom w:val="single" w:sz="4" w:space="0" w:color="auto"/>
              <w:right w:val="single" w:sz="4" w:space="0" w:color="auto"/>
            </w:tcBorders>
            <w:noWrap/>
            <w:vAlign w:val="center"/>
          </w:tcPr>
          <w:p w14:paraId="4A299D03" w14:textId="74C5769C" w:rsidR="00FB1038" w:rsidRPr="00951740" w:rsidRDefault="00085908" w:rsidP="00FB1038">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142 500</w:t>
            </w:r>
          </w:p>
        </w:tc>
        <w:tc>
          <w:tcPr>
            <w:tcW w:w="1134" w:type="dxa"/>
            <w:tcBorders>
              <w:top w:val="single" w:sz="4" w:space="0" w:color="auto"/>
              <w:left w:val="single" w:sz="4" w:space="0" w:color="auto"/>
              <w:bottom w:val="single" w:sz="4" w:space="0" w:color="auto"/>
              <w:right w:val="single" w:sz="4" w:space="0" w:color="auto"/>
            </w:tcBorders>
            <w:vAlign w:val="center"/>
          </w:tcPr>
          <w:p w14:paraId="3979619E" w14:textId="04483EC8" w:rsidR="00FB1038" w:rsidRDefault="00FB1038" w:rsidP="00FB103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1E692B11" w14:textId="37F1538F" w:rsidR="00F9561E" w:rsidRPr="00F9561E" w:rsidRDefault="00F9561E" w:rsidP="00F77BA9">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Pri určovaní počtov dotknutých subjektov pri jednotlivých reguláciách nie je možné identifikovať počet dotknutých subjektov. </w:t>
      </w:r>
      <w:r w:rsidR="009E3DD6" w:rsidRPr="009E3DD6">
        <w:rPr>
          <w:rFonts w:ascii="Times New Roman" w:eastAsia="Calibri" w:hAnsi="Times New Roman" w:cs="Times New Roman"/>
          <w:bCs/>
          <w:color w:val="000000"/>
          <w:sz w:val="24"/>
          <w:szCs w:val="24"/>
        </w:rPr>
        <w:t>Úrad geodézie, kartografie a katastra Slovenskej republiky</w:t>
      </w:r>
      <w:r w:rsidR="009E3DD6">
        <w:rPr>
          <w:rFonts w:ascii="Times New Roman" w:eastAsia="Calibri" w:hAnsi="Times New Roman" w:cs="Times New Roman"/>
          <w:bCs/>
          <w:color w:val="000000"/>
          <w:sz w:val="24"/>
          <w:szCs w:val="24"/>
        </w:rPr>
        <w:t xml:space="preserve"> (ďalej len „</w:t>
      </w:r>
      <w:r w:rsidRPr="00F9561E">
        <w:rPr>
          <w:rFonts w:ascii="Times New Roman" w:eastAsia="Calibri" w:hAnsi="Times New Roman" w:cs="Times New Roman"/>
          <w:bCs/>
          <w:color w:val="000000"/>
          <w:sz w:val="24"/>
          <w:szCs w:val="24"/>
        </w:rPr>
        <w:t>ÚGKK SR</w:t>
      </w:r>
      <w:r w:rsidR="009E3DD6">
        <w:rPr>
          <w:rFonts w:ascii="Times New Roman" w:eastAsia="Calibri" w:hAnsi="Times New Roman" w:cs="Times New Roman"/>
          <w:bCs/>
          <w:color w:val="000000"/>
          <w:sz w:val="24"/>
          <w:szCs w:val="24"/>
        </w:rPr>
        <w:t>“)</w:t>
      </w:r>
      <w:r w:rsidRPr="00F9561E">
        <w:rPr>
          <w:rFonts w:ascii="Times New Roman" w:eastAsia="Calibri" w:hAnsi="Times New Roman" w:cs="Times New Roman"/>
          <w:bCs/>
          <w:color w:val="000000"/>
          <w:sz w:val="24"/>
          <w:szCs w:val="24"/>
        </w:rPr>
        <w:t xml:space="preserve"> síce vedie štatistické údaje o počte návrhov na začatie katastrálneho konania doručených elektronicky, avšak tieto údaje nie sú rozčlenené podľa subjektu, ktorý podáva návrh na začatie konania. Z dostupných štatistických údajov nie je možné zistiť, či návrh podala fyzická osoba alebo právnická osoba – podnikateľ. Zároveň sa nedá stanoviť, či návrh na začatie katastrálneho konania bol podaný v rámci podnikateľskej činnosti, či slúžil na podnikateľské účely alebo podnikateľ podal návrh za iným ako podnikateľským účelom. Uvedené platí aj pre podávanie návrhov na začatie katastrálneho konania v listinnej podobe.      </w:t>
      </w:r>
    </w:p>
    <w:p w14:paraId="43A5F761" w14:textId="77777777" w:rsidR="00F9561E" w:rsidRPr="00F9561E" w:rsidRDefault="00F9561E" w:rsidP="00F77BA9">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Dôsledkom týchto skutočností je aj pre podnikateľské prostredie pozitívny stav, keď na rozdiel od iných oblastí spoplatnenia regulácie, pri katastrálnych konaniach sa nerozlišujú sadzby poplatkov pre bežné fyzické osoby a pre podnikateľov.</w:t>
      </w:r>
    </w:p>
    <w:p w14:paraId="34A14B81" w14:textId="46DEA9DF" w:rsidR="002D3C8C" w:rsidRDefault="00F9561E" w:rsidP="00F77BA9">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Vo všeobecnosti taktiež považujeme za potrebné dodať, že pokiaľ sa týka navrhovaného zvýšenia výšky </w:t>
      </w:r>
      <w:r w:rsidR="00BD22E7">
        <w:rPr>
          <w:rFonts w:ascii="Times New Roman" w:eastAsia="Calibri" w:hAnsi="Times New Roman" w:cs="Times New Roman"/>
          <w:bCs/>
          <w:color w:val="000000"/>
          <w:sz w:val="24"/>
          <w:szCs w:val="24"/>
        </w:rPr>
        <w:t xml:space="preserve">správnych </w:t>
      </w:r>
      <w:r w:rsidRPr="00F9561E">
        <w:rPr>
          <w:rFonts w:ascii="Times New Roman" w:eastAsia="Calibri" w:hAnsi="Times New Roman" w:cs="Times New Roman"/>
          <w:bCs/>
          <w:color w:val="000000"/>
          <w:sz w:val="24"/>
          <w:szCs w:val="24"/>
        </w:rPr>
        <w:t>poplatkov za jednotlivé katastrálne konania, tak vplyv na podnikateľské prostredie bude minimálny z dôvodu, že navrhovaná výška poplatku sa neodvíja od hodnoty/ceny dotknutej nehnuteľnosti, ale je naďalej stanovená pevnou sumou. Táto suma je v absolútnom čísle v porovnaní so súčasnou hodnotou nehnuteľností zanedbateľná. Typickým príkladom môžu byť developerské projekty aj menšieho rozsahu, kde suma nákladov spojených s katastrálnym konaním predstavuje zlomok promile ich rozpočtu. Rovnako je potrebné konštatovať, že aj pri nákupe produkčnej poľnohospodárskej pôdy v extravilánoch obcí samostatne hospodáriacimi roľníkmi, hoci jej cena zďaleka nedosahuje výšku cien pozemkov určených na zastavanie, predstavuje výška poplatkov za katastrálne konanie hodnotu niekoľkých metrov štvorcových kupovaného pozemku.</w:t>
      </w:r>
    </w:p>
    <w:p w14:paraId="215CC204" w14:textId="77777777" w:rsidR="00F77BA9" w:rsidRDefault="00F77BA9" w:rsidP="00F77BA9">
      <w:pPr>
        <w:spacing w:after="0" w:line="240" w:lineRule="auto"/>
        <w:jc w:val="both"/>
        <w:rPr>
          <w:rFonts w:ascii="Times New Roman" w:eastAsia="Calibri" w:hAnsi="Times New Roman" w:cs="Times New Roman"/>
          <w:bCs/>
          <w:color w:val="000000"/>
          <w:sz w:val="24"/>
          <w:szCs w:val="24"/>
        </w:rPr>
      </w:pPr>
    </w:p>
    <w:p w14:paraId="133ECEC0" w14:textId="5DC40858" w:rsidR="00F9561E" w:rsidRDefault="00F9561E" w:rsidP="00F77BA9">
      <w:pPr>
        <w:numPr>
          <w:ilvl w:val="0"/>
          <w:numId w:val="15"/>
        </w:numPr>
        <w:spacing w:after="0" w:line="240" w:lineRule="auto"/>
        <w:ind w:left="426" w:hanging="426"/>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Zápis nových druhov stavieb do katastra nehnuteľností</w:t>
      </w:r>
      <w:r w:rsidR="00F2123B">
        <w:rPr>
          <w:rFonts w:ascii="Times New Roman" w:eastAsia="Calibri" w:hAnsi="Times New Roman" w:cs="Times New Roman"/>
          <w:b/>
          <w:bCs/>
          <w:color w:val="000000"/>
          <w:sz w:val="24"/>
          <w:szCs w:val="24"/>
        </w:rPr>
        <w:t>, o ktorých tak ustanoví osobitný predpis</w:t>
      </w:r>
    </w:p>
    <w:p w14:paraId="0373F115" w14:textId="77777777" w:rsidR="00F2123B" w:rsidRDefault="00F9561E" w:rsidP="00F77BA9">
      <w:pPr>
        <w:spacing w:after="0" w:line="240" w:lineRule="auto"/>
        <w:jc w:val="both"/>
        <w:rPr>
          <w:rFonts w:ascii="Times New Roman" w:eastAsia="Calibri" w:hAnsi="Times New Roman" w:cs="Times New Roman"/>
          <w:color w:val="000000"/>
          <w:sz w:val="24"/>
          <w:szCs w:val="24"/>
        </w:rPr>
      </w:pPr>
      <w:r w:rsidRPr="00F9561E">
        <w:rPr>
          <w:rFonts w:ascii="Times New Roman" w:eastAsia="Calibri" w:hAnsi="Times New Roman" w:cs="Times New Roman"/>
          <w:color w:val="000000"/>
          <w:sz w:val="24"/>
          <w:szCs w:val="24"/>
        </w:rPr>
        <w:t xml:space="preserve">Regulácia vychádza predovšetkým z potreby </w:t>
      </w:r>
      <w:r w:rsidR="00F2123B">
        <w:rPr>
          <w:rFonts w:ascii="Times New Roman" w:eastAsia="Calibri" w:hAnsi="Times New Roman" w:cs="Times New Roman"/>
          <w:color w:val="000000"/>
          <w:sz w:val="24"/>
          <w:szCs w:val="24"/>
        </w:rPr>
        <w:t>verejného sektoru evidovať v katastri ďalšie druhy stavieb, nielen tie, ktoré spĺňajú definičné znaky § 46 katastrálneho zákona.</w:t>
      </w:r>
    </w:p>
    <w:p w14:paraId="25041A89" w14:textId="6409C236" w:rsidR="009E3DD6" w:rsidRDefault="00F9561E" w:rsidP="00F77BA9">
      <w:pPr>
        <w:spacing w:after="0" w:line="240"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 tým je spojená aj možnosť evidencie ďalších práv k týmto nehnuteľnostiam, najmä záložných práv, ako aj vecných bremien. Regulácia má ambíciu umožniť lepšie financovanie výstavby, prevádzky a prevodu ich vlastníctva najmä vo vzťahu k poskytovaniu bankových úverov a rôznych foriem dotácií.</w:t>
      </w:r>
      <w:r w:rsidR="002D3C8C">
        <w:rPr>
          <w:rFonts w:ascii="Times New Roman" w:eastAsia="Calibri" w:hAnsi="Times New Roman" w:cs="Times New Roman"/>
          <w:color w:val="000000"/>
          <w:sz w:val="24"/>
          <w:szCs w:val="24"/>
        </w:rPr>
        <w:t xml:space="preserve"> </w:t>
      </w:r>
      <w:r w:rsidR="00FE5DF2" w:rsidRPr="00FE5DF2">
        <w:rPr>
          <w:rFonts w:ascii="Times New Roman" w:eastAsia="Calibri" w:hAnsi="Times New Roman" w:cs="Times New Roman"/>
          <w:color w:val="000000"/>
          <w:sz w:val="24"/>
          <w:szCs w:val="24"/>
        </w:rPr>
        <w:t>Navrhovaná právna úprava vytvára rámec umožňujúci zohľadniť špecifické potreby evidencie určitých druhov stavieb nad rámec všeobecnej úpravy podľa katastrálneho zákona. Tieto osobitné predpisy budú predstavovať lex specialis k všeobecnej právnej úprave obsiahnutej v katastrálnom zákone, pričom zabezpečia, aby sa do katastra mohli zapisovať aj tie stavby, ktorých osobitný charakter alebo význam vyžaduje samostatnú právnu reguláciu evidencie.</w:t>
      </w:r>
    </w:p>
    <w:p w14:paraId="7D992BBA" w14:textId="7EE2F04C" w:rsidR="00F2123B" w:rsidRDefault="00FE5DF2" w:rsidP="00F77BA9">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Prípadný vplyv u</w:t>
      </w:r>
      <w:r w:rsidR="00F2123B">
        <w:rPr>
          <w:rFonts w:ascii="Times New Roman" w:eastAsia="Calibri" w:hAnsi="Times New Roman" w:cs="Times New Roman"/>
          <w:color w:val="000000"/>
          <w:sz w:val="24"/>
          <w:szCs w:val="24"/>
        </w:rPr>
        <w:t>veden</w:t>
      </w:r>
      <w:r>
        <w:rPr>
          <w:rFonts w:ascii="Times New Roman" w:eastAsia="Calibri" w:hAnsi="Times New Roman" w:cs="Times New Roman"/>
          <w:color w:val="000000"/>
          <w:sz w:val="24"/>
          <w:szCs w:val="24"/>
        </w:rPr>
        <w:t>ej právnej</w:t>
      </w:r>
      <w:r w:rsidR="00F2123B">
        <w:rPr>
          <w:rFonts w:ascii="Times New Roman" w:eastAsia="Calibri" w:hAnsi="Times New Roman" w:cs="Times New Roman"/>
          <w:color w:val="000000"/>
          <w:sz w:val="24"/>
          <w:szCs w:val="24"/>
        </w:rPr>
        <w:t xml:space="preserve"> úprav</w:t>
      </w:r>
      <w:r>
        <w:rPr>
          <w:rFonts w:ascii="Times New Roman" w:eastAsia="Calibri" w:hAnsi="Times New Roman" w:cs="Times New Roman"/>
          <w:color w:val="000000"/>
          <w:sz w:val="24"/>
          <w:szCs w:val="24"/>
        </w:rPr>
        <w:t>y</w:t>
      </w:r>
      <w:r w:rsidR="00F2123B">
        <w:rPr>
          <w:rFonts w:ascii="Times New Roman" w:eastAsia="Calibri" w:hAnsi="Times New Roman" w:cs="Times New Roman"/>
          <w:color w:val="000000"/>
          <w:sz w:val="24"/>
          <w:szCs w:val="24"/>
        </w:rPr>
        <w:t xml:space="preserve"> na podnikateľské prostredie</w:t>
      </w:r>
      <w:r>
        <w:rPr>
          <w:rFonts w:ascii="Times New Roman" w:eastAsia="Calibri" w:hAnsi="Times New Roman" w:cs="Times New Roman"/>
          <w:color w:val="000000"/>
          <w:sz w:val="24"/>
          <w:szCs w:val="24"/>
        </w:rPr>
        <w:t xml:space="preserve"> </w:t>
      </w:r>
      <w:r w:rsidR="00F2123B">
        <w:rPr>
          <w:rFonts w:ascii="Times New Roman" w:eastAsia="Calibri" w:hAnsi="Times New Roman" w:cs="Times New Roman"/>
          <w:color w:val="000000"/>
          <w:sz w:val="24"/>
          <w:szCs w:val="24"/>
        </w:rPr>
        <w:t xml:space="preserve">bude </w:t>
      </w:r>
      <w:r w:rsidR="00BD22E7">
        <w:rPr>
          <w:rFonts w:ascii="Times New Roman" w:eastAsia="Calibri" w:hAnsi="Times New Roman" w:cs="Times New Roman"/>
          <w:color w:val="000000"/>
          <w:sz w:val="24"/>
          <w:szCs w:val="24"/>
        </w:rPr>
        <w:t>možné</w:t>
      </w:r>
      <w:r w:rsidR="00F2123B">
        <w:rPr>
          <w:rFonts w:ascii="Times New Roman" w:eastAsia="Calibri" w:hAnsi="Times New Roman" w:cs="Times New Roman"/>
          <w:color w:val="000000"/>
          <w:sz w:val="24"/>
          <w:szCs w:val="24"/>
        </w:rPr>
        <w:t xml:space="preserve"> vyčísliť</w:t>
      </w:r>
      <w:r w:rsidR="00BD22E7">
        <w:rPr>
          <w:rFonts w:ascii="Times New Roman" w:eastAsia="Calibri" w:hAnsi="Times New Roman" w:cs="Times New Roman"/>
          <w:color w:val="000000"/>
          <w:sz w:val="24"/>
          <w:szCs w:val="24"/>
        </w:rPr>
        <w:t xml:space="preserve"> až v štádiu, keď</w:t>
      </w:r>
      <w:r w:rsidR="00F2123B">
        <w:rPr>
          <w:rFonts w:ascii="Times New Roman" w:eastAsia="Calibri" w:hAnsi="Times New Roman" w:cs="Times New Roman"/>
          <w:color w:val="000000"/>
          <w:sz w:val="24"/>
          <w:szCs w:val="24"/>
        </w:rPr>
        <w:t xml:space="preserve"> sa bude zavádzať právn</w:t>
      </w:r>
      <w:r>
        <w:rPr>
          <w:rFonts w:ascii="Times New Roman" w:eastAsia="Calibri" w:hAnsi="Times New Roman" w:cs="Times New Roman"/>
          <w:color w:val="000000"/>
          <w:sz w:val="24"/>
          <w:szCs w:val="24"/>
        </w:rPr>
        <w:t>a</w:t>
      </w:r>
      <w:r w:rsidR="00F2123B">
        <w:rPr>
          <w:rFonts w:ascii="Times New Roman" w:eastAsia="Calibri" w:hAnsi="Times New Roman" w:cs="Times New Roman"/>
          <w:color w:val="000000"/>
          <w:sz w:val="24"/>
          <w:szCs w:val="24"/>
        </w:rPr>
        <w:t xml:space="preserve"> úprav</w:t>
      </w:r>
      <w:r>
        <w:rPr>
          <w:rFonts w:ascii="Times New Roman" w:eastAsia="Calibri" w:hAnsi="Times New Roman" w:cs="Times New Roman"/>
          <w:color w:val="000000"/>
          <w:sz w:val="24"/>
          <w:szCs w:val="24"/>
        </w:rPr>
        <w:t>a</w:t>
      </w:r>
      <w:r w:rsidR="00F2123B">
        <w:rPr>
          <w:rFonts w:ascii="Times New Roman" w:eastAsia="Calibri" w:hAnsi="Times New Roman" w:cs="Times New Roman"/>
          <w:color w:val="000000"/>
          <w:sz w:val="24"/>
          <w:szCs w:val="24"/>
        </w:rPr>
        <w:t xml:space="preserve"> v osobitnom predpise.</w:t>
      </w:r>
    </w:p>
    <w:p w14:paraId="52F9A4F1" w14:textId="77777777" w:rsidR="00FE5DF2" w:rsidRDefault="00FE5DF2" w:rsidP="00F77BA9">
      <w:pPr>
        <w:spacing w:after="0" w:line="240" w:lineRule="auto"/>
        <w:jc w:val="both"/>
        <w:rPr>
          <w:rFonts w:ascii="Times New Roman" w:eastAsia="Calibri" w:hAnsi="Times New Roman" w:cs="Times New Roman"/>
          <w:color w:val="000000"/>
          <w:sz w:val="24"/>
          <w:szCs w:val="24"/>
        </w:rPr>
      </w:pPr>
    </w:p>
    <w:p w14:paraId="4B0CA1EB" w14:textId="70AD8C93" w:rsidR="00F9561E" w:rsidRPr="00F9561E" w:rsidRDefault="00F9561E" w:rsidP="00F77BA9">
      <w:pPr>
        <w:pStyle w:val="Odsekzoznamu"/>
        <w:numPr>
          <w:ilvl w:val="0"/>
          <w:numId w:val="15"/>
        </w:numPr>
        <w:spacing w:after="0" w:line="240" w:lineRule="auto"/>
        <w:ind w:left="426" w:hanging="426"/>
        <w:jc w:val="both"/>
        <w:rPr>
          <w:rFonts w:ascii="Times New Roman" w:eastAsia="Calibri" w:hAnsi="Times New Roman" w:cs="Times New Roman"/>
          <w:b/>
          <w:bCs/>
          <w:color w:val="000000"/>
          <w:sz w:val="24"/>
          <w:szCs w:val="24"/>
        </w:rPr>
      </w:pPr>
      <w:r w:rsidRPr="00F9561E">
        <w:rPr>
          <w:rFonts w:ascii="Times New Roman" w:eastAsia="Calibri" w:hAnsi="Times New Roman" w:cs="Times New Roman"/>
          <w:b/>
          <w:bCs/>
          <w:color w:val="000000"/>
          <w:sz w:val="24"/>
          <w:szCs w:val="24"/>
        </w:rPr>
        <w:t>Podávanie návrhov na začatie katastrálneho konanie</w:t>
      </w:r>
      <w:r w:rsidR="00F546BD">
        <w:rPr>
          <w:rFonts w:ascii="Times New Roman" w:eastAsia="Calibri" w:hAnsi="Times New Roman" w:cs="Times New Roman"/>
          <w:b/>
          <w:bCs/>
          <w:color w:val="000000"/>
          <w:sz w:val="24"/>
          <w:szCs w:val="24"/>
        </w:rPr>
        <w:t xml:space="preserve"> v elektronickej podobe</w:t>
      </w:r>
    </w:p>
    <w:p w14:paraId="7CD2BF8B" w14:textId="389718E1" w:rsidR="00F9561E" w:rsidRPr="00F9561E" w:rsidRDefault="00F9561E" w:rsidP="00F77BA9">
      <w:pPr>
        <w:spacing w:after="0" w:line="240" w:lineRule="auto"/>
        <w:jc w:val="both"/>
        <w:rPr>
          <w:rFonts w:ascii="Times New Roman" w:eastAsia="Calibri" w:hAnsi="Times New Roman" w:cs="Times New Roman"/>
          <w:color w:val="000000"/>
          <w:sz w:val="24"/>
          <w:szCs w:val="24"/>
        </w:rPr>
      </w:pPr>
      <w:r w:rsidRPr="00F9561E">
        <w:rPr>
          <w:rFonts w:ascii="Times New Roman" w:eastAsia="Calibri" w:hAnsi="Times New Roman" w:cs="Times New Roman"/>
          <w:color w:val="000000"/>
          <w:sz w:val="24"/>
          <w:szCs w:val="24"/>
        </w:rPr>
        <w:t>Táto regulácia neznamená len negatívny vplyv na podnikateľské prostredie, ale prináša aj určité výhody, resp. pozitíva.</w:t>
      </w:r>
    </w:p>
    <w:p w14:paraId="3C0B3F7E" w14:textId="77777777" w:rsidR="00F9561E" w:rsidRPr="00F9561E" w:rsidRDefault="00F9561E" w:rsidP="00F77BA9">
      <w:pPr>
        <w:spacing w:after="0" w:line="240" w:lineRule="auto"/>
        <w:jc w:val="both"/>
        <w:rPr>
          <w:rFonts w:ascii="Times New Roman" w:eastAsia="Calibri" w:hAnsi="Times New Roman" w:cs="Times New Roman"/>
          <w:color w:val="000000"/>
          <w:sz w:val="24"/>
          <w:szCs w:val="24"/>
        </w:rPr>
      </w:pPr>
      <w:r w:rsidRPr="00F9561E">
        <w:rPr>
          <w:rFonts w:ascii="Times New Roman" w:eastAsia="Calibri" w:hAnsi="Times New Roman" w:cs="Times New Roman"/>
          <w:color w:val="000000"/>
          <w:sz w:val="24"/>
          <w:szCs w:val="24"/>
        </w:rPr>
        <w:t xml:space="preserve">Ako pozitívny vplyv možno uviesť, že podanie podané prostredníctvom formulára elektronickej služby katastra nehnuteľností umožňuje sťahovať údaje katastra priamo do </w:t>
      </w:r>
      <w:r w:rsidRPr="00F9561E">
        <w:rPr>
          <w:rFonts w:ascii="Times New Roman" w:eastAsia="Calibri" w:hAnsi="Times New Roman" w:cs="Times New Roman"/>
          <w:color w:val="000000"/>
          <w:sz w:val="24"/>
          <w:szCs w:val="24"/>
        </w:rPr>
        <w:lastRenderedPageBreak/>
        <w:t xml:space="preserve">formulára, čím sa odstráni chybovosť podaní (napr. chyby v písaní) a skráti sa lehota na vyplnenie podania. </w:t>
      </w:r>
    </w:p>
    <w:p w14:paraId="168F9254" w14:textId="77777777" w:rsidR="00F9561E" w:rsidRDefault="00F9561E" w:rsidP="00F77BA9">
      <w:pPr>
        <w:spacing w:after="0" w:line="240" w:lineRule="auto"/>
        <w:jc w:val="both"/>
        <w:rPr>
          <w:rFonts w:ascii="Times New Roman" w:eastAsia="Calibri" w:hAnsi="Times New Roman" w:cs="Times New Roman"/>
          <w:color w:val="000000"/>
          <w:sz w:val="24"/>
          <w:szCs w:val="24"/>
        </w:rPr>
      </w:pPr>
      <w:r w:rsidRPr="00F9561E">
        <w:rPr>
          <w:rFonts w:ascii="Times New Roman" w:eastAsia="Calibri" w:hAnsi="Times New Roman" w:cs="Times New Roman"/>
          <w:color w:val="000000"/>
          <w:sz w:val="24"/>
          <w:szCs w:val="24"/>
        </w:rPr>
        <w:t>Zároveň sa uľahčí kontrola podaní pracovníkmi okresných úradov, katastrálnych odborov (ďalej len „OÚ KO“), nakoľko automatizované sťahovanie údajov katastra zabezpečí ich súlad s údajmi katastra. Taktiež nebude potrebné doručené podanie ručne nahrávať do dvoch interných systémov OÚ KO (tak ako to v súčasnosti prebieha), ale elektronická služba zabezpečí automatizované nahranie podania do interného systému OÚ KO.</w:t>
      </w:r>
    </w:p>
    <w:p w14:paraId="75699B69" w14:textId="77777777" w:rsidR="00F9561E" w:rsidRPr="00F9561E" w:rsidRDefault="00F9561E" w:rsidP="00F77BA9">
      <w:pPr>
        <w:spacing w:after="0" w:line="240" w:lineRule="auto"/>
        <w:jc w:val="both"/>
        <w:rPr>
          <w:rFonts w:ascii="Times New Roman" w:eastAsia="Calibri" w:hAnsi="Times New Roman" w:cs="Times New Roman"/>
          <w:color w:val="000000"/>
          <w:sz w:val="24"/>
          <w:szCs w:val="24"/>
        </w:rPr>
      </w:pPr>
    </w:p>
    <w:p w14:paraId="6F7BFF5B" w14:textId="77777777" w:rsidR="00F9561E" w:rsidRPr="00F9561E" w:rsidRDefault="00F9561E" w:rsidP="00F77BA9">
      <w:pPr>
        <w:spacing w:after="0" w:line="240" w:lineRule="auto"/>
        <w:jc w:val="both"/>
        <w:rPr>
          <w:rFonts w:ascii="Times New Roman" w:eastAsia="Calibri" w:hAnsi="Times New Roman" w:cs="Times New Roman"/>
          <w:color w:val="000000"/>
          <w:sz w:val="24"/>
          <w:szCs w:val="24"/>
        </w:rPr>
      </w:pPr>
      <w:r w:rsidRPr="00F9561E">
        <w:rPr>
          <w:rFonts w:ascii="Times New Roman" w:eastAsia="Calibri" w:hAnsi="Times New Roman" w:cs="Times New Roman"/>
          <w:color w:val="000000"/>
          <w:sz w:val="24"/>
          <w:szCs w:val="24"/>
        </w:rPr>
        <w:t xml:space="preserve">Pre návrh zmeny zákona popisovaný v tomto bode nevyplýva iný ako zanedbateľný dopad na podnikateľské prostredie, nakoľko v rozhodujúcom počte prípadov tu podnikatelia vystupujú buď ako priami sprostredkovatelia realizácie prevodu nehnuteľností (napr. realitné spoločnosti, advokáti a pod.), alebo ako sprostredkovatelia prevodu nehnuteľnosti nepriami, keď návrh na začatie katastrálneho konania súvisí so službou poskytovanou vlastníkovi nehnuteľnosti (ide napr. o vklad zabezpečovacích vecných práv k nehnuteľnosti bankami pri hypotekárnych úveroch, o geodetov vyhotovujúcich geometrické plány a pod.). V oboch prípadoch sa štandardne výška poplatku za návrh na začatie katastrálneho konania zohľadňuje priamo v odplate od osoby, ktorá má priamy záujem o zápis práva do katastra a bez iniciatívy ktorej by ku katastrálnemu konaniu nedošlo, hoci ho sama formálne začať nenavrhla.   </w:t>
      </w:r>
    </w:p>
    <w:p w14:paraId="03003BC6" w14:textId="77777777" w:rsidR="00F9561E" w:rsidRPr="00F9561E" w:rsidRDefault="00F9561E" w:rsidP="00F77BA9">
      <w:pPr>
        <w:spacing w:after="0" w:line="240" w:lineRule="auto"/>
        <w:jc w:val="both"/>
        <w:rPr>
          <w:rFonts w:ascii="Times New Roman" w:eastAsia="Calibri" w:hAnsi="Times New Roman" w:cs="Times New Roman"/>
          <w:color w:val="000000"/>
          <w:sz w:val="24"/>
          <w:szCs w:val="24"/>
        </w:rPr>
      </w:pPr>
    </w:p>
    <w:p w14:paraId="363134E4" w14:textId="0807735C" w:rsidR="00F9561E" w:rsidRDefault="00F9561E" w:rsidP="00F77BA9">
      <w:pPr>
        <w:spacing w:after="0" w:line="240" w:lineRule="auto"/>
        <w:jc w:val="both"/>
        <w:rPr>
          <w:rFonts w:ascii="Times New Roman" w:eastAsia="Calibri" w:hAnsi="Times New Roman" w:cs="Times New Roman"/>
          <w:color w:val="000000"/>
          <w:sz w:val="24"/>
          <w:szCs w:val="24"/>
        </w:rPr>
      </w:pPr>
      <w:r w:rsidRPr="00F9561E">
        <w:rPr>
          <w:rFonts w:ascii="Times New Roman" w:eastAsia="Calibri" w:hAnsi="Times New Roman" w:cs="Times New Roman"/>
          <w:color w:val="000000"/>
          <w:sz w:val="24"/>
          <w:szCs w:val="24"/>
        </w:rPr>
        <w:t xml:space="preserve">Na základe chýbajúcich databáz k dotknutým subjektom sme odhadli počet dotknutých subjektov na modelovom príklade s počtom </w:t>
      </w:r>
      <w:r w:rsidR="00D604B9">
        <w:rPr>
          <w:rFonts w:ascii="Times New Roman" w:eastAsia="Calibri" w:hAnsi="Times New Roman" w:cs="Times New Roman"/>
          <w:color w:val="000000"/>
          <w:sz w:val="24"/>
          <w:szCs w:val="24"/>
        </w:rPr>
        <w:t>45 000</w:t>
      </w:r>
      <w:r w:rsidRPr="00F9561E">
        <w:rPr>
          <w:rFonts w:ascii="Times New Roman" w:eastAsia="Calibri" w:hAnsi="Times New Roman" w:cs="Times New Roman"/>
          <w:color w:val="000000"/>
          <w:sz w:val="24"/>
          <w:szCs w:val="24"/>
        </w:rPr>
        <w:t xml:space="preserve">. </w:t>
      </w:r>
      <w:bookmarkStart w:id="1" w:name="_Hlk100227241"/>
      <w:r w:rsidRPr="00F9561E">
        <w:rPr>
          <w:rFonts w:ascii="Times New Roman" w:eastAsia="Calibri" w:hAnsi="Times New Roman" w:cs="Times New Roman"/>
          <w:color w:val="000000"/>
          <w:sz w:val="24"/>
          <w:szCs w:val="24"/>
        </w:rPr>
        <w:t>K dotknutým subjektom môžu patriť predovšetkým realitné kancelárie, advokáti, banky, ktorí na pravidelnej báze zabezpečujú pre klientov styk s katastrom.</w:t>
      </w:r>
      <w:bookmarkEnd w:id="1"/>
    </w:p>
    <w:p w14:paraId="7DF7B076" w14:textId="77777777" w:rsidR="00426804" w:rsidRPr="00426804" w:rsidRDefault="00426804" w:rsidP="00F77BA9">
      <w:pPr>
        <w:spacing w:after="0" w:line="240" w:lineRule="auto"/>
        <w:jc w:val="both"/>
        <w:rPr>
          <w:rFonts w:ascii="Times New Roman" w:eastAsia="Calibri" w:hAnsi="Times New Roman" w:cs="Times New Roman"/>
          <w:color w:val="000000"/>
          <w:sz w:val="24"/>
          <w:szCs w:val="24"/>
        </w:rPr>
      </w:pPr>
    </w:p>
    <w:p w14:paraId="764C7B2E" w14:textId="582A5A5E" w:rsidR="00F9561E" w:rsidRPr="006E524F" w:rsidRDefault="00F9561E" w:rsidP="00F77BA9">
      <w:pPr>
        <w:pStyle w:val="Odsekzoznamu"/>
        <w:numPr>
          <w:ilvl w:val="0"/>
          <w:numId w:val="15"/>
        </w:numPr>
        <w:spacing w:after="0" w:line="240" w:lineRule="auto"/>
        <w:ind w:left="426" w:hanging="426"/>
        <w:jc w:val="both"/>
        <w:rPr>
          <w:rFonts w:ascii="Times New Roman" w:eastAsia="Calibri" w:hAnsi="Times New Roman" w:cs="Times New Roman"/>
          <w:b/>
          <w:bCs/>
          <w:color w:val="000000"/>
          <w:sz w:val="24"/>
          <w:szCs w:val="24"/>
        </w:rPr>
      </w:pPr>
      <w:r w:rsidRPr="006E524F">
        <w:rPr>
          <w:rFonts w:ascii="Times New Roman" w:eastAsia="Calibri" w:hAnsi="Times New Roman" w:cs="Times New Roman"/>
          <w:b/>
          <w:bCs/>
          <w:color w:val="000000"/>
          <w:sz w:val="24"/>
          <w:szCs w:val="24"/>
        </w:rPr>
        <w:t>Podávanie návrhov na začatie katastrálneho konania v listinnej podobe</w:t>
      </w:r>
    </w:p>
    <w:p w14:paraId="6F1E99E8" w14:textId="77777777" w:rsidR="00F9561E" w:rsidRPr="00F9561E" w:rsidRDefault="00F9561E" w:rsidP="00F77BA9">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Pozitívnym vplyvov tejto regulácie je zníženie administratívnej záťaže, nakoľko v prípade papierového návrhu na začatie katastrálneho konania nebude potrebné vypĺňať údaje týkajúce sa nehnuteľností, ktoré sú návrhom dotknuté. Tým sa zároveň odstráni prípadná chybovosť týchto údajov, keďže rovnaké údaje musí obsahovať návrh a aj samotná zmluva. Skráti sa tiež čas na vyhotovenie návrhu na začatie konania, odstránením chybovosti sa skráti aj katastrálne konanie, nakoľko pracovník OÚ KO nebude povinný kontrolovať údaje o nehnuteľnostiach v návrhu a aj v zmluve, keďže nesúlad údajov o nehnuteľnostiach je dôvodom na prerušenie konania.</w:t>
      </w:r>
    </w:p>
    <w:p w14:paraId="3D554927" w14:textId="703A1ED8" w:rsidR="00F9561E" w:rsidRDefault="00F9561E" w:rsidP="00F77BA9">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Keďže </w:t>
      </w:r>
      <w:bookmarkStart w:id="2" w:name="_Hlk100227350"/>
      <w:r w:rsidR="00F546BD">
        <w:rPr>
          <w:rFonts w:ascii="Times New Roman" w:eastAsia="Calibri" w:hAnsi="Times New Roman" w:cs="Times New Roman"/>
          <w:bCs/>
          <w:color w:val="000000"/>
          <w:sz w:val="24"/>
          <w:szCs w:val="24"/>
        </w:rPr>
        <w:t xml:space="preserve">ÚGKK SR </w:t>
      </w:r>
      <w:r w:rsidRPr="00F9561E">
        <w:rPr>
          <w:rFonts w:ascii="Times New Roman" w:eastAsia="Calibri" w:hAnsi="Times New Roman" w:cs="Times New Roman"/>
          <w:bCs/>
          <w:color w:val="000000"/>
          <w:sz w:val="24"/>
          <w:szCs w:val="24"/>
        </w:rPr>
        <w:t xml:space="preserve">nedisponuje exaktnou štatistikou </w:t>
      </w:r>
      <w:bookmarkStart w:id="3" w:name="_Hlk100227589"/>
      <w:r w:rsidRPr="00F9561E">
        <w:rPr>
          <w:rFonts w:ascii="Times New Roman" w:eastAsia="Calibri" w:hAnsi="Times New Roman" w:cs="Times New Roman"/>
          <w:bCs/>
          <w:color w:val="000000"/>
          <w:sz w:val="24"/>
          <w:szCs w:val="24"/>
        </w:rPr>
        <w:t xml:space="preserve">o podnikateľoch vykonávajúcich tento spôsob návrhu na začatie katastrálneho konania, odhadli sme počet dotknutých subjektov na modelovom príklade s počtom </w:t>
      </w:r>
      <w:r w:rsidR="00582AA8">
        <w:rPr>
          <w:rFonts w:ascii="Times New Roman" w:eastAsia="Calibri" w:hAnsi="Times New Roman" w:cs="Times New Roman"/>
          <w:bCs/>
          <w:color w:val="000000"/>
          <w:sz w:val="24"/>
          <w:szCs w:val="24"/>
        </w:rPr>
        <w:t>107 350</w:t>
      </w:r>
      <w:r w:rsidRPr="00F9561E">
        <w:rPr>
          <w:rFonts w:ascii="Times New Roman" w:eastAsia="Calibri" w:hAnsi="Times New Roman" w:cs="Times New Roman"/>
          <w:bCs/>
          <w:color w:val="000000"/>
          <w:sz w:val="24"/>
          <w:szCs w:val="24"/>
        </w:rPr>
        <w:t>.</w:t>
      </w:r>
      <w:bookmarkEnd w:id="2"/>
      <w:r w:rsidR="00F546BD">
        <w:rPr>
          <w:rFonts w:ascii="Times New Roman" w:eastAsia="Calibri" w:hAnsi="Times New Roman" w:cs="Times New Roman"/>
          <w:bCs/>
          <w:color w:val="000000"/>
          <w:sz w:val="24"/>
          <w:szCs w:val="24"/>
        </w:rPr>
        <w:t xml:space="preserve"> Pri určovaní subjektov vychádzal ÚGKK SR z celkového počtu doručených návrhov na vklad za rok 2024, čo predstavuje 297 958 návrhov na vklad.</w:t>
      </w:r>
      <w:r w:rsidRPr="00F9561E">
        <w:rPr>
          <w:rFonts w:ascii="Times New Roman" w:eastAsia="Calibri" w:hAnsi="Times New Roman" w:cs="Times New Roman"/>
          <w:bCs/>
          <w:color w:val="000000"/>
          <w:sz w:val="24"/>
          <w:szCs w:val="24"/>
        </w:rPr>
        <w:t xml:space="preserve"> </w:t>
      </w:r>
      <w:r w:rsidR="00F546BD">
        <w:rPr>
          <w:rFonts w:ascii="Times New Roman" w:eastAsia="Calibri" w:hAnsi="Times New Roman" w:cs="Times New Roman"/>
          <w:bCs/>
          <w:color w:val="000000"/>
          <w:sz w:val="24"/>
          <w:szCs w:val="24"/>
        </w:rPr>
        <w:t>P</w:t>
      </w:r>
      <w:r w:rsidRPr="00F9561E">
        <w:rPr>
          <w:rFonts w:ascii="Times New Roman" w:eastAsia="Calibri" w:hAnsi="Times New Roman" w:cs="Times New Roman"/>
          <w:bCs/>
          <w:color w:val="000000"/>
          <w:sz w:val="24"/>
          <w:szCs w:val="24"/>
        </w:rPr>
        <w:t>očet</w:t>
      </w:r>
      <w:r w:rsidR="00F546BD">
        <w:rPr>
          <w:rFonts w:ascii="Times New Roman" w:eastAsia="Calibri" w:hAnsi="Times New Roman" w:cs="Times New Roman"/>
          <w:bCs/>
          <w:color w:val="000000"/>
          <w:sz w:val="24"/>
          <w:szCs w:val="24"/>
        </w:rPr>
        <w:t xml:space="preserve"> podaných návrhov na vklad v listinnej podobe</w:t>
      </w:r>
      <w:r w:rsidRPr="00F9561E">
        <w:rPr>
          <w:rFonts w:ascii="Times New Roman" w:eastAsia="Calibri" w:hAnsi="Times New Roman" w:cs="Times New Roman"/>
          <w:bCs/>
          <w:color w:val="000000"/>
          <w:sz w:val="24"/>
          <w:szCs w:val="24"/>
        </w:rPr>
        <w:t xml:space="preserve"> je vyšší oproti regulácii uvedenej v bode </w:t>
      </w:r>
      <w:r w:rsidR="007769F6">
        <w:rPr>
          <w:rFonts w:ascii="Times New Roman" w:eastAsia="Calibri" w:hAnsi="Times New Roman" w:cs="Times New Roman"/>
          <w:bCs/>
          <w:color w:val="000000"/>
          <w:sz w:val="24"/>
          <w:szCs w:val="24"/>
        </w:rPr>
        <w:t>2</w:t>
      </w:r>
      <w:r w:rsidRPr="00F9561E">
        <w:rPr>
          <w:rFonts w:ascii="Times New Roman" w:eastAsia="Calibri" w:hAnsi="Times New Roman" w:cs="Times New Roman"/>
          <w:bCs/>
          <w:color w:val="000000"/>
          <w:sz w:val="24"/>
          <w:szCs w:val="24"/>
        </w:rPr>
        <w:t xml:space="preserve">., nakoľko je stále </w:t>
      </w:r>
      <w:r w:rsidR="00F546BD">
        <w:rPr>
          <w:rFonts w:ascii="Times New Roman" w:eastAsia="Calibri" w:hAnsi="Times New Roman" w:cs="Times New Roman"/>
          <w:bCs/>
          <w:color w:val="000000"/>
          <w:sz w:val="24"/>
          <w:szCs w:val="24"/>
        </w:rPr>
        <w:t xml:space="preserve">v aplikačnej praxi </w:t>
      </w:r>
      <w:r w:rsidRPr="00F9561E">
        <w:rPr>
          <w:rFonts w:ascii="Times New Roman" w:eastAsia="Calibri" w:hAnsi="Times New Roman" w:cs="Times New Roman"/>
          <w:bCs/>
          <w:color w:val="000000"/>
          <w:sz w:val="24"/>
          <w:szCs w:val="24"/>
        </w:rPr>
        <w:t xml:space="preserve">rozšírenejší návrh na začatie katastrálneho konania </w:t>
      </w:r>
      <w:r w:rsidR="00F77BA9">
        <w:rPr>
          <w:rFonts w:ascii="Times New Roman" w:eastAsia="Calibri" w:hAnsi="Times New Roman" w:cs="Times New Roman"/>
          <w:bCs/>
          <w:color w:val="000000"/>
          <w:sz w:val="24"/>
          <w:szCs w:val="24"/>
        </w:rPr>
        <w:t>v </w:t>
      </w:r>
      <w:r w:rsidR="00F546BD">
        <w:rPr>
          <w:rFonts w:ascii="Times New Roman" w:eastAsia="Calibri" w:hAnsi="Times New Roman" w:cs="Times New Roman"/>
          <w:bCs/>
          <w:color w:val="000000"/>
          <w:sz w:val="24"/>
          <w:szCs w:val="24"/>
        </w:rPr>
        <w:t>listinnej</w:t>
      </w:r>
      <w:r w:rsidR="00F77BA9">
        <w:rPr>
          <w:rFonts w:ascii="Times New Roman" w:eastAsia="Calibri" w:hAnsi="Times New Roman" w:cs="Times New Roman"/>
          <w:bCs/>
          <w:color w:val="000000"/>
          <w:sz w:val="24"/>
          <w:szCs w:val="24"/>
        </w:rPr>
        <w:t xml:space="preserve"> podobe </w:t>
      </w:r>
      <w:r w:rsidRPr="00F9561E">
        <w:rPr>
          <w:rFonts w:ascii="Times New Roman" w:eastAsia="Calibri" w:hAnsi="Times New Roman" w:cs="Times New Roman"/>
          <w:bCs/>
          <w:color w:val="000000"/>
          <w:sz w:val="24"/>
          <w:szCs w:val="24"/>
        </w:rPr>
        <w:t xml:space="preserve">oproti elektronickej verzii. Vyšší odhadovaný počet dotknutých podnikateľov oproti regulácii uvedenej v bode </w:t>
      </w:r>
      <w:r w:rsidR="007769F6">
        <w:rPr>
          <w:rFonts w:ascii="Times New Roman" w:eastAsia="Calibri" w:hAnsi="Times New Roman" w:cs="Times New Roman"/>
          <w:bCs/>
          <w:color w:val="000000"/>
          <w:sz w:val="24"/>
          <w:szCs w:val="24"/>
        </w:rPr>
        <w:t>2</w:t>
      </w:r>
      <w:r w:rsidRPr="00F9561E">
        <w:rPr>
          <w:rFonts w:ascii="Times New Roman" w:eastAsia="Calibri" w:hAnsi="Times New Roman" w:cs="Times New Roman"/>
          <w:bCs/>
          <w:color w:val="000000"/>
          <w:sz w:val="24"/>
          <w:szCs w:val="24"/>
        </w:rPr>
        <w:t>. teda zohľadňuje aj podnikateľov, ktorí podávajú návrh na začatie konania nepravidelne, resp. jednorazovo, pričom sa nedá ani ustáliť typická skupina dotknutých podnikateľov.</w:t>
      </w:r>
      <w:bookmarkEnd w:id="3"/>
      <w:r w:rsidR="004D0F96">
        <w:rPr>
          <w:rFonts w:ascii="Times New Roman" w:eastAsia="Calibri" w:hAnsi="Times New Roman" w:cs="Times New Roman"/>
          <w:bCs/>
          <w:color w:val="000000"/>
          <w:sz w:val="24"/>
          <w:szCs w:val="24"/>
        </w:rPr>
        <w:t xml:space="preserve"> </w:t>
      </w:r>
      <w:r w:rsidR="00E8774A">
        <w:rPr>
          <w:rFonts w:ascii="Times New Roman" w:eastAsia="Calibri" w:hAnsi="Times New Roman" w:cs="Times New Roman"/>
          <w:bCs/>
          <w:color w:val="000000"/>
          <w:sz w:val="24"/>
          <w:szCs w:val="24"/>
        </w:rPr>
        <w:t>Novelou katastrálneho zákona nedochádza k zavedeniu možnosti podať návrh na začatie katastrálneho konania v elektronickej podobe, táto možnosť existuje už v súčasnosti, avšak</w:t>
      </w:r>
      <w:r w:rsidR="00E8774A" w:rsidRPr="00E8774A">
        <w:rPr>
          <w:rFonts w:ascii="Times New Roman" w:eastAsia="Calibri" w:hAnsi="Times New Roman" w:cs="Times New Roman"/>
          <w:bCs/>
          <w:color w:val="000000"/>
          <w:sz w:val="24"/>
          <w:szCs w:val="24"/>
        </w:rPr>
        <w:t xml:space="preserve"> </w:t>
      </w:r>
      <w:r w:rsidR="00E8774A">
        <w:rPr>
          <w:rFonts w:ascii="Times New Roman" w:eastAsia="Calibri" w:hAnsi="Times New Roman" w:cs="Times New Roman"/>
          <w:bCs/>
          <w:color w:val="000000"/>
          <w:sz w:val="24"/>
          <w:szCs w:val="24"/>
        </w:rPr>
        <w:t>rozdiel v počte subjektov vychádza najmä z toho, že v súčasnosti je stále výraznejšie preferovaná papierová podoba podávania návrhu na začatie katastrálneho konania zo strany dotknutých subjektov</w:t>
      </w:r>
      <w:r w:rsidR="008337CF">
        <w:rPr>
          <w:rFonts w:ascii="Times New Roman" w:eastAsia="Calibri" w:hAnsi="Times New Roman" w:cs="Times New Roman"/>
          <w:bCs/>
          <w:color w:val="000000"/>
          <w:sz w:val="24"/>
          <w:szCs w:val="24"/>
        </w:rPr>
        <w:t>, bez ohľadu na to, že v prípade podania návrhu na začatie katastrálneho konania v elektronickej podobe sa uplatňuje zľava zo správneho poplatku.</w:t>
      </w:r>
      <w:r w:rsidR="00AB4CDE">
        <w:rPr>
          <w:rFonts w:ascii="Times New Roman" w:eastAsia="Calibri" w:hAnsi="Times New Roman" w:cs="Times New Roman"/>
          <w:bCs/>
          <w:color w:val="000000"/>
          <w:sz w:val="24"/>
          <w:szCs w:val="24"/>
        </w:rPr>
        <w:t xml:space="preserve"> Regulácia uvedená v bode 3. odbremeňuje dotknuté subjekty od povinnosti uvádzať v návrhu na začatie katastrálneho konania údaje, ktoré boli vyhodnotené </w:t>
      </w:r>
      <w:r w:rsidR="00AB4CDE">
        <w:rPr>
          <w:rFonts w:ascii="Times New Roman" w:eastAsia="Calibri" w:hAnsi="Times New Roman" w:cs="Times New Roman"/>
          <w:bCs/>
          <w:color w:val="000000"/>
          <w:sz w:val="24"/>
          <w:szCs w:val="24"/>
        </w:rPr>
        <w:lastRenderedPageBreak/>
        <w:t>v papierovej podobe návrhu ako nadbytočné. Z tohto dôvodu dôjde k zníženie administratívnej záťaže dotknutých subjektov, a tým aj k zníženiu finančnej záťaže.</w:t>
      </w:r>
    </w:p>
    <w:p w14:paraId="77B0B488" w14:textId="77777777" w:rsidR="00CE3164" w:rsidRPr="00F9561E" w:rsidRDefault="00CE3164" w:rsidP="00F77BA9">
      <w:pPr>
        <w:spacing w:after="0" w:line="240" w:lineRule="auto"/>
        <w:jc w:val="both"/>
        <w:rPr>
          <w:rFonts w:ascii="Times New Roman" w:eastAsia="Calibri" w:hAnsi="Times New Roman" w:cs="Times New Roman"/>
          <w:bCs/>
          <w:color w:val="000000"/>
          <w:sz w:val="24"/>
          <w:szCs w:val="24"/>
        </w:rPr>
      </w:pPr>
    </w:p>
    <w:p w14:paraId="0BE43E5A" w14:textId="63A55536" w:rsidR="00F9561E" w:rsidRPr="006E524F" w:rsidRDefault="00F9561E" w:rsidP="00CE3164">
      <w:pPr>
        <w:pStyle w:val="Odsekzoznamu"/>
        <w:numPr>
          <w:ilvl w:val="0"/>
          <w:numId w:val="15"/>
        </w:numPr>
        <w:spacing w:after="0" w:line="240" w:lineRule="auto"/>
        <w:ind w:left="426" w:hanging="426"/>
        <w:jc w:val="both"/>
        <w:rPr>
          <w:rFonts w:ascii="Times New Roman" w:eastAsia="Calibri" w:hAnsi="Times New Roman" w:cs="Times New Roman"/>
          <w:b/>
          <w:bCs/>
          <w:color w:val="000000"/>
          <w:sz w:val="24"/>
          <w:szCs w:val="24"/>
        </w:rPr>
      </w:pPr>
      <w:r w:rsidRPr="006E524F">
        <w:rPr>
          <w:rFonts w:ascii="Times New Roman" w:eastAsia="Calibri" w:hAnsi="Times New Roman" w:cs="Times New Roman"/>
          <w:b/>
          <w:bCs/>
          <w:color w:val="000000"/>
          <w:sz w:val="24"/>
          <w:szCs w:val="24"/>
        </w:rPr>
        <w:t>Vypustenie oznámenia o návrhu na vklad</w:t>
      </w:r>
    </w:p>
    <w:p w14:paraId="4E38CCB9"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Oznámenie o návrhu na vklad bolo do katastrálneho zákona zavedené jeho novelou v roku 2009. Jeho hlavným cieľom bolo podporiť elektronizáciu katastrálnych procesov, a to hlavne z pohľadu podávania návrhu na vklad elektronickou cestou. Zákon č. 145/1995 Z. z. o správnych poplatkoch do roku 2010 neobsahoval právnu úpravu zníženia správneho poplatku v prípade, že účastník konania komunikuje so správnym orgánom elektronicky. Až zákon                     č. 570/2009 Z. z. s účinnosťou od 1. februára 2010 upravil výšku správneho poplatku pri podaní návrhu na začatie konania elektronicky.</w:t>
      </w:r>
    </w:p>
    <w:p w14:paraId="7412C0BA"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Nakoľko oznámenie o návrhu na vklad malo svoj význam aj z hľadiska zápisu podania v katastri nehnuteľností v rámci projektu Elektronické služby katastra nehnuteľností, nebolo možné toto oznámenie pred ukončením projektu zrušiť.</w:t>
      </w:r>
    </w:p>
    <w:p w14:paraId="429977A4" w14:textId="6A65FA66"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Keďže oznámenie o návrhu na vklad za dobu svojej účinnosti nenaplnilo očakávania, nakoľko bolo zdrojom častých a zbytočných chýb (podľa zákona sa zľava zo správneho poplatku uplatnila len vtedy, ak údaje uvedené v oznámení boli zhodné s údajmi v zmluve a tiež v katastri), je v súčasnej dobe účelné jeho zrušenie. Na rozdiel od iných konaní prebiehajúcich na iných správnych orgánoch elektronickou cestou, toto oznámenie má za následok dvojité a neopodstatnené zvýhodnenie, keďže sa zľava zo správneho poplatku uplatní podľa § 6 zákona č. 145/1995 Z. z. </w:t>
      </w:r>
      <w:r w:rsidR="007E2679">
        <w:rPr>
          <w:rFonts w:ascii="Times New Roman" w:eastAsia="Calibri" w:hAnsi="Times New Roman" w:cs="Times New Roman"/>
          <w:bCs/>
          <w:color w:val="000000"/>
          <w:sz w:val="24"/>
          <w:szCs w:val="24"/>
        </w:rPr>
        <w:t xml:space="preserve">o správnych poplatkoch </w:t>
      </w:r>
      <w:r w:rsidRPr="00F9561E">
        <w:rPr>
          <w:rFonts w:ascii="Times New Roman" w:eastAsia="Calibri" w:hAnsi="Times New Roman" w:cs="Times New Roman"/>
          <w:bCs/>
          <w:color w:val="000000"/>
          <w:sz w:val="24"/>
          <w:szCs w:val="24"/>
        </w:rPr>
        <w:t>vo výške 50 % a tiež podľa položky 11 Sadzobníka správnych poplatkov, ktorý je prílohou zákona č. 145/1995 Z. z.</w:t>
      </w:r>
      <w:r w:rsidR="007E2679">
        <w:rPr>
          <w:rFonts w:ascii="Times New Roman" w:eastAsia="Calibri" w:hAnsi="Times New Roman" w:cs="Times New Roman"/>
          <w:bCs/>
          <w:color w:val="000000"/>
          <w:sz w:val="24"/>
          <w:szCs w:val="24"/>
        </w:rPr>
        <w:t xml:space="preserve"> o správnych poplatkoch.</w:t>
      </w:r>
    </w:p>
    <w:p w14:paraId="68566A5B"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Aj zo štatistických údajov ÚGKK SR vyplýva, že oznámenie o návrhu na vklad nie je v praxi často využívané, keďže tvorí približne 10 % zo všetkých doručených návrhov na vklad. Tento počet oznámení odráža komplikovanosť pri jeho vypĺňaní, nakoľko tie isté údaje musí účastník konania vyplniť jednak v oznámení, jednak v návrhu na vklad a v zmluve. Zároveň toto oznámenie nemožno vypĺňať pri zložitých a kombinovaných právnych úkonoch, nakoľko systém, ktorým bolo vytvorené toto oznámenie je zastaralý a jeho modernizácia by si vyžiadala nemalé finančné prostriedky, čo pri zľave 15 euro je z pohľadu štátu neekonomické a nehospodárne.</w:t>
      </w:r>
    </w:p>
    <w:p w14:paraId="58BD2D0E" w14:textId="2992C3B7" w:rsidR="00F9561E" w:rsidRDefault="00F546BD" w:rsidP="00CE3164">
      <w:pPr>
        <w:spacing w:after="0" w:line="240" w:lineRule="auto"/>
        <w:jc w:val="both"/>
        <w:rPr>
          <w:rFonts w:ascii="Times New Roman" w:eastAsia="Calibri" w:hAnsi="Times New Roman" w:cs="Times New Roman"/>
          <w:bCs/>
          <w:color w:val="000000"/>
          <w:sz w:val="24"/>
          <w:szCs w:val="24"/>
        </w:rPr>
      </w:pPr>
      <w:bookmarkStart w:id="4" w:name="_Hlk100229140"/>
      <w:r>
        <w:rPr>
          <w:rFonts w:ascii="Times New Roman" w:eastAsia="Calibri" w:hAnsi="Times New Roman" w:cs="Times New Roman"/>
          <w:bCs/>
          <w:color w:val="000000"/>
          <w:sz w:val="24"/>
          <w:szCs w:val="24"/>
        </w:rPr>
        <w:t xml:space="preserve">Pri určovaní počtu subjektov podávajúcich oznámenie o návrhu na vklad ÚGKK SR vychádzal z celkového počtu podaných oznámení, čo predstavovalo 51 279 oznámení za rok 2024.                       </w:t>
      </w:r>
      <w:r w:rsidR="00F9561E" w:rsidRPr="00F9561E">
        <w:rPr>
          <w:rFonts w:ascii="Times New Roman" w:eastAsia="Calibri" w:hAnsi="Times New Roman" w:cs="Times New Roman"/>
          <w:bCs/>
          <w:color w:val="000000"/>
          <w:sz w:val="24"/>
          <w:szCs w:val="24"/>
        </w:rPr>
        <w:t xml:space="preserve">Z dôvodu, že </w:t>
      </w:r>
      <w:r>
        <w:rPr>
          <w:rFonts w:ascii="Times New Roman" w:eastAsia="Calibri" w:hAnsi="Times New Roman" w:cs="Times New Roman"/>
          <w:bCs/>
          <w:color w:val="000000"/>
          <w:sz w:val="24"/>
          <w:szCs w:val="24"/>
        </w:rPr>
        <w:t xml:space="preserve">ÚGKK SR </w:t>
      </w:r>
      <w:r w:rsidR="00F9561E" w:rsidRPr="00F9561E">
        <w:rPr>
          <w:rFonts w:ascii="Times New Roman" w:eastAsia="Calibri" w:hAnsi="Times New Roman" w:cs="Times New Roman"/>
          <w:bCs/>
          <w:color w:val="000000"/>
          <w:sz w:val="24"/>
          <w:szCs w:val="24"/>
        </w:rPr>
        <w:t>nedisponuje presnou štatistikou zaoberajúcou sa štruktúrou podávateľov oznámení o návrhu na vklad</w:t>
      </w:r>
      <w:r w:rsidR="005C321B">
        <w:rPr>
          <w:rFonts w:ascii="Times New Roman" w:eastAsia="Calibri" w:hAnsi="Times New Roman" w:cs="Times New Roman"/>
          <w:bCs/>
          <w:color w:val="000000"/>
          <w:sz w:val="24"/>
          <w:szCs w:val="24"/>
        </w:rPr>
        <w:t>, teda či sa jedná o bežnú fyzickú osobu alebo o fyzickú/právnickú osobu podnikateľa</w:t>
      </w:r>
      <w:r w:rsidR="00F9561E" w:rsidRPr="00F9561E">
        <w:rPr>
          <w:rFonts w:ascii="Times New Roman" w:eastAsia="Calibri" w:hAnsi="Times New Roman" w:cs="Times New Roman"/>
          <w:bCs/>
          <w:color w:val="000000"/>
          <w:sz w:val="24"/>
          <w:szCs w:val="24"/>
        </w:rPr>
        <w:t>, počet dotknutých subjektov</w:t>
      </w:r>
      <w:r w:rsidR="005C321B">
        <w:rPr>
          <w:rFonts w:ascii="Times New Roman" w:eastAsia="Calibri" w:hAnsi="Times New Roman" w:cs="Times New Roman"/>
          <w:bCs/>
          <w:color w:val="000000"/>
          <w:sz w:val="24"/>
          <w:szCs w:val="24"/>
        </w:rPr>
        <w:t xml:space="preserve"> (podnikateľov)</w:t>
      </w:r>
      <w:r w:rsidR="00F9561E" w:rsidRPr="00F9561E">
        <w:rPr>
          <w:rFonts w:ascii="Times New Roman" w:eastAsia="Calibri" w:hAnsi="Times New Roman" w:cs="Times New Roman"/>
          <w:bCs/>
          <w:color w:val="000000"/>
          <w:sz w:val="24"/>
          <w:szCs w:val="24"/>
        </w:rPr>
        <w:t xml:space="preserve"> </w:t>
      </w:r>
      <w:r>
        <w:rPr>
          <w:rFonts w:ascii="Times New Roman" w:eastAsia="Calibri" w:hAnsi="Times New Roman" w:cs="Times New Roman"/>
          <w:bCs/>
          <w:color w:val="000000"/>
          <w:sz w:val="24"/>
          <w:szCs w:val="24"/>
        </w:rPr>
        <w:t xml:space="preserve">bol odhadnutý </w:t>
      </w:r>
      <w:r w:rsidR="00F9561E" w:rsidRPr="00F9561E">
        <w:rPr>
          <w:rFonts w:ascii="Times New Roman" w:eastAsia="Calibri" w:hAnsi="Times New Roman" w:cs="Times New Roman"/>
          <w:bCs/>
          <w:color w:val="000000"/>
          <w:sz w:val="24"/>
          <w:szCs w:val="24"/>
        </w:rPr>
        <w:t xml:space="preserve">na modelovom príklade s počtom </w:t>
      </w:r>
      <w:r>
        <w:rPr>
          <w:rFonts w:ascii="Times New Roman" w:eastAsia="Calibri" w:hAnsi="Times New Roman" w:cs="Times New Roman"/>
          <w:bCs/>
          <w:color w:val="000000"/>
          <w:sz w:val="24"/>
          <w:szCs w:val="24"/>
        </w:rPr>
        <w:t>14</w:t>
      </w:r>
      <w:r w:rsidR="005C321B">
        <w:rPr>
          <w:rFonts w:ascii="Times New Roman" w:eastAsia="Calibri" w:hAnsi="Times New Roman" w:cs="Times New Roman"/>
          <w:bCs/>
          <w:color w:val="000000"/>
          <w:sz w:val="24"/>
          <w:szCs w:val="24"/>
        </w:rPr>
        <w:t> </w:t>
      </w:r>
      <w:r>
        <w:rPr>
          <w:rFonts w:ascii="Times New Roman" w:eastAsia="Calibri" w:hAnsi="Times New Roman" w:cs="Times New Roman"/>
          <w:bCs/>
          <w:color w:val="000000"/>
          <w:sz w:val="24"/>
          <w:szCs w:val="24"/>
        </w:rPr>
        <w:t>000</w:t>
      </w:r>
      <w:r w:rsidR="00F9561E" w:rsidRPr="00F9561E">
        <w:rPr>
          <w:rFonts w:ascii="Times New Roman" w:eastAsia="Calibri" w:hAnsi="Times New Roman" w:cs="Times New Roman"/>
          <w:bCs/>
          <w:color w:val="000000"/>
          <w:sz w:val="24"/>
          <w:szCs w:val="24"/>
        </w:rPr>
        <w:t>. K dotknutým subjektom môžu patriť predovšetkým realitné kancelárie</w:t>
      </w:r>
      <w:r w:rsidR="00CE3164">
        <w:rPr>
          <w:rFonts w:ascii="Times New Roman" w:eastAsia="Calibri" w:hAnsi="Times New Roman" w:cs="Times New Roman"/>
          <w:bCs/>
          <w:color w:val="000000"/>
          <w:sz w:val="24"/>
          <w:szCs w:val="24"/>
        </w:rPr>
        <w:t>, či advokáti</w:t>
      </w:r>
      <w:r w:rsidR="00F9561E" w:rsidRPr="00F9561E">
        <w:rPr>
          <w:rFonts w:ascii="Times New Roman" w:eastAsia="Calibri" w:hAnsi="Times New Roman" w:cs="Times New Roman"/>
          <w:bCs/>
          <w:color w:val="000000"/>
          <w:sz w:val="24"/>
          <w:szCs w:val="24"/>
        </w:rPr>
        <w:t>.</w:t>
      </w:r>
      <w:bookmarkEnd w:id="4"/>
    </w:p>
    <w:p w14:paraId="34805D4E" w14:textId="77777777" w:rsidR="00CE3164" w:rsidRPr="00426804" w:rsidRDefault="00CE3164" w:rsidP="00CE3164">
      <w:pPr>
        <w:spacing w:after="0" w:line="240" w:lineRule="auto"/>
        <w:jc w:val="both"/>
        <w:rPr>
          <w:rFonts w:ascii="Times New Roman" w:eastAsia="Calibri" w:hAnsi="Times New Roman" w:cs="Times New Roman"/>
          <w:bCs/>
          <w:color w:val="000000"/>
          <w:sz w:val="24"/>
          <w:szCs w:val="24"/>
        </w:rPr>
      </w:pPr>
    </w:p>
    <w:p w14:paraId="6C765391" w14:textId="77777777" w:rsidR="00F9561E" w:rsidRPr="00F9561E" w:rsidRDefault="00F9561E" w:rsidP="00CE3164">
      <w:pPr>
        <w:numPr>
          <w:ilvl w:val="0"/>
          <w:numId w:val="15"/>
        </w:numPr>
        <w:spacing w:after="0" w:line="240" w:lineRule="auto"/>
        <w:ind w:left="426"/>
        <w:jc w:val="both"/>
        <w:rPr>
          <w:rFonts w:ascii="Times New Roman" w:eastAsia="Calibri" w:hAnsi="Times New Roman" w:cs="Times New Roman"/>
          <w:b/>
          <w:bCs/>
          <w:color w:val="000000"/>
          <w:sz w:val="24"/>
          <w:szCs w:val="24"/>
        </w:rPr>
      </w:pPr>
      <w:r w:rsidRPr="00F9561E">
        <w:rPr>
          <w:rFonts w:ascii="Times New Roman" w:eastAsia="Calibri" w:hAnsi="Times New Roman" w:cs="Times New Roman"/>
          <w:b/>
          <w:bCs/>
          <w:color w:val="000000"/>
          <w:sz w:val="24"/>
          <w:szCs w:val="24"/>
        </w:rPr>
        <w:t>Povinnosť úradného osvedčenia podpisu pri predkupnom práve, späťvzatí návrhu na vklad a kvitancii</w:t>
      </w:r>
    </w:p>
    <w:p w14:paraId="1270C795"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Zavádza sa povinnosť úradného osvedčenia podpisu oprávneného z predkupného práva, v prípade jeho zrušenia, ďalej podpisu účastníkov konania pri späťvzatí návrhu na vklad, podpisu záložného veriteľa, ktorým nie je banka, zahraničná banka alebo pobočka zahraničnej banky (ďalej len „banka“) na kvitancii. Zavedením tejto administratívnej záťaže sa zabezpečí ochrana práv k nehnuteľnostiam. Úradne osvedčený podpis preukáže, že uvedenú listinu skutočne podpísala daná osoba, čo je veľmi dôležité najmä pri výmaze záložného práva k nehnuteľnosti. Istá úľava pre banky vyplýva z vnútorných predpisov jednotlivých bánk, v rámci ktorých je zabezpečená dostatočná kontrola osôb, ktoré konajú za banku.</w:t>
      </w:r>
    </w:p>
    <w:p w14:paraId="608CD3E9"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lastRenderedPageBreak/>
        <w:t xml:space="preserve">Ochrana práv k nehnuteľnostiam pri tejto regulácii výrazne prevyšuje nad negatívom spočívajúcom vo vynaložení nákladov na úradné osvedčenie podpisu pri uvedených právnych úkonoch. </w:t>
      </w:r>
    </w:p>
    <w:p w14:paraId="4776F3DF" w14:textId="0A64278B"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Podľa dostupných informácií je odmena notára stanovená Vyhláškou Ministerstva spravodlivosti SR č. 31/1993 Z. z. o odmenách a náhradách notárov vo výške </w:t>
      </w:r>
      <w:r w:rsidR="00582AA8">
        <w:rPr>
          <w:rFonts w:ascii="Times New Roman" w:eastAsia="Calibri" w:hAnsi="Times New Roman" w:cs="Times New Roman"/>
          <w:bCs/>
          <w:color w:val="000000"/>
          <w:sz w:val="24"/>
          <w:szCs w:val="24"/>
        </w:rPr>
        <w:t>4</w:t>
      </w:r>
      <w:r w:rsidR="00CE3164">
        <w:rPr>
          <w:rFonts w:ascii="Times New Roman" w:eastAsia="Calibri" w:hAnsi="Times New Roman" w:cs="Times New Roman"/>
          <w:bCs/>
          <w:color w:val="000000"/>
          <w:sz w:val="24"/>
          <w:szCs w:val="24"/>
        </w:rPr>
        <w:t>,00</w:t>
      </w:r>
      <w:r w:rsidRPr="00F9561E">
        <w:rPr>
          <w:rFonts w:ascii="Times New Roman" w:eastAsia="Calibri" w:hAnsi="Times New Roman" w:cs="Times New Roman"/>
          <w:bCs/>
          <w:color w:val="000000"/>
          <w:sz w:val="24"/>
          <w:szCs w:val="24"/>
        </w:rPr>
        <w:t xml:space="preserve"> eur za osvedčenie jedného podpisu. Ceny a notárske poplatky za poskytované služby sú u všetkých notárov v Slovenskej republike rovnaké.</w:t>
      </w:r>
    </w:p>
    <w:p w14:paraId="14D17102"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Podpis na listine je možné overiť aj na matričnom úrade, pričom za osvedčenie jedného podpisu sa platí správny poplatok vo výške 2,00 eurá.</w:t>
      </w:r>
    </w:p>
    <w:p w14:paraId="247897E4"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Náklady za úradné osvedčenie podpisu sú neporovnateľne nižšie ako hodnota nehnuteľnosti.</w:t>
      </w:r>
    </w:p>
    <w:p w14:paraId="488979F7" w14:textId="61080B66" w:rsid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Nedisponujeme presnou štatistikou o počte podnikateľov podávajúcich tento druh podaní, preto </w:t>
      </w:r>
      <w:r w:rsidR="00A0328F">
        <w:rPr>
          <w:rFonts w:ascii="Times New Roman" w:eastAsia="Calibri" w:hAnsi="Times New Roman" w:cs="Times New Roman"/>
          <w:bCs/>
          <w:color w:val="000000"/>
          <w:sz w:val="24"/>
          <w:szCs w:val="24"/>
        </w:rPr>
        <w:t>bol odhadnutý</w:t>
      </w:r>
      <w:r w:rsidRPr="00F9561E">
        <w:rPr>
          <w:rFonts w:ascii="Times New Roman" w:eastAsia="Calibri" w:hAnsi="Times New Roman" w:cs="Times New Roman"/>
          <w:bCs/>
          <w:color w:val="000000"/>
          <w:sz w:val="24"/>
          <w:szCs w:val="24"/>
        </w:rPr>
        <w:t xml:space="preserve"> počet dotknutých subjektov na modelovom príklade s počtom </w:t>
      </w:r>
      <w:r w:rsidR="00582AA8">
        <w:rPr>
          <w:rFonts w:ascii="Times New Roman" w:eastAsia="Calibri" w:hAnsi="Times New Roman" w:cs="Times New Roman"/>
          <w:bCs/>
          <w:color w:val="000000"/>
          <w:sz w:val="24"/>
          <w:szCs w:val="24"/>
        </w:rPr>
        <w:t>75</w:t>
      </w:r>
      <w:r w:rsidR="00CE3164">
        <w:rPr>
          <w:rFonts w:ascii="Times New Roman" w:eastAsia="Calibri" w:hAnsi="Times New Roman" w:cs="Times New Roman"/>
          <w:bCs/>
          <w:color w:val="000000"/>
          <w:sz w:val="24"/>
          <w:szCs w:val="24"/>
        </w:rPr>
        <w:t xml:space="preserve"> </w:t>
      </w:r>
      <w:r w:rsidRPr="00F9561E">
        <w:rPr>
          <w:rFonts w:ascii="Times New Roman" w:eastAsia="Calibri" w:hAnsi="Times New Roman" w:cs="Times New Roman"/>
          <w:bCs/>
          <w:color w:val="000000"/>
          <w:sz w:val="24"/>
          <w:szCs w:val="24"/>
        </w:rPr>
        <w:t>00</w:t>
      </w:r>
      <w:r w:rsidR="00CE3164">
        <w:rPr>
          <w:rFonts w:ascii="Times New Roman" w:eastAsia="Calibri" w:hAnsi="Times New Roman" w:cs="Times New Roman"/>
          <w:bCs/>
          <w:color w:val="000000"/>
          <w:sz w:val="24"/>
          <w:szCs w:val="24"/>
        </w:rPr>
        <w:t>0</w:t>
      </w:r>
      <w:r w:rsidRPr="00F9561E">
        <w:rPr>
          <w:rFonts w:ascii="Times New Roman" w:eastAsia="Calibri" w:hAnsi="Times New Roman" w:cs="Times New Roman"/>
          <w:bCs/>
          <w:color w:val="000000"/>
          <w:sz w:val="24"/>
          <w:szCs w:val="24"/>
        </w:rPr>
        <w:t xml:space="preserve">. Typickým príkladom dotknutého subjektu sú najmä finančné subjekty s výnimkou bánk. </w:t>
      </w:r>
    </w:p>
    <w:p w14:paraId="038EFD1C" w14:textId="77777777" w:rsidR="00CE3164" w:rsidRPr="00F9561E" w:rsidRDefault="00CE3164" w:rsidP="00CE3164">
      <w:pPr>
        <w:spacing w:after="0" w:line="240" w:lineRule="auto"/>
        <w:jc w:val="both"/>
        <w:rPr>
          <w:rFonts w:ascii="Times New Roman" w:eastAsia="Calibri" w:hAnsi="Times New Roman" w:cs="Times New Roman"/>
          <w:bCs/>
          <w:color w:val="000000"/>
          <w:sz w:val="24"/>
          <w:szCs w:val="24"/>
        </w:rPr>
      </w:pPr>
    </w:p>
    <w:p w14:paraId="5D18DD82" w14:textId="53653EB8" w:rsidR="00F9561E" w:rsidRPr="00F9561E" w:rsidRDefault="00F9561E" w:rsidP="00CE3164">
      <w:pPr>
        <w:numPr>
          <w:ilvl w:val="0"/>
          <w:numId w:val="15"/>
        </w:numPr>
        <w:spacing w:after="0" w:line="240" w:lineRule="auto"/>
        <w:ind w:left="426" w:hanging="426"/>
        <w:jc w:val="both"/>
        <w:rPr>
          <w:rFonts w:ascii="Times New Roman" w:eastAsia="Calibri" w:hAnsi="Times New Roman" w:cs="Times New Roman"/>
          <w:b/>
          <w:bCs/>
          <w:color w:val="000000"/>
          <w:sz w:val="24"/>
          <w:szCs w:val="24"/>
        </w:rPr>
      </w:pPr>
      <w:r w:rsidRPr="00F9561E">
        <w:rPr>
          <w:rFonts w:ascii="Times New Roman" w:eastAsia="Calibri" w:hAnsi="Times New Roman" w:cs="Times New Roman"/>
          <w:b/>
          <w:bCs/>
          <w:color w:val="000000"/>
          <w:sz w:val="24"/>
          <w:szCs w:val="24"/>
        </w:rPr>
        <w:t xml:space="preserve">Zavedenie povinnosti </w:t>
      </w:r>
      <w:bookmarkStart w:id="5" w:name="_Hlk171426437"/>
      <w:r w:rsidR="000C0ECA">
        <w:rPr>
          <w:rFonts w:ascii="Times New Roman" w:eastAsia="Calibri" w:hAnsi="Times New Roman" w:cs="Times New Roman"/>
          <w:b/>
          <w:bCs/>
          <w:color w:val="000000"/>
          <w:sz w:val="24"/>
          <w:szCs w:val="24"/>
        </w:rPr>
        <w:t>autentifikácie</w:t>
      </w:r>
      <w:bookmarkEnd w:id="5"/>
      <w:r w:rsidR="00FC3954">
        <w:rPr>
          <w:rFonts w:ascii="Times New Roman" w:eastAsia="Calibri" w:hAnsi="Times New Roman" w:cs="Times New Roman"/>
          <w:b/>
          <w:bCs/>
          <w:color w:val="000000"/>
          <w:sz w:val="24"/>
          <w:szCs w:val="24"/>
        </w:rPr>
        <w:t>/registrácie</w:t>
      </w:r>
      <w:r w:rsidRPr="00F9561E">
        <w:rPr>
          <w:rFonts w:ascii="Times New Roman" w:eastAsia="Calibri" w:hAnsi="Times New Roman" w:cs="Times New Roman"/>
          <w:b/>
          <w:bCs/>
          <w:color w:val="000000"/>
          <w:sz w:val="24"/>
          <w:szCs w:val="24"/>
        </w:rPr>
        <w:t xml:space="preserve"> pri prístupe na katastráln</w:t>
      </w:r>
      <w:r w:rsidR="009D23DC">
        <w:rPr>
          <w:rFonts w:ascii="Times New Roman" w:eastAsia="Calibri" w:hAnsi="Times New Roman" w:cs="Times New Roman"/>
          <w:b/>
          <w:bCs/>
          <w:color w:val="000000"/>
          <w:sz w:val="24"/>
          <w:szCs w:val="24"/>
        </w:rPr>
        <w:t>y</w:t>
      </w:r>
      <w:r w:rsidRPr="00F9561E">
        <w:rPr>
          <w:rFonts w:ascii="Times New Roman" w:eastAsia="Calibri" w:hAnsi="Times New Roman" w:cs="Times New Roman"/>
          <w:b/>
          <w:bCs/>
          <w:color w:val="000000"/>
          <w:sz w:val="24"/>
          <w:szCs w:val="24"/>
        </w:rPr>
        <w:t xml:space="preserve"> portál</w:t>
      </w:r>
    </w:p>
    <w:p w14:paraId="710EFC24" w14:textId="11255D41" w:rsidR="00C83AA7" w:rsidRDefault="00C83AA7" w:rsidP="00CE3164">
      <w:pPr>
        <w:spacing w:after="0" w:line="240" w:lineRule="auto"/>
        <w:jc w:val="both"/>
        <w:rPr>
          <w:rFonts w:ascii="Times New Roman" w:eastAsia="Calibri" w:hAnsi="Times New Roman" w:cs="Times New Roman"/>
          <w:bCs/>
          <w:color w:val="000000"/>
          <w:sz w:val="24"/>
          <w:szCs w:val="24"/>
        </w:rPr>
      </w:pPr>
      <w:r w:rsidRPr="00C83AA7">
        <w:rPr>
          <w:rFonts w:ascii="Times New Roman" w:eastAsia="Calibri" w:hAnsi="Times New Roman" w:cs="Times New Roman"/>
          <w:bCs/>
          <w:color w:val="000000"/>
          <w:sz w:val="24"/>
          <w:szCs w:val="24"/>
        </w:rPr>
        <w:t>Táto regulácia je zavedená za účelom plnenia povinností vyplývajúcich z právnych predpisov upravujúcich nakladanie s osobnými údajmi, ale tiež za účelom zabezpečenia ochrany osobných údajov osôb evidovaných v katastri.</w:t>
      </w:r>
    </w:p>
    <w:p w14:paraId="53EBCDF0" w14:textId="41569CE4" w:rsidR="00C83AA7" w:rsidRDefault="00C83AA7" w:rsidP="00CE3164">
      <w:pPr>
        <w:spacing w:after="0" w:line="240" w:lineRule="auto"/>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Autentifikácia/registrácia je bezodplatná.</w:t>
      </w:r>
    </w:p>
    <w:p w14:paraId="36E9205C" w14:textId="35895B34" w:rsidR="002D3C8C" w:rsidRDefault="00C83AA7" w:rsidP="00CE3164">
      <w:pPr>
        <w:spacing w:after="0" w:line="240" w:lineRule="auto"/>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R</w:t>
      </w:r>
      <w:r w:rsidR="002D3C8C">
        <w:rPr>
          <w:rFonts w:ascii="Times New Roman" w:eastAsia="Calibri" w:hAnsi="Times New Roman" w:cs="Times New Roman"/>
          <w:bCs/>
          <w:color w:val="000000"/>
          <w:sz w:val="24"/>
          <w:szCs w:val="24"/>
        </w:rPr>
        <w:t>egulácia sa vzťahuje len na podnikateľov, ktorí budú vyhľadávať na portáloch ÚGKK SR osobné údaje vlastníkov</w:t>
      </w:r>
      <w:r w:rsidR="00CE3164">
        <w:rPr>
          <w:rFonts w:ascii="Times New Roman" w:eastAsia="Calibri" w:hAnsi="Times New Roman" w:cs="Times New Roman"/>
          <w:bCs/>
          <w:color w:val="000000"/>
          <w:sz w:val="24"/>
          <w:szCs w:val="24"/>
        </w:rPr>
        <w:t>, resp. výpis z listov vlastníctva</w:t>
      </w:r>
      <w:r w:rsidR="002D3C8C">
        <w:rPr>
          <w:rFonts w:ascii="Times New Roman" w:eastAsia="Calibri" w:hAnsi="Times New Roman" w:cs="Times New Roman"/>
          <w:bCs/>
          <w:color w:val="000000"/>
          <w:sz w:val="24"/>
          <w:szCs w:val="24"/>
        </w:rPr>
        <w:t xml:space="preserve">. </w:t>
      </w:r>
    </w:p>
    <w:p w14:paraId="6DF3205E" w14:textId="778F5606" w:rsidR="00CE3164" w:rsidRPr="00CE3164" w:rsidRDefault="00CE3164" w:rsidP="00CE3164">
      <w:pPr>
        <w:spacing w:after="0" w:line="240" w:lineRule="auto"/>
        <w:jc w:val="both"/>
        <w:rPr>
          <w:rFonts w:ascii="Times New Roman" w:eastAsia="Calibri" w:hAnsi="Times New Roman" w:cs="Times New Roman"/>
          <w:bCs/>
          <w:color w:val="000000"/>
          <w:sz w:val="24"/>
          <w:szCs w:val="24"/>
        </w:rPr>
      </w:pPr>
      <w:r w:rsidRPr="00CE3164">
        <w:rPr>
          <w:rFonts w:ascii="Times New Roman" w:eastAsia="Calibri" w:hAnsi="Times New Roman" w:cs="Times New Roman"/>
          <w:bCs/>
          <w:color w:val="000000"/>
          <w:sz w:val="24"/>
          <w:szCs w:val="24"/>
        </w:rPr>
        <w:t>Výpis z listu vlastníctva bude možné získať okrem papierovej podoby alebo prostredníctvom integrovaného obslužného miesta aj prostredníctvom špecializovaného portálu ÚGKK SR. Tento výpis bude použiteľný na právne úkony</w:t>
      </w:r>
      <w:r w:rsidR="00A0328F">
        <w:rPr>
          <w:rFonts w:ascii="Times New Roman" w:eastAsia="Calibri" w:hAnsi="Times New Roman" w:cs="Times New Roman"/>
          <w:bCs/>
          <w:color w:val="000000"/>
          <w:sz w:val="24"/>
          <w:szCs w:val="24"/>
        </w:rPr>
        <w:t xml:space="preserve"> a bude spoplatnený sumou 6,00 eur/výpis</w:t>
      </w:r>
      <w:r w:rsidRPr="00CE3164">
        <w:rPr>
          <w:rFonts w:ascii="Times New Roman" w:eastAsia="Calibri" w:hAnsi="Times New Roman" w:cs="Times New Roman"/>
          <w:bCs/>
          <w:color w:val="000000"/>
          <w:sz w:val="24"/>
          <w:szCs w:val="24"/>
        </w:rPr>
        <w:t xml:space="preserve">. </w:t>
      </w:r>
    </w:p>
    <w:p w14:paraId="0884E934" w14:textId="61702265" w:rsidR="00CE3164" w:rsidRDefault="00CE3164" w:rsidP="00CE3164">
      <w:pPr>
        <w:spacing w:after="0" w:line="240" w:lineRule="auto"/>
        <w:jc w:val="both"/>
        <w:rPr>
          <w:rFonts w:ascii="Times New Roman" w:eastAsia="Calibri" w:hAnsi="Times New Roman" w:cs="Times New Roman"/>
          <w:bCs/>
          <w:color w:val="000000"/>
          <w:sz w:val="24"/>
          <w:szCs w:val="24"/>
        </w:rPr>
      </w:pPr>
      <w:r w:rsidRPr="00CE3164">
        <w:rPr>
          <w:rFonts w:ascii="Times New Roman" w:eastAsia="Calibri" w:hAnsi="Times New Roman" w:cs="Times New Roman"/>
          <w:bCs/>
          <w:color w:val="000000"/>
          <w:sz w:val="24"/>
          <w:szCs w:val="24"/>
        </w:rPr>
        <w:t>Ruší sa možnosť získať bezodplatný informatívny výpis z listu vlastníctva. Po vykonaní autentifikácie/registrácie sa zavádza možnosť vlastníkovi získať bezodplatne svoj tzv. súpis nehnuteľností, ktorý bude obsahovať zoznam všetkých nehnuteľností, ktoré vlastník vlastní v rámci celého územia SR, a to z pohodlia domova.</w:t>
      </w:r>
    </w:p>
    <w:p w14:paraId="1DF6A9D5" w14:textId="0C93CBC7" w:rsid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 xml:space="preserve">Zavedením povinnosti </w:t>
      </w:r>
      <w:r w:rsidR="000C0ECA" w:rsidRPr="000C0ECA">
        <w:rPr>
          <w:rFonts w:ascii="Times New Roman" w:eastAsia="Calibri" w:hAnsi="Times New Roman" w:cs="Times New Roman"/>
          <w:bCs/>
          <w:color w:val="000000"/>
          <w:sz w:val="24"/>
          <w:szCs w:val="24"/>
        </w:rPr>
        <w:t>autentifikácie</w:t>
      </w:r>
      <w:r w:rsidR="00CE3164">
        <w:rPr>
          <w:rFonts w:ascii="Times New Roman" w:eastAsia="Calibri" w:hAnsi="Times New Roman" w:cs="Times New Roman"/>
          <w:bCs/>
          <w:color w:val="000000"/>
          <w:sz w:val="24"/>
          <w:szCs w:val="24"/>
        </w:rPr>
        <w:t>/registrácie</w:t>
      </w:r>
      <w:r w:rsidRPr="00F9561E">
        <w:rPr>
          <w:rFonts w:ascii="Times New Roman" w:eastAsia="Calibri" w:hAnsi="Times New Roman" w:cs="Times New Roman"/>
          <w:bCs/>
          <w:color w:val="000000"/>
          <w:sz w:val="24"/>
          <w:szCs w:val="24"/>
        </w:rPr>
        <w:t xml:space="preserve"> môže dôjsť k zvýšeniu prácnosti prístupu k zverejneným údajom katastra. </w:t>
      </w:r>
      <w:r w:rsidR="00CE3164">
        <w:rPr>
          <w:rFonts w:ascii="Times New Roman" w:eastAsia="Calibri" w:hAnsi="Times New Roman" w:cs="Times New Roman"/>
          <w:bCs/>
          <w:color w:val="000000"/>
          <w:sz w:val="24"/>
          <w:szCs w:val="24"/>
        </w:rPr>
        <w:t>Registrácia</w:t>
      </w:r>
      <w:r w:rsidRPr="00F9561E">
        <w:rPr>
          <w:rFonts w:ascii="Times New Roman" w:eastAsia="Calibri" w:hAnsi="Times New Roman" w:cs="Times New Roman"/>
          <w:bCs/>
          <w:color w:val="000000"/>
          <w:sz w:val="24"/>
          <w:szCs w:val="24"/>
        </w:rPr>
        <w:t xml:space="preserve"> však</w:t>
      </w:r>
      <w:r w:rsidR="00CE3164">
        <w:rPr>
          <w:rFonts w:ascii="Times New Roman" w:eastAsia="Calibri" w:hAnsi="Times New Roman" w:cs="Times New Roman"/>
          <w:bCs/>
          <w:color w:val="000000"/>
          <w:sz w:val="24"/>
          <w:szCs w:val="24"/>
        </w:rPr>
        <w:t xml:space="preserve"> bude</w:t>
      </w:r>
      <w:r w:rsidRPr="00F9561E">
        <w:rPr>
          <w:rFonts w:ascii="Times New Roman" w:eastAsia="Calibri" w:hAnsi="Times New Roman" w:cs="Times New Roman"/>
          <w:bCs/>
          <w:color w:val="000000"/>
          <w:sz w:val="24"/>
          <w:szCs w:val="24"/>
        </w:rPr>
        <w:t xml:space="preserve"> potrebná len pri prvom prihlásení, kedy si osoba zvolí prihlasovacie údaje, pod ktorými bude registrovaná v systéme. Údaje budú naďalej prístupné každému.</w:t>
      </w:r>
    </w:p>
    <w:p w14:paraId="77516B11" w14:textId="7828587F" w:rsidR="00CE3164" w:rsidRPr="00F9561E" w:rsidRDefault="00CE3164" w:rsidP="00CE3164">
      <w:pPr>
        <w:spacing w:after="0" w:line="240" w:lineRule="auto"/>
        <w:jc w:val="both"/>
        <w:rPr>
          <w:rFonts w:ascii="Times New Roman" w:eastAsia="Calibri" w:hAnsi="Times New Roman" w:cs="Times New Roman"/>
          <w:bCs/>
          <w:color w:val="000000"/>
          <w:sz w:val="24"/>
          <w:szCs w:val="24"/>
        </w:rPr>
      </w:pPr>
      <w:r w:rsidRPr="00CE3164">
        <w:rPr>
          <w:rFonts w:ascii="Times New Roman" w:eastAsia="Calibri" w:hAnsi="Times New Roman" w:cs="Times New Roman"/>
          <w:bCs/>
          <w:color w:val="000000"/>
          <w:sz w:val="24"/>
          <w:szCs w:val="24"/>
        </w:rPr>
        <w:t>Právnické osoby majú zo zákona povinne zriadenú a aktivovanú elektronickú schránku a so štátnymi orgánmi majú komunikovať výlučne elektronicky</w:t>
      </w:r>
      <w:r w:rsidR="00A0328F">
        <w:rPr>
          <w:rFonts w:ascii="Times New Roman" w:eastAsia="Calibri" w:hAnsi="Times New Roman" w:cs="Times New Roman"/>
          <w:bCs/>
          <w:color w:val="000000"/>
          <w:sz w:val="24"/>
          <w:szCs w:val="24"/>
        </w:rPr>
        <w:t>, to znamená, že na katastrálny portál sa budú identifikovať v zmysle zákona o e-Governmente a nebude potrebné si zriaďovať používateľský účet</w:t>
      </w:r>
      <w:r w:rsidRPr="00CE3164">
        <w:rPr>
          <w:rFonts w:ascii="Times New Roman" w:eastAsia="Calibri" w:hAnsi="Times New Roman" w:cs="Times New Roman"/>
          <w:bCs/>
          <w:color w:val="000000"/>
          <w:sz w:val="24"/>
          <w:szCs w:val="24"/>
        </w:rPr>
        <w:t>.</w:t>
      </w:r>
    </w:p>
    <w:p w14:paraId="5407260E" w14:textId="369CA312"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Podnikateľské subjekty, ktoré v rámci svojej činnosti</w:t>
      </w:r>
      <w:r w:rsidR="00F2123B">
        <w:rPr>
          <w:rFonts w:ascii="Times New Roman" w:eastAsia="Calibri" w:hAnsi="Times New Roman" w:cs="Times New Roman"/>
          <w:bCs/>
          <w:color w:val="000000"/>
          <w:sz w:val="24"/>
          <w:szCs w:val="24"/>
        </w:rPr>
        <w:t xml:space="preserve"> vyplývajúcej z osobitných právnych predpisov</w:t>
      </w:r>
      <w:r w:rsidR="00CE3164">
        <w:rPr>
          <w:rFonts w:ascii="Times New Roman" w:eastAsia="Calibri" w:hAnsi="Times New Roman" w:cs="Times New Roman"/>
          <w:bCs/>
          <w:color w:val="000000"/>
          <w:sz w:val="24"/>
          <w:szCs w:val="24"/>
        </w:rPr>
        <w:t xml:space="preserve"> (napr. banky</w:t>
      </w:r>
      <w:r w:rsidR="00A0328F">
        <w:rPr>
          <w:rFonts w:ascii="Times New Roman" w:eastAsia="Calibri" w:hAnsi="Times New Roman" w:cs="Times New Roman"/>
          <w:bCs/>
          <w:color w:val="000000"/>
          <w:sz w:val="24"/>
          <w:szCs w:val="24"/>
        </w:rPr>
        <w:t>, poľnohospodári</w:t>
      </w:r>
      <w:r w:rsidR="00C83AA7">
        <w:rPr>
          <w:rFonts w:ascii="Times New Roman" w:eastAsia="Calibri" w:hAnsi="Times New Roman" w:cs="Times New Roman"/>
          <w:bCs/>
          <w:color w:val="000000"/>
          <w:sz w:val="24"/>
          <w:szCs w:val="24"/>
        </w:rPr>
        <w:t>, správcovia bytových domov</w:t>
      </w:r>
      <w:r w:rsidR="00CE3164">
        <w:rPr>
          <w:rFonts w:ascii="Times New Roman" w:eastAsia="Calibri" w:hAnsi="Times New Roman" w:cs="Times New Roman"/>
          <w:bCs/>
          <w:color w:val="000000"/>
          <w:sz w:val="24"/>
          <w:szCs w:val="24"/>
        </w:rPr>
        <w:t>)</w:t>
      </w:r>
      <w:r w:rsidRPr="00F9561E">
        <w:rPr>
          <w:rFonts w:ascii="Times New Roman" w:eastAsia="Calibri" w:hAnsi="Times New Roman" w:cs="Times New Roman"/>
          <w:bCs/>
          <w:color w:val="000000"/>
          <w:sz w:val="24"/>
          <w:szCs w:val="24"/>
        </w:rPr>
        <w:t xml:space="preserve"> využívajú údaje katastra, majú prístup k údajom katastra zabezpečený prostredníctvom zmluvy na hromadné poskytovanie údajov z celého územia SR. </w:t>
      </w:r>
      <w:r w:rsidR="00A0328F">
        <w:rPr>
          <w:rFonts w:ascii="Times New Roman" w:eastAsia="Calibri" w:hAnsi="Times New Roman" w:cs="Times New Roman"/>
          <w:bCs/>
          <w:color w:val="000000"/>
          <w:sz w:val="24"/>
          <w:szCs w:val="24"/>
        </w:rPr>
        <w:t xml:space="preserve">Právna úprava </w:t>
      </w:r>
      <w:r w:rsidR="00C83AA7">
        <w:rPr>
          <w:rFonts w:ascii="Times New Roman" w:eastAsia="Calibri" w:hAnsi="Times New Roman" w:cs="Times New Roman"/>
          <w:bCs/>
          <w:color w:val="000000"/>
          <w:sz w:val="24"/>
          <w:szCs w:val="24"/>
        </w:rPr>
        <w:t xml:space="preserve">ďalej </w:t>
      </w:r>
      <w:r w:rsidR="00A0328F">
        <w:rPr>
          <w:rFonts w:ascii="Times New Roman" w:eastAsia="Calibri" w:hAnsi="Times New Roman" w:cs="Times New Roman"/>
          <w:bCs/>
          <w:color w:val="000000"/>
          <w:sz w:val="24"/>
          <w:szCs w:val="24"/>
        </w:rPr>
        <w:t>zavádza tzv. osobitný používateľský účet, ktorý bude umožňovať prístup k rozšírenému rozsahu údajov katastra</w:t>
      </w:r>
      <w:r w:rsidR="00C83AA7">
        <w:rPr>
          <w:rFonts w:ascii="Times New Roman" w:eastAsia="Calibri" w:hAnsi="Times New Roman" w:cs="Times New Roman"/>
          <w:bCs/>
          <w:color w:val="000000"/>
          <w:sz w:val="24"/>
          <w:szCs w:val="24"/>
        </w:rPr>
        <w:t xml:space="preserve"> zverejnených na portáli</w:t>
      </w:r>
      <w:r w:rsidR="00A0328F">
        <w:rPr>
          <w:rFonts w:ascii="Times New Roman" w:eastAsia="Calibri" w:hAnsi="Times New Roman" w:cs="Times New Roman"/>
          <w:bCs/>
          <w:color w:val="000000"/>
          <w:sz w:val="24"/>
          <w:szCs w:val="24"/>
        </w:rPr>
        <w:t xml:space="preserve"> (v rozsahu ako v súčasnosti), a to pre tie osoby, ktoré plnia úlohy alebo povinnosti vyplývajúce z osobitných právnych predpisov a na ich plnenie potrebujú údaje katastra.</w:t>
      </w:r>
      <w:r w:rsidR="00C83AA7">
        <w:rPr>
          <w:rFonts w:ascii="Times New Roman" w:eastAsia="Calibri" w:hAnsi="Times New Roman" w:cs="Times New Roman"/>
          <w:bCs/>
          <w:color w:val="000000"/>
          <w:sz w:val="24"/>
          <w:szCs w:val="24"/>
        </w:rPr>
        <w:t xml:space="preserve"> V tomto prípade sa nebude úhrada týkať každého jednotlivého výpisu z listu vlastníctva. </w:t>
      </w:r>
      <w:r w:rsidR="00C83AA7" w:rsidRPr="00C83AA7">
        <w:rPr>
          <w:rFonts w:ascii="Times New Roman" w:eastAsia="Calibri" w:hAnsi="Times New Roman" w:cs="Times New Roman"/>
          <w:bCs/>
          <w:color w:val="000000"/>
          <w:sz w:val="24"/>
          <w:szCs w:val="24"/>
        </w:rPr>
        <w:t xml:space="preserve">Prístup k údajom katastra prostredníctvom osobitného používateľského účtu sa </w:t>
      </w:r>
      <w:r w:rsidR="00C83AA7">
        <w:rPr>
          <w:rFonts w:ascii="Times New Roman" w:eastAsia="Calibri" w:hAnsi="Times New Roman" w:cs="Times New Roman"/>
          <w:bCs/>
          <w:color w:val="000000"/>
          <w:sz w:val="24"/>
          <w:szCs w:val="24"/>
        </w:rPr>
        <w:t xml:space="preserve">bude </w:t>
      </w:r>
      <w:r w:rsidR="00C83AA7" w:rsidRPr="00C83AA7">
        <w:rPr>
          <w:rFonts w:ascii="Times New Roman" w:eastAsia="Calibri" w:hAnsi="Times New Roman" w:cs="Times New Roman"/>
          <w:bCs/>
          <w:color w:val="000000"/>
          <w:sz w:val="24"/>
          <w:szCs w:val="24"/>
        </w:rPr>
        <w:t>poskyt</w:t>
      </w:r>
      <w:r w:rsidR="00C83AA7">
        <w:rPr>
          <w:rFonts w:ascii="Times New Roman" w:eastAsia="Calibri" w:hAnsi="Times New Roman" w:cs="Times New Roman"/>
          <w:bCs/>
          <w:color w:val="000000"/>
          <w:sz w:val="24"/>
          <w:szCs w:val="24"/>
        </w:rPr>
        <w:t>ovať</w:t>
      </w:r>
      <w:r w:rsidR="00C83AA7" w:rsidRPr="00C83AA7">
        <w:rPr>
          <w:rFonts w:ascii="Times New Roman" w:eastAsia="Calibri" w:hAnsi="Times New Roman" w:cs="Times New Roman"/>
          <w:bCs/>
          <w:color w:val="000000"/>
          <w:sz w:val="24"/>
          <w:szCs w:val="24"/>
        </w:rPr>
        <w:t xml:space="preserve"> za úhradu, a to paušálnou sumou za každý zriadený osobitný používateľský účet alebo podúčet a za každý aj začatý mesiac. Od úhrady </w:t>
      </w:r>
      <w:r w:rsidR="00C83AA7">
        <w:rPr>
          <w:rFonts w:ascii="Times New Roman" w:eastAsia="Calibri" w:hAnsi="Times New Roman" w:cs="Times New Roman"/>
          <w:bCs/>
          <w:color w:val="000000"/>
          <w:sz w:val="24"/>
          <w:szCs w:val="24"/>
        </w:rPr>
        <w:t>budú</w:t>
      </w:r>
      <w:r w:rsidR="00C83AA7" w:rsidRPr="00C83AA7">
        <w:rPr>
          <w:rFonts w:ascii="Times New Roman" w:eastAsia="Calibri" w:hAnsi="Times New Roman" w:cs="Times New Roman"/>
          <w:bCs/>
          <w:color w:val="000000"/>
          <w:sz w:val="24"/>
          <w:szCs w:val="24"/>
        </w:rPr>
        <w:t xml:space="preserve"> oslobodené osoby, ktoré sú oslobodené od </w:t>
      </w:r>
      <w:r w:rsidR="00C83AA7">
        <w:rPr>
          <w:rFonts w:ascii="Times New Roman" w:eastAsia="Calibri" w:hAnsi="Times New Roman" w:cs="Times New Roman"/>
          <w:bCs/>
          <w:color w:val="000000"/>
          <w:sz w:val="24"/>
          <w:szCs w:val="24"/>
        </w:rPr>
        <w:t xml:space="preserve">platenia </w:t>
      </w:r>
      <w:r w:rsidR="00C83AA7" w:rsidRPr="00C83AA7">
        <w:rPr>
          <w:rFonts w:ascii="Times New Roman" w:eastAsia="Calibri" w:hAnsi="Times New Roman" w:cs="Times New Roman"/>
          <w:bCs/>
          <w:color w:val="000000"/>
          <w:sz w:val="24"/>
          <w:szCs w:val="24"/>
        </w:rPr>
        <w:t>správnych poplatkov.</w:t>
      </w:r>
    </w:p>
    <w:p w14:paraId="314BC9C5" w14:textId="77777777" w:rsidR="00F9561E" w:rsidRP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t>Údaje katastra zverejnené na katastrálnych portáloch využívajú najčastejšie fyzické osoby, ktoré si chcú skontrolovať údaje o nehnuteľnostiach, pričom tieto údaje ďalej nespracúvajú.</w:t>
      </w:r>
    </w:p>
    <w:p w14:paraId="1FE52028" w14:textId="77777777" w:rsidR="00F9561E" w:rsidRDefault="00F9561E" w:rsidP="00CE3164">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color w:val="000000"/>
          <w:sz w:val="24"/>
          <w:szCs w:val="24"/>
        </w:rPr>
        <w:lastRenderedPageBreak/>
        <w:t>Prihlasovanie do jednotlivých informačných systémov v súčasnej dobe predstavuje štandard v zabezpečení ochrany, pri počítačovej gramotnosti ich užívateľov nepredstavuje žiadne zvýšené náklady.</w:t>
      </w:r>
    </w:p>
    <w:p w14:paraId="5BAB019D" w14:textId="79AEB426" w:rsidR="00F9561E" w:rsidRPr="00C83AA7" w:rsidRDefault="00C83AA7" w:rsidP="00CE3164">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Pri výpočte vychádzal ÚGKK SR z počtu doručených návrhov na vklad a návrhov na vykonanie záznamu do katastra za rok 2024, pričom ako podklad pre vyhotovenie týchto listín bol minimálne jeden výpis z listu vlastníctva (napr. na účely dedičského konania, ktorého výsledok sa zapisuje do katastra záznamom, sú výpisy z listu vlastníctva poskytované bezodplatne). Na základe uvedeného ÚGKK SR predpokladá celkový počet poskytnutých výpisov z listu vlastníctva prostredníctvom špecializovaného portálu vo výške 400 000 výpisov. </w:t>
      </w:r>
      <w:r w:rsidR="00F9561E" w:rsidRPr="00F9561E">
        <w:rPr>
          <w:rFonts w:ascii="Times New Roman" w:eastAsia="Calibri" w:hAnsi="Times New Roman" w:cs="Times New Roman"/>
          <w:bCs/>
          <w:color w:val="000000"/>
          <w:sz w:val="24"/>
          <w:szCs w:val="24"/>
        </w:rPr>
        <w:t xml:space="preserve">Keďže </w:t>
      </w:r>
      <w:r>
        <w:rPr>
          <w:rFonts w:ascii="Times New Roman" w:eastAsia="Calibri" w:hAnsi="Times New Roman" w:cs="Times New Roman"/>
          <w:bCs/>
          <w:color w:val="000000"/>
          <w:sz w:val="24"/>
          <w:szCs w:val="24"/>
        </w:rPr>
        <w:t xml:space="preserve">ÚGKK SR </w:t>
      </w:r>
      <w:r w:rsidR="00F9561E" w:rsidRPr="00F9561E">
        <w:rPr>
          <w:rFonts w:ascii="Times New Roman" w:eastAsia="Calibri" w:hAnsi="Times New Roman" w:cs="Times New Roman"/>
          <w:bCs/>
          <w:color w:val="000000"/>
          <w:sz w:val="24"/>
          <w:szCs w:val="24"/>
        </w:rPr>
        <w:t>nemá k dispozícii presnú štatistiku o podnikateľoch pristupujúcich na katastrálne portáli, odhadli sme počet dotknutých subjektov</w:t>
      </w:r>
      <w:r w:rsidR="007838E2">
        <w:rPr>
          <w:rFonts w:ascii="Times New Roman" w:eastAsia="Calibri" w:hAnsi="Times New Roman" w:cs="Times New Roman"/>
          <w:bCs/>
          <w:color w:val="000000"/>
          <w:sz w:val="24"/>
          <w:szCs w:val="24"/>
        </w:rPr>
        <w:t>,</w:t>
      </w:r>
      <w:r w:rsidR="00F9561E" w:rsidRPr="00F9561E">
        <w:rPr>
          <w:rFonts w:ascii="Times New Roman" w:eastAsia="Calibri" w:hAnsi="Times New Roman" w:cs="Times New Roman"/>
          <w:bCs/>
          <w:color w:val="000000"/>
          <w:sz w:val="24"/>
          <w:szCs w:val="24"/>
        </w:rPr>
        <w:t xml:space="preserve"> </w:t>
      </w:r>
      <w:r w:rsidR="007838E2">
        <w:rPr>
          <w:rFonts w:ascii="Times New Roman" w:eastAsia="Calibri" w:hAnsi="Times New Roman" w:cs="Times New Roman"/>
          <w:bCs/>
          <w:color w:val="000000"/>
          <w:sz w:val="24"/>
          <w:szCs w:val="24"/>
        </w:rPr>
        <w:t>ktorých sa dotkne</w:t>
      </w:r>
      <w:r w:rsidR="007838E2" w:rsidRPr="00F9561E">
        <w:rPr>
          <w:rFonts w:ascii="Times New Roman" w:eastAsia="Calibri" w:hAnsi="Times New Roman" w:cs="Times New Roman"/>
          <w:bCs/>
          <w:color w:val="000000"/>
          <w:sz w:val="24"/>
          <w:szCs w:val="24"/>
        </w:rPr>
        <w:t xml:space="preserve"> </w:t>
      </w:r>
      <w:r w:rsidR="007838E2">
        <w:rPr>
          <w:rFonts w:ascii="Times New Roman" w:eastAsia="Calibri" w:hAnsi="Times New Roman" w:cs="Times New Roman"/>
          <w:bCs/>
          <w:color w:val="000000"/>
          <w:sz w:val="24"/>
          <w:szCs w:val="24"/>
        </w:rPr>
        <w:t>r</w:t>
      </w:r>
      <w:r w:rsidR="007838E2" w:rsidRPr="00F9561E">
        <w:rPr>
          <w:rFonts w:ascii="Times New Roman" w:eastAsia="Calibri" w:hAnsi="Times New Roman" w:cs="Times New Roman"/>
          <w:bCs/>
          <w:color w:val="000000"/>
          <w:sz w:val="24"/>
          <w:szCs w:val="24"/>
        </w:rPr>
        <w:t>egulácia</w:t>
      </w:r>
      <w:r w:rsidR="007838E2">
        <w:rPr>
          <w:rFonts w:ascii="Times New Roman" w:eastAsia="Calibri" w:hAnsi="Times New Roman" w:cs="Times New Roman"/>
          <w:bCs/>
          <w:color w:val="000000"/>
          <w:sz w:val="24"/>
          <w:szCs w:val="24"/>
        </w:rPr>
        <w:t>,</w:t>
      </w:r>
      <w:r w:rsidR="007838E2" w:rsidRPr="00F9561E">
        <w:rPr>
          <w:rFonts w:ascii="Times New Roman" w:eastAsia="Calibri" w:hAnsi="Times New Roman" w:cs="Times New Roman"/>
          <w:bCs/>
          <w:color w:val="000000"/>
          <w:sz w:val="24"/>
          <w:szCs w:val="24"/>
        </w:rPr>
        <w:t xml:space="preserve"> </w:t>
      </w:r>
      <w:r w:rsidR="00F9561E" w:rsidRPr="00F9561E">
        <w:rPr>
          <w:rFonts w:ascii="Times New Roman" w:eastAsia="Calibri" w:hAnsi="Times New Roman" w:cs="Times New Roman"/>
          <w:bCs/>
          <w:color w:val="000000"/>
          <w:sz w:val="24"/>
          <w:szCs w:val="24"/>
        </w:rPr>
        <w:t xml:space="preserve">na modelovom príklade s počtom </w:t>
      </w:r>
      <w:r w:rsidR="00582AA8">
        <w:rPr>
          <w:rFonts w:ascii="Times New Roman" w:eastAsia="Calibri" w:hAnsi="Times New Roman" w:cs="Times New Roman"/>
          <w:bCs/>
          <w:color w:val="000000"/>
          <w:sz w:val="24"/>
          <w:szCs w:val="24"/>
        </w:rPr>
        <w:t>2</w:t>
      </w:r>
      <w:r w:rsidR="00CE3164">
        <w:rPr>
          <w:rFonts w:ascii="Times New Roman" w:eastAsia="Calibri" w:hAnsi="Times New Roman" w:cs="Times New Roman"/>
          <w:bCs/>
          <w:color w:val="000000"/>
          <w:sz w:val="24"/>
          <w:szCs w:val="24"/>
        </w:rPr>
        <w:t>00</w:t>
      </w:r>
      <w:r>
        <w:rPr>
          <w:rFonts w:ascii="Times New Roman" w:eastAsia="Calibri" w:hAnsi="Times New Roman" w:cs="Times New Roman"/>
          <w:bCs/>
          <w:color w:val="000000"/>
          <w:sz w:val="24"/>
          <w:szCs w:val="24"/>
        </w:rPr>
        <w:t> </w:t>
      </w:r>
      <w:r w:rsidR="00CE3164">
        <w:rPr>
          <w:rFonts w:ascii="Times New Roman" w:eastAsia="Calibri" w:hAnsi="Times New Roman" w:cs="Times New Roman"/>
          <w:bCs/>
          <w:color w:val="000000"/>
          <w:sz w:val="24"/>
          <w:szCs w:val="24"/>
        </w:rPr>
        <w:t>000</w:t>
      </w:r>
      <w:r>
        <w:rPr>
          <w:rFonts w:ascii="Times New Roman" w:eastAsia="Calibri" w:hAnsi="Times New Roman" w:cs="Times New Roman"/>
          <w:bCs/>
          <w:color w:val="000000"/>
          <w:sz w:val="24"/>
          <w:szCs w:val="24"/>
        </w:rPr>
        <w:t xml:space="preserve"> (cca 7 300 člen</w:t>
      </w:r>
      <w:r w:rsidR="007838E2">
        <w:rPr>
          <w:rFonts w:ascii="Times New Roman" w:eastAsia="Calibri" w:hAnsi="Times New Roman" w:cs="Times New Roman"/>
          <w:bCs/>
          <w:color w:val="000000"/>
          <w:sz w:val="24"/>
          <w:szCs w:val="24"/>
        </w:rPr>
        <w:t>ov advokátskej komory, cca 2 000 realitných kancelárií, cca 20 bánk pôsobiacich na Slovensku</w:t>
      </w:r>
      <w:r w:rsidR="00234011">
        <w:rPr>
          <w:rFonts w:ascii="Times New Roman" w:eastAsia="Calibri" w:hAnsi="Times New Roman" w:cs="Times New Roman"/>
          <w:bCs/>
          <w:color w:val="000000"/>
          <w:sz w:val="24"/>
          <w:szCs w:val="24"/>
        </w:rPr>
        <w:t xml:space="preserve"> a ich zamestnanci, ktorým budú zriaďované podúčty</w:t>
      </w:r>
      <w:r w:rsidR="007838E2">
        <w:rPr>
          <w:rFonts w:ascii="Times New Roman" w:eastAsia="Calibri" w:hAnsi="Times New Roman" w:cs="Times New Roman"/>
          <w:bCs/>
          <w:color w:val="000000"/>
          <w:sz w:val="24"/>
          <w:szCs w:val="24"/>
        </w:rPr>
        <w:t>).</w:t>
      </w:r>
    </w:p>
    <w:p w14:paraId="02DD91BA" w14:textId="77777777" w:rsidR="00CE3164" w:rsidRPr="00F9561E" w:rsidRDefault="00CE3164" w:rsidP="00CE3164">
      <w:pPr>
        <w:spacing w:after="0" w:line="240" w:lineRule="auto"/>
        <w:jc w:val="both"/>
        <w:rPr>
          <w:rFonts w:ascii="Times New Roman" w:eastAsia="Calibri" w:hAnsi="Times New Roman" w:cs="Times New Roman"/>
          <w:bCs/>
          <w:color w:val="000000"/>
          <w:sz w:val="24"/>
          <w:szCs w:val="24"/>
        </w:rPr>
      </w:pPr>
    </w:p>
    <w:p w14:paraId="0094DF0B" w14:textId="555F9ED3" w:rsidR="002D3C8C" w:rsidRDefault="008C1B90" w:rsidP="00CE3164">
      <w:pPr>
        <w:numPr>
          <w:ilvl w:val="0"/>
          <w:numId w:val="15"/>
        </w:numPr>
        <w:spacing w:after="0" w:line="240" w:lineRule="auto"/>
        <w:ind w:left="284"/>
        <w:jc w:val="both"/>
        <w:rPr>
          <w:rFonts w:ascii="Times New Roman" w:eastAsia="Calibri" w:hAnsi="Times New Roman" w:cs="Times New Roman"/>
          <w:b/>
          <w:bCs/>
          <w:color w:val="000000"/>
          <w:sz w:val="24"/>
          <w:szCs w:val="24"/>
        </w:rPr>
      </w:pPr>
      <w:bookmarkStart w:id="6" w:name="_Hlk171425123"/>
      <w:r w:rsidRPr="008C1B90">
        <w:rPr>
          <w:rFonts w:ascii="Times New Roman" w:eastAsia="Calibri" w:hAnsi="Times New Roman" w:cs="Times New Roman"/>
          <w:b/>
          <w:bCs/>
          <w:color w:val="000000"/>
          <w:sz w:val="24"/>
          <w:szCs w:val="24"/>
        </w:rPr>
        <w:t>Vypustenie pokuty za neohlásenie zmeny údajov katastra</w:t>
      </w:r>
      <w:r w:rsidR="00F94D5A">
        <w:rPr>
          <w:rFonts w:ascii="Times New Roman" w:eastAsia="Calibri" w:hAnsi="Times New Roman" w:cs="Times New Roman"/>
          <w:b/>
          <w:bCs/>
          <w:color w:val="000000"/>
          <w:sz w:val="24"/>
          <w:szCs w:val="24"/>
        </w:rPr>
        <w:t>,</w:t>
      </w:r>
      <w:r w:rsidRPr="008C1B90">
        <w:rPr>
          <w:rFonts w:ascii="Times New Roman" w:eastAsia="Calibri" w:hAnsi="Times New Roman" w:cs="Times New Roman"/>
          <w:b/>
          <w:bCs/>
          <w:color w:val="000000"/>
          <w:sz w:val="24"/>
          <w:szCs w:val="24"/>
        </w:rPr>
        <w:t xml:space="preserve"> týkajúce</w:t>
      </w:r>
      <w:r w:rsidR="00F94D5A">
        <w:rPr>
          <w:rFonts w:ascii="Times New Roman" w:eastAsia="Calibri" w:hAnsi="Times New Roman" w:cs="Times New Roman"/>
          <w:b/>
          <w:bCs/>
          <w:color w:val="000000"/>
          <w:sz w:val="24"/>
          <w:szCs w:val="24"/>
        </w:rPr>
        <w:t>j</w:t>
      </w:r>
      <w:r w:rsidRPr="008C1B90">
        <w:rPr>
          <w:rFonts w:ascii="Times New Roman" w:eastAsia="Calibri" w:hAnsi="Times New Roman" w:cs="Times New Roman"/>
          <w:b/>
          <w:bCs/>
          <w:color w:val="000000"/>
          <w:sz w:val="24"/>
          <w:szCs w:val="24"/>
        </w:rPr>
        <w:t xml:space="preserve"> sa nehnuteľnosti, ktorej je </w:t>
      </w:r>
      <w:r w:rsidR="00F94D5A">
        <w:rPr>
          <w:rFonts w:ascii="Times New Roman" w:eastAsia="Calibri" w:hAnsi="Times New Roman" w:cs="Times New Roman"/>
          <w:b/>
          <w:bCs/>
          <w:color w:val="000000"/>
          <w:sz w:val="24"/>
          <w:szCs w:val="24"/>
        </w:rPr>
        <w:t xml:space="preserve">osoba </w:t>
      </w:r>
      <w:r w:rsidRPr="008C1B90">
        <w:rPr>
          <w:rFonts w:ascii="Times New Roman" w:eastAsia="Calibri" w:hAnsi="Times New Roman" w:cs="Times New Roman"/>
          <w:b/>
          <w:bCs/>
          <w:color w:val="000000"/>
          <w:sz w:val="24"/>
          <w:szCs w:val="24"/>
        </w:rPr>
        <w:t>vlastníkom alebo držiteľom, alebo nájomcom, v lehote ustanovenej týmto zákonom</w:t>
      </w:r>
      <w:bookmarkEnd w:id="6"/>
      <w:r>
        <w:rPr>
          <w:rFonts w:ascii="Times New Roman" w:eastAsia="Calibri" w:hAnsi="Times New Roman" w:cs="Times New Roman"/>
          <w:b/>
          <w:bCs/>
          <w:color w:val="000000"/>
          <w:sz w:val="24"/>
          <w:szCs w:val="24"/>
        </w:rPr>
        <w:t xml:space="preserve"> </w:t>
      </w:r>
    </w:p>
    <w:p w14:paraId="158410F5" w14:textId="6A9D6588" w:rsidR="008C1B90" w:rsidRDefault="00171A8E" w:rsidP="00CE3164">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P</w:t>
      </w:r>
      <w:r w:rsidR="008C1B90" w:rsidRPr="008C1B90">
        <w:rPr>
          <w:rFonts w:ascii="Times New Roman" w:eastAsia="Calibri" w:hAnsi="Times New Roman" w:cs="Times New Roman"/>
          <w:color w:val="000000"/>
          <w:sz w:val="24"/>
          <w:szCs w:val="24"/>
        </w:rPr>
        <w:t>okut</w:t>
      </w:r>
      <w:r>
        <w:rPr>
          <w:rFonts w:ascii="Times New Roman" w:eastAsia="Calibri" w:hAnsi="Times New Roman" w:cs="Times New Roman"/>
          <w:color w:val="000000"/>
          <w:sz w:val="24"/>
          <w:szCs w:val="24"/>
        </w:rPr>
        <w:t>a</w:t>
      </w:r>
      <w:r w:rsidR="008C1B90" w:rsidRPr="008C1B90">
        <w:rPr>
          <w:rFonts w:ascii="Times New Roman" w:eastAsia="Calibri" w:hAnsi="Times New Roman" w:cs="Times New Roman"/>
          <w:color w:val="000000"/>
          <w:sz w:val="24"/>
          <w:szCs w:val="24"/>
        </w:rPr>
        <w:t xml:space="preserve"> za neohlásenie zmeny údajov katastra</w:t>
      </w:r>
      <w:r w:rsidR="004842E7">
        <w:rPr>
          <w:rFonts w:ascii="Times New Roman" w:eastAsia="Calibri" w:hAnsi="Times New Roman" w:cs="Times New Roman"/>
          <w:color w:val="000000"/>
          <w:sz w:val="24"/>
          <w:szCs w:val="24"/>
        </w:rPr>
        <w:t>,</w:t>
      </w:r>
      <w:r w:rsidR="008C1B90" w:rsidRPr="008C1B90">
        <w:rPr>
          <w:rFonts w:ascii="Times New Roman" w:eastAsia="Calibri" w:hAnsi="Times New Roman" w:cs="Times New Roman"/>
          <w:color w:val="000000"/>
          <w:sz w:val="24"/>
          <w:szCs w:val="24"/>
        </w:rPr>
        <w:t xml:space="preserve"> týkajúce</w:t>
      </w:r>
      <w:r w:rsidR="004842E7">
        <w:rPr>
          <w:rFonts w:ascii="Times New Roman" w:eastAsia="Calibri" w:hAnsi="Times New Roman" w:cs="Times New Roman"/>
          <w:color w:val="000000"/>
          <w:sz w:val="24"/>
          <w:szCs w:val="24"/>
        </w:rPr>
        <w:t>j</w:t>
      </w:r>
      <w:r w:rsidR="008C1B90" w:rsidRPr="008C1B90">
        <w:rPr>
          <w:rFonts w:ascii="Times New Roman" w:eastAsia="Calibri" w:hAnsi="Times New Roman" w:cs="Times New Roman"/>
          <w:color w:val="000000"/>
          <w:sz w:val="24"/>
          <w:szCs w:val="24"/>
        </w:rPr>
        <w:t xml:space="preserve"> sa nehnuteľnosti, ktorej je </w:t>
      </w:r>
      <w:r w:rsidR="004842E7">
        <w:rPr>
          <w:rFonts w:ascii="Times New Roman" w:eastAsia="Calibri" w:hAnsi="Times New Roman" w:cs="Times New Roman"/>
          <w:color w:val="000000"/>
          <w:sz w:val="24"/>
          <w:szCs w:val="24"/>
        </w:rPr>
        <w:t xml:space="preserve">podnikateľ </w:t>
      </w:r>
      <w:r w:rsidR="008C1B90" w:rsidRPr="008C1B90">
        <w:rPr>
          <w:rFonts w:ascii="Times New Roman" w:eastAsia="Calibri" w:hAnsi="Times New Roman" w:cs="Times New Roman"/>
          <w:color w:val="000000"/>
          <w:sz w:val="24"/>
          <w:szCs w:val="24"/>
        </w:rPr>
        <w:t>vlastníkom alebo držiteľom, alebo nájomcom, v lehote ustanovenej týmto zákonom</w:t>
      </w:r>
      <w:r w:rsidR="004842E7">
        <w:rPr>
          <w:rFonts w:ascii="Times New Roman" w:eastAsia="Calibri" w:hAnsi="Times New Roman" w:cs="Times New Roman"/>
          <w:color w:val="000000"/>
          <w:sz w:val="24"/>
          <w:szCs w:val="24"/>
        </w:rPr>
        <w:t>,</w:t>
      </w:r>
      <w:r w:rsidR="008C1B90" w:rsidRPr="008C1B90">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sa podľa interných informácií ÚGKK SR v praxi neudeľovala, a to z dôvodu plnenia dôležitejších úloh na úseku katastra. Vypustenie pokuty je odôvodnené </w:t>
      </w:r>
      <w:r w:rsidR="008C1B90">
        <w:rPr>
          <w:rFonts w:ascii="Times New Roman" w:eastAsia="Calibri" w:hAnsi="Times New Roman" w:cs="Times New Roman"/>
          <w:color w:val="000000"/>
          <w:sz w:val="24"/>
          <w:szCs w:val="24"/>
        </w:rPr>
        <w:t>schopnosť</w:t>
      </w:r>
      <w:r>
        <w:rPr>
          <w:rFonts w:ascii="Times New Roman" w:eastAsia="Calibri" w:hAnsi="Times New Roman" w:cs="Times New Roman"/>
          <w:color w:val="000000"/>
          <w:sz w:val="24"/>
          <w:szCs w:val="24"/>
        </w:rPr>
        <w:t>ou</w:t>
      </w:r>
      <w:r w:rsidR="008C1B90">
        <w:rPr>
          <w:rFonts w:ascii="Times New Roman" w:eastAsia="Calibri" w:hAnsi="Times New Roman" w:cs="Times New Roman"/>
          <w:color w:val="000000"/>
          <w:sz w:val="24"/>
          <w:szCs w:val="24"/>
        </w:rPr>
        <w:t xml:space="preserve"> ÚGKK SR ako správcu </w:t>
      </w:r>
      <w:r w:rsidR="004842E7">
        <w:rPr>
          <w:rFonts w:ascii="Times New Roman" w:eastAsia="Calibri" w:hAnsi="Times New Roman" w:cs="Times New Roman"/>
          <w:color w:val="000000"/>
          <w:sz w:val="24"/>
          <w:szCs w:val="24"/>
        </w:rPr>
        <w:t>informačného systému</w:t>
      </w:r>
      <w:r w:rsidR="008C1B90">
        <w:rPr>
          <w:rFonts w:ascii="Times New Roman" w:eastAsia="Calibri" w:hAnsi="Times New Roman" w:cs="Times New Roman"/>
          <w:color w:val="000000"/>
          <w:sz w:val="24"/>
          <w:szCs w:val="24"/>
        </w:rPr>
        <w:t xml:space="preserve"> opravovať tieto údaje katastra automatizovaným spôsobom, najmä z referenčných registrov verejnej správy. </w:t>
      </w:r>
      <w:r>
        <w:rPr>
          <w:rFonts w:ascii="Times New Roman" w:eastAsia="Calibri" w:hAnsi="Times New Roman" w:cs="Times New Roman"/>
          <w:color w:val="000000"/>
          <w:sz w:val="24"/>
          <w:szCs w:val="24"/>
        </w:rPr>
        <w:t xml:space="preserve">Z tohto dôvodu neexistuje štatistika ohľadom páchania tohto priestupku, resp. porušenia poriadku na úseku katastra. ÚGKK SR preto uvádza počet </w:t>
      </w:r>
      <w:r w:rsidR="008C1B90">
        <w:rPr>
          <w:rFonts w:ascii="Times New Roman" w:eastAsia="Calibri" w:hAnsi="Times New Roman" w:cs="Times New Roman"/>
          <w:color w:val="000000"/>
          <w:sz w:val="24"/>
          <w:szCs w:val="24"/>
        </w:rPr>
        <w:t xml:space="preserve">dotknutých subjektov </w:t>
      </w:r>
      <w:r>
        <w:rPr>
          <w:rFonts w:ascii="Times New Roman" w:eastAsia="Calibri" w:hAnsi="Times New Roman" w:cs="Times New Roman"/>
          <w:color w:val="000000"/>
          <w:sz w:val="24"/>
          <w:szCs w:val="24"/>
        </w:rPr>
        <w:t>na modelovom prípade</w:t>
      </w:r>
      <w:r w:rsidR="008C1B90">
        <w:rPr>
          <w:rFonts w:ascii="Times New Roman" w:eastAsia="Calibri" w:hAnsi="Times New Roman" w:cs="Times New Roman"/>
          <w:color w:val="000000"/>
          <w:sz w:val="24"/>
          <w:szCs w:val="24"/>
        </w:rPr>
        <w:t xml:space="preserve"> 100</w:t>
      </w:r>
      <w:r>
        <w:rPr>
          <w:rFonts w:ascii="Times New Roman" w:eastAsia="Calibri" w:hAnsi="Times New Roman" w:cs="Times New Roman"/>
          <w:color w:val="000000"/>
          <w:sz w:val="24"/>
          <w:szCs w:val="24"/>
        </w:rPr>
        <w:t xml:space="preserve"> subjektov</w:t>
      </w:r>
      <w:r w:rsidR="008C1B90">
        <w:rPr>
          <w:rFonts w:ascii="Times New Roman" w:eastAsia="Calibri" w:hAnsi="Times New Roman" w:cs="Times New Roman"/>
          <w:color w:val="000000"/>
          <w:sz w:val="24"/>
          <w:szCs w:val="24"/>
        </w:rPr>
        <w:t>.</w:t>
      </w:r>
    </w:p>
    <w:p w14:paraId="14EA63CB" w14:textId="77777777" w:rsidR="00F94D5A" w:rsidRDefault="00F94D5A" w:rsidP="00CE3164">
      <w:pPr>
        <w:spacing w:after="0" w:line="240" w:lineRule="auto"/>
        <w:jc w:val="both"/>
        <w:rPr>
          <w:rFonts w:ascii="Times New Roman" w:eastAsia="Calibri" w:hAnsi="Times New Roman" w:cs="Times New Roman"/>
          <w:color w:val="000000"/>
          <w:sz w:val="24"/>
          <w:szCs w:val="24"/>
        </w:rPr>
      </w:pPr>
    </w:p>
    <w:p w14:paraId="38C2A5B8" w14:textId="77777777" w:rsidR="00F94D5A" w:rsidRPr="00B517AC" w:rsidRDefault="00F94D5A" w:rsidP="00F94D5A">
      <w:pPr>
        <w:pStyle w:val="Odsekzoznamu"/>
        <w:numPr>
          <w:ilvl w:val="0"/>
          <w:numId w:val="15"/>
        </w:num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Zavedenie </w:t>
      </w:r>
      <w:r w:rsidRPr="00B70F57">
        <w:rPr>
          <w:rFonts w:ascii="Times New Roman" w:eastAsia="Times New Roman" w:hAnsi="Times New Roman" w:cs="Times New Roman"/>
          <w:b/>
          <w:bCs/>
          <w:sz w:val="24"/>
          <w:szCs w:val="24"/>
          <w:lang w:eastAsia="sk-SK"/>
        </w:rPr>
        <w:t xml:space="preserve">nových </w:t>
      </w:r>
      <w:r w:rsidRPr="00B70F57">
        <w:rPr>
          <w:rFonts w:ascii="Times New Roman" w:eastAsia="Calibri" w:hAnsi="Times New Roman" w:cs="Times New Roman"/>
          <w:b/>
          <w:bCs/>
          <w:sz w:val="24"/>
          <w:szCs w:val="24"/>
        </w:rPr>
        <w:t>pokút za priestupky a porušenia poriadku na úseku katastra</w:t>
      </w:r>
    </w:p>
    <w:p w14:paraId="509A8934" w14:textId="77777777" w:rsidR="00A42E14" w:rsidRDefault="008C1B90" w:rsidP="00CE3164">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Zavedenie nových skutkových podstát priestupkov na úseku katastra, t. j. priestupk</w:t>
      </w:r>
      <w:r w:rsidR="00A87701">
        <w:rPr>
          <w:rFonts w:ascii="Times New Roman" w:eastAsia="Calibri" w:hAnsi="Times New Roman" w:cs="Times New Roman"/>
          <w:color w:val="000000"/>
          <w:sz w:val="24"/>
          <w:szCs w:val="24"/>
        </w:rPr>
        <w:t xml:space="preserve">ov (i) </w:t>
      </w:r>
      <w:r w:rsidR="00A87701" w:rsidRPr="00A87701">
        <w:rPr>
          <w:rFonts w:ascii="Times New Roman" w:eastAsia="Calibri" w:hAnsi="Times New Roman" w:cs="Times New Roman"/>
          <w:color w:val="000000"/>
          <w:sz w:val="24"/>
          <w:szCs w:val="24"/>
        </w:rPr>
        <w:t>poškodenie, neoprávnené premiestnenie, odstrán</w:t>
      </w:r>
      <w:r w:rsidR="00B51E37">
        <w:rPr>
          <w:rFonts w:ascii="Times New Roman" w:eastAsia="Calibri" w:hAnsi="Times New Roman" w:cs="Times New Roman"/>
          <w:color w:val="000000"/>
          <w:sz w:val="24"/>
          <w:szCs w:val="24"/>
        </w:rPr>
        <w:t>enie</w:t>
      </w:r>
      <w:r w:rsidR="00A87701" w:rsidRPr="00A87701">
        <w:rPr>
          <w:rFonts w:ascii="Times New Roman" w:eastAsia="Calibri" w:hAnsi="Times New Roman" w:cs="Times New Roman"/>
          <w:color w:val="000000"/>
          <w:sz w:val="24"/>
          <w:szCs w:val="24"/>
        </w:rPr>
        <w:t xml:space="preserve"> alebo zničenie meračskej značky, signálu alebo iného zariadenia geodetického bodu geodetických základov,</w:t>
      </w:r>
      <w:r w:rsidR="00A87701">
        <w:rPr>
          <w:rFonts w:ascii="Times New Roman" w:eastAsia="Calibri" w:hAnsi="Times New Roman" w:cs="Times New Roman"/>
          <w:color w:val="000000"/>
          <w:sz w:val="24"/>
          <w:szCs w:val="24"/>
        </w:rPr>
        <w:t xml:space="preserve"> (ii)</w:t>
      </w:r>
      <w:r w:rsidR="00A87701" w:rsidRPr="00A87701">
        <w:rPr>
          <w:rFonts w:ascii="Times New Roman" w:eastAsia="Calibri" w:hAnsi="Times New Roman" w:cs="Times New Roman"/>
          <w:color w:val="000000"/>
          <w:sz w:val="24"/>
          <w:szCs w:val="24"/>
        </w:rPr>
        <w:t xml:space="preserve"> automatizovaným spôsobom s použitím technických prostriedkov </w:t>
      </w:r>
      <w:r w:rsidR="00A42E14">
        <w:rPr>
          <w:rFonts w:ascii="Times New Roman" w:eastAsia="Calibri" w:hAnsi="Times New Roman" w:cs="Times New Roman"/>
          <w:color w:val="000000"/>
          <w:sz w:val="24"/>
          <w:szCs w:val="24"/>
        </w:rPr>
        <w:t>hromadné získanie a neoprávnené použitie</w:t>
      </w:r>
      <w:r w:rsidR="00A87701" w:rsidRPr="00A87701">
        <w:rPr>
          <w:rFonts w:ascii="Times New Roman" w:eastAsia="Calibri" w:hAnsi="Times New Roman" w:cs="Times New Roman"/>
          <w:color w:val="000000"/>
          <w:sz w:val="24"/>
          <w:szCs w:val="24"/>
        </w:rPr>
        <w:t xml:space="preserve"> údaj</w:t>
      </w:r>
      <w:r w:rsidR="00A42E14">
        <w:rPr>
          <w:rFonts w:ascii="Times New Roman" w:eastAsia="Calibri" w:hAnsi="Times New Roman" w:cs="Times New Roman"/>
          <w:color w:val="000000"/>
          <w:sz w:val="24"/>
          <w:szCs w:val="24"/>
        </w:rPr>
        <w:t>e</w:t>
      </w:r>
      <w:r w:rsidR="00A87701" w:rsidRPr="00A87701">
        <w:rPr>
          <w:rFonts w:ascii="Times New Roman" w:eastAsia="Calibri" w:hAnsi="Times New Roman" w:cs="Times New Roman"/>
          <w:color w:val="000000"/>
          <w:sz w:val="24"/>
          <w:szCs w:val="24"/>
        </w:rPr>
        <w:t xml:space="preserve"> katastra </w:t>
      </w:r>
      <w:r w:rsidR="00F2123B">
        <w:rPr>
          <w:rFonts w:ascii="Times New Roman" w:eastAsia="Calibri" w:hAnsi="Times New Roman" w:cs="Times New Roman"/>
          <w:color w:val="000000"/>
          <w:sz w:val="24"/>
          <w:szCs w:val="24"/>
        </w:rPr>
        <w:t xml:space="preserve">v rozpore s § 2 </w:t>
      </w:r>
      <w:r w:rsidR="00A87701">
        <w:rPr>
          <w:rFonts w:ascii="Times New Roman" w:eastAsia="Calibri" w:hAnsi="Times New Roman" w:cs="Times New Roman"/>
          <w:color w:val="000000"/>
          <w:sz w:val="24"/>
          <w:szCs w:val="24"/>
        </w:rPr>
        <w:t>a (iii)</w:t>
      </w:r>
      <w:r w:rsidR="00A87701" w:rsidRPr="00A87701">
        <w:rPr>
          <w:rFonts w:ascii="Times New Roman" w:eastAsia="Calibri" w:hAnsi="Times New Roman" w:cs="Times New Roman"/>
          <w:color w:val="000000"/>
          <w:sz w:val="24"/>
          <w:szCs w:val="24"/>
        </w:rPr>
        <w:t xml:space="preserve"> neoprávnen</w:t>
      </w:r>
      <w:r w:rsidR="00A87701">
        <w:rPr>
          <w:rFonts w:ascii="Times New Roman" w:eastAsia="Calibri" w:hAnsi="Times New Roman" w:cs="Times New Roman"/>
          <w:color w:val="000000"/>
          <w:sz w:val="24"/>
          <w:szCs w:val="24"/>
        </w:rPr>
        <w:t>é</w:t>
      </w:r>
      <w:r w:rsidR="00A87701" w:rsidRPr="00A87701">
        <w:rPr>
          <w:rFonts w:ascii="Times New Roman" w:eastAsia="Calibri" w:hAnsi="Times New Roman" w:cs="Times New Roman"/>
          <w:color w:val="000000"/>
          <w:sz w:val="24"/>
          <w:szCs w:val="24"/>
        </w:rPr>
        <w:t xml:space="preserve"> poskytn</w:t>
      </w:r>
      <w:r w:rsidR="00A87701">
        <w:rPr>
          <w:rFonts w:ascii="Times New Roman" w:eastAsia="Calibri" w:hAnsi="Times New Roman" w:cs="Times New Roman"/>
          <w:color w:val="000000"/>
          <w:sz w:val="24"/>
          <w:szCs w:val="24"/>
        </w:rPr>
        <w:t>utie</w:t>
      </w:r>
      <w:r w:rsidR="00A87701" w:rsidRPr="00A87701">
        <w:rPr>
          <w:rFonts w:ascii="Times New Roman" w:eastAsia="Calibri" w:hAnsi="Times New Roman" w:cs="Times New Roman"/>
          <w:color w:val="000000"/>
          <w:sz w:val="24"/>
          <w:szCs w:val="24"/>
        </w:rPr>
        <w:t>, sprístupn</w:t>
      </w:r>
      <w:r w:rsidR="00A87701">
        <w:rPr>
          <w:rFonts w:ascii="Times New Roman" w:eastAsia="Calibri" w:hAnsi="Times New Roman" w:cs="Times New Roman"/>
          <w:color w:val="000000"/>
          <w:sz w:val="24"/>
          <w:szCs w:val="24"/>
        </w:rPr>
        <w:t>enie</w:t>
      </w:r>
      <w:r w:rsidR="00A87701" w:rsidRPr="00A87701">
        <w:rPr>
          <w:rFonts w:ascii="Times New Roman" w:eastAsia="Calibri" w:hAnsi="Times New Roman" w:cs="Times New Roman"/>
          <w:color w:val="000000"/>
          <w:sz w:val="24"/>
          <w:szCs w:val="24"/>
        </w:rPr>
        <w:t>, zverejn</w:t>
      </w:r>
      <w:r w:rsidR="00A87701">
        <w:rPr>
          <w:rFonts w:ascii="Times New Roman" w:eastAsia="Calibri" w:hAnsi="Times New Roman" w:cs="Times New Roman"/>
          <w:color w:val="000000"/>
          <w:sz w:val="24"/>
          <w:szCs w:val="24"/>
        </w:rPr>
        <w:t>enie</w:t>
      </w:r>
      <w:r w:rsidR="00A87701" w:rsidRPr="00A87701">
        <w:rPr>
          <w:rFonts w:ascii="Times New Roman" w:eastAsia="Calibri" w:hAnsi="Times New Roman" w:cs="Times New Roman"/>
          <w:color w:val="000000"/>
          <w:sz w:val="24"/>
          <w:szCs w:val="24"/>
        </w:rPr>
        <w:t xml:space="preserve"> alebo in</w:t>
      </w:r>
      <w:r w:rsidR="00A87701">
        <w:rPr>
          <w:rFonts w:ascii="Times New Roman" w:eastAsia="Calibri" w:hAnsi="Times New Roman" w:cs="Times New Roman"/>
          <w:color w:val="000000"/>
          <w:sz w:val="24"/>
          <w:szCs w:val="24"/>
        </w:rPr>
        <w:t>é</w:t>
      </w:r>
      <w:r w:rsidR="00A87701" w:rsidRPr="00A87701">
        <w:rPr>
          <w:rFonts w:ascii="Times New Roman" w:eastAsia="Calibri" w:hAnsi="Times New Roman" w:cs="Times New Roman"/>
          <w:color w:val="000000"/>
          <w:sz w:val="24"/>
          <w:szCs w:val="24"/>
        </w:rPr>
        <w:t xml:space="preserve"> použi</w:t>
      </w:r>
      <w:r w:rsidR="00A87701">
        <w:rPr>
          <w:rFonts w:ascii="Times New Roman" w:eastAsia="Calibri" w:hAnsi="Times New Roman" w:cs="Times New Roman"/>
          <w:color w:val="000000"/>
          <w:sz w:val="24"/>
          <w:szCs w:val="24"/>
        </w:rPr>
        <w:t>tie</w:t>
      </w:r>
      <w:r w:rsidR="00A87701" w:rsidRPr="00A87701">
        <w:rPr>
          <w:rFonts w:ascii="Times New Roman" w:eastAsia="Calibri" w:hAnsi="Times New Roman" w:cs="Times New Roman"/>
          <w:color w:val="000000"/>
          <w:sz w:val="24"/>
          <w:szCs w:val="24"/>
        </w:rPr>
        <w:t xml:space="preserve"> údaj</w:t>
      </w:r>
      <w:r w:rsidR="00A87701">
        <w:rPr>
          <w:rFonts w:ascii="Times New Roman" w:eastAsia="Calibri" w:hAnsi="Times New Roman" w:cs="Times New Roman"/>
          <w:color w:val="000000"/>
          <w:sz w:val="24"/>
          <w:szCs w:val="24"/>
        </w:rPr>
        <w:t>ov</w:t>
      </w:r>
      <w:r w:rsidR="00A87701" w:rsidRPr="00A87701">
        <w:rPr>
          <w:rFonts w:ascii="Times New Roman" w:eastAsia="Calibri" w:hAnsi="Times New Roman" w:cs="Times New Roman"/>
          <w:color w:val="000000"/>
          <w:sz w:val="24"/>
          <w:szCs w:val="24"/>
        </w:rPr>
        <w:t xml:space="preserve"> katastra získan</w:t>
      </w:r>
      <w:r w:rsidR="00A42E14">
        <w:rPr>
          <w:rFonts w:ascii="Times New Roman" w:eastAsia="Calibri" w:hAnsi="Times New Roman" w:cs="Times New Roman"/>
          <w:color w:val="000000"/>
          <w:sz w:val="24"/>
          <w:szCs w:val="24"/>
        </w:rPr>
        <w:t>ých</w:t>
      </w:r>
      <w:r w:rsidR="00A87701" w:rsidRPr="00A87701">
        <w:rPr>
          <w:rFonts w:ascii="Times New Roman" w:eastAsia="Calibri" w:hAnsi="Times New Roman" w:cs="Times New Roman"/>
          <w:color w:val="000000"/>
          <w:sz w:val="24"/>
          <w:szCs w:val="24"/>
        </w:rPr>
        <w:t xml:space="preserve"> na základe zmluvy podľa § 69 ods. 1</w:t>
      </w:r>
      <w:r w:rsidR="00A42E14">
        <w:rPr>
          <w:rFonts w:ascii="Times New Roman" w:eastAsia="Calibri" w:hAnsi="Times New Roman" w:cs="Times New Roman"/>
          <w:color w:val="000000"/>
          <w:sz w:val="24"/>
          <w:szCs w:val="24"/>
        </w:rPr>
        <w:t>3</w:t>
      </w:r>
      <w:r w:rsidR="00A87701">
        <w:rPr>
          <w:rFonts w:ascii="Times New Roman" w:eastAsia="Calibri" w:hAnsi="Times New Roman" w:cs="Times New Roman"/>
          <w:color w:val="000000"/>
          <w:sz w:val="24"/>
          <w:szCs w:val="24"/>
        </w:rPr>
        <w:t xml:space="preserve"> katastrálneho zákona</w:t>
      </w:r>
      <w:r w:rsidR="00A42E14">
        <w:rPr>
          <w:rFonts w:ascii="Times New Roman" w:eastAsia="Calibri" w:hAnsi="Times New Roman" w:cs="Times New Roman"/>
          <w:color w:val="000000"/>
          <w:sz w:val="24"/>
          <w:szCs w:val="24"/>
        </w:rPr>
        <w:t>,</w:t>
      </w:r>
      <w:r w:rsidR="00A87701">
        <w:rPr>
          <w:rFonts w:ascii="Times New Roman" w:eastAsia="Calibri" w:hAnsi="Times New Roman" w:cs="Times New Roman"/>
          <w:color w:val="000000"/>
          <w:sz w:val="24"/>
          <w:szCs w:val="24"/>
        </w:rPr>
        <w:t xml:space="preserve"> reagujú na nové hrozby spojené s elektronizáciou služieb katastra a na zanedbávanú ochranu zariadení geodetických bodov geodetických základov. </w:t>
      </w:r>
    </w:p>
    <w:p w14:paraId="4C945DE8" w14:textId="10C42A61" w:rsidR="008C1B90" w:rsidRDefault="00A87701" w:rsidP="00CE3164">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 tejto chvíli nevieme predpokladať počet dotknutých podnikateľov touto reguláciou ani kvalifikovaným odhadom, nakoľko výskyt spáchaných novo prijatých skutkových podstát priestupkov odhadujeme v počte nižších jednotiek v horizonte niekoľkých rokov.</w:t>
      </w:r>
    </w:p>
    <w:p w14:paraId="59EFACD5" w14:textId="77777777" w:rsidR="00CE3164" w:rsidRPr="008C1B90" w:rsidRDefault="00CE3164" w:rsidP="00CE3164">
      <w:pPr>
        <w:spacing w:after="0" w:line="240" w:lineRule="auto"/>
        <w:jc w:val="both"/>
        <w:rPr>
          <w:rFonts w:ascii="Times New Roman" w:eastAsia="Calibri" w:hAnsi="Times New Roman" w:cs="Times New Roman"/>
          <w:color w:val="000000"/>
          <w:sz w:val="24"/>
          <w:szCs w:val="24"/>
        </w:rPr>
      </w:pPr>
    </w:p>
    <w:p w14:paraId="4A69D8C6" w14:textId="288B3C4B" w:rsidR="00F9561E" w:rsidRPr="00F9561E" w:rsidRDefault="003D71D4" w:rsidP="00CE3164">
      <w:pPr>
        <w:numPr>
          <w:ilvl w:val="0"/>
          <w:numId w:val="15"/>
        </w:numPr>
        <w:spacing w:after="0" w:line="240" w:lineRule="auto"/>
        <w:ind w:left="284"/>
        <w:jc w:val="both"/>
        <w:rPr>
          <w:rFonts w:ascii="Times New Roman" w:eastAsia="Calibri" w:hAnsi="Times New Roman" w:cs="Times New Roman"/>
          <w:b/>
          <w:bCs/>
          <w:color w:val="000000"/>
          <w:sz w:val="24"/>
          <w:szCs w:val="24"/>
        </w:rPr>
      </w:pPr>
      <w:r w:rsidRPr="00951740">
        <w:rPr>
          <w:rFonts w:ascii="Times New Roman" w:eastAsia="Calibri" w:hAnsi="Times New Roman" w:cs="Times New Roman"/>
          <w:b/>
          <w:bCs/>
          <w:color w:val="000000"/>
          <w:sz w:val="24"/>
          <w:szCs w:val="24"/>
        </w:rPr>
        <w:t>Zvýšenie správneho poplatku za návrh na  začatie  konania  o  povolení  vkladu práva k nehnuteľnosti do katastra nehnuteľností v elektronickej podobe prostredníctvom elektronickej podateľne ústredného portálu verejnej správy</w:t>
      </w:r>
      <w:r w:rsidR="00F9561E" w:rsidRPr="00F9561E">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rPr>
        <w:t>- bežné/zrýchlené konanie</w:t>
      </w:r>
    </w:p>
    <w:p w14:paraId="3B99133B" w14:textId="461EEA67" w:rsidR="003D71D4" w:rsidRPr="002D3C8C" w:rsidRDefault="003D71D4" w:rsidP="00CE3164">
      <w:pPr>
        <w:spacing w:after="0" w:line="240" w:lineRule="auto"/>
        <w:jc w:val="both"/>
        <w:rPr>
          <w:rFonts w:ascii="Times New Roman" w:eastAsia="Calibri" w:hAnsi="Times New Roman" w:cs="Times New Roman"/>
          <w:bCs/>
          <w:sz w:val="24"/>
          <w:szCs w:val="24"/>
        </w:rPr>
      </w:pPr>
      <w:bookmarkStart w:id="7" w:name="_Hlk171425084"/>
      <w:r w:rsidRPr="002D3C8C">
        <w:rPr>
          <w:rFonts w:ascii="Times New Roman" w:eastAsia="Calibri" w:hAnsi="Times New Roman" w:cs="Times New Roman"/>
          <w:bCs/>
          <w:sz w:val="24"/>
          <w:szCs w:val="24"/>
        </w:rPr>
        <w:t>Právna úprava reaguje na podávanie podaní prostredníctvom všeobecného formulára cez Ústredný portál verejnej správy (ÚPVS), nakoľko údaje z takto realizovaného podania je potrebné manuálne prevziať do informačných systémov orgánov štátnej správy na úseku katastra nehnuteľností. Účelom je motivovať verejnosť</w:t>
      </w:r>
      <w:r w:rsidR="002D3C8C" w:rsidRPr="002D3C8C">
        <w:rPr>
          <w:rFonts w:ascii="Times New Roman" w:eastAsia="Calibri" w:hAnsi="Times New Roman" w:cs="Times New Roman"/>
          <w:bCs/>
          <w:sz w:val="24"/>
          <w:szCs w:val="24"/>
        </w:rPr>
        <w:t>/podnikateľov</w:t>
      </w:r>
      <w:r w:rsidRPr="002D3C8C">
        <w:rPr>
          <w:rFonts w:ascii="Times New Roman" w:eastAsia="Calibri" w:hAnsi="Times New Roman" w:cs="Times New Roman"/>
          <w:bCs/>
          <w:sz w:val="24"/>
          <w:szCs w:val="24"/>
        </w:rPr>
        <w:t xml:space="preserve"> na podávanie návrhov na vklad prostredníctvom štruktúrovaného elektronického formulára. Podanie podané prostredníctvom takéhoto formulára umožňuje sťahovať údaje katastra priamo do formulára, čím sa okrem iného odstráni chybovosť podaní (napr. chyby v písaní) a skráti sa lehota na </w:t>
      </w:r>
      <w:r w:rsidRPr="002D3C8C">
        <w:rPr>
          <w:rFonts w:ascii="Times New Roman" w:eastAsia="Calibri" w:hAnsi="Times New Roman" w:cs="Times New Roman"/>
          <w:bCs/>
          <w:sz w:val="24"/>
          <w:szCs w:val="24"/>
        </w:rPr>
        <w:lastRenderedPageBreak/>
        <w:t>vyplnenie podania. Zľava z poplatku sa bude vzťahovať len na podania podané prostredníctvom štruktúrovaného elektronického formulára, keďže údaje z neho je možné automatizovane sťahovať do interných systémov.</w:t>
      </w:r>
      <w:bookmarkEnd w:id="7"/>
    </w:p>
    <w:p w14:paraId="06FAA5FB" w14:textId="684DF804" w:rsidR="00F9561E" w:rsidRDefault="00F9561E" w:rsidP="00CE3164">
      <w:pPr>
        <w:spacing w:after="0" w:line="240" w:lineRule="auto"/>
        <w:jc w:val="both"/>
        <w:rPr>
          <w:rFonts w:ascii="Times New Roman" w:eastAsia="Calibri" w:hAnsi="Times New Roman" w:cs="Times New Roman"/>
          <w:bCs/>
          <w:sz w:val="24"/>
          <w:szCs w:val="24"/>
        </w:rPr>
      </w:pPr>
      <w:r w:rsidRPr="002D3C8C">
        <w:rPr>
          <w:rFonts w:ascii="Times New Roman" w:eastAsia="Calibri" w:hAnsi="Times New Roman" w:cs="Times New Roman"/>
          <w:bCs/>
          <w:sz w:val="24"/>
          <w:szCs w:val="24"/>
        </w:rPr>
        <w:t>Nedisponujeme presnou štatistikou o počte podnikateľov žiadajúcich o úkony a konania podľa položiek 10 a</w:t>
      </w:r>
      <w:r w:rsidR="003D71D4" w:rsidRPr="002D3C8C">
        <w:rPr>
          <w:rFonts w:ascii="Times New Roman" w:eastAsia="Calibri" w:hAnsi="Times New Roman" w:cs="Times New Roman"/>
          <w:bCs/>
          <w:sz w:val="24"/>
          <w:szCs w:val="24"/>
        </w:rPr>
        <w:t> </w:t>
      </w:r>
      <w:r w:rsidRPr="002D3C8C">
        <w:rPr>
          <w:rFonts w:ascii="Times New Roman" w:eastAsia="Calibri" w:hAnsi="Times New Roman" w:cs="Times New Roman"/>
          <w:bCs/>
          <w:sz w:val="24"/>
          <w:szCs w:val="24"/>
        </w:rPr>
        <w:t>11</w:t>
      </w:r>
      <w:r w:rsidR="003D71D4" w:rsidRPr="002D3C8C">
        <w:rPr>
          <w:rFonts w:ascii="Times New Roman" w:eastAsia="Calibri" w:hAnsi="Times New Roman" w:cs="Times New Roman"/>
          <w:bCs/>
          <w:sz w:val="24"/>
          <w:szCs w:val="24"/>
        </w:rPr>
        <w:t xml:space="preserve">. Domnievame sa </w:t>
      </w:r>
      <w:r w:rsidRPr="002D3C8C">
        <w:rPr>
          <w:rFonts w:ascii="Times New Roman" w:eastAsia="Calibri" w:hAnsi="Times New Roman" w:cs="Times New Roman"/>
          <w:bCs/>
          <w:sz w:val="24"/>
          <w:szCs w:val="24"/>
        </w:rPr>
        <w:t xml:space="preserve"> </w:t>
      </w:r>
      <w:r w:rsidR="003D71D4" w:rsidRPr="002D3C8C">
        <w:rPr>
          <w:rFonts w:ascii="Times New Roman" w:eastAsia="Calibri" w:hAnsi="Times New Roman" w:cs="Times New Roman"/>
          <w:bCs/>
          <w:sz w:val="24"/>
          <w:szCs w:val="24"/>
        </w:rPr>
        <w:t>však, že počet podnikateľov podávajúcich návrh na vklad</w:t>
      </w:r>
      <w:r w:rsidR="00604434" w:rsidRPr="002D3C8C">
        <w:rPr>
          <w:rFonts w:ascii="Times New Roman" w:eastAsia="Calibri" w:hAnsi="Times New Roman" w:cs="Times New Roman"/>
          <w:bCs/>
          <w:sz w:val="24"/>
          <w:szCs w:val="24"/>
        </w:rPr>
        <w:t xml:space="preserve"> prostredníctvom elektronickej podateľne ÚPVS</w:t>
      </w:r>
      <w:r w:rsidR="002D3C8C">
        <w:rPr>
          <w:rFonts w:ascii="Times New Roman" w:eastAsia="Calibri" w:hAnsi="Times New Roman" w:cs="Times New Roman"/>
          <w:bCs/>
          <w:sz w:val="24"/>
          <w:szCs w:val="24"/>
        </w:rPr>
        <w:t xml:space="preserve"> vzhľadom na ich vyššie právne povedomie</w:t>
      </w:r>
      <w:r w:rsidR="00604434" w:rsidRPr="002D3C8C">
        <w:rPr>
          <w:rFonts w:ascii="Times New Roman" w:eastAsia="Calibri" w:hAnsi="Times New Roman" w:cs="Times New Roman"/>
          <w:bCs/>
          <w:sz w:val="24"/>
          <w:szCs w:val="24"/>
        </w:rPr>
        <w:t xml:space="preserve"> bude zanedbateľný. Počet dotknutých osôb sme odhadli na </w:t>
      </w:r>
      <w:r w:rsidR="00582AA8">
        <w:rPr>
          <w:rFonts w:ascii="Times New Roman" w:eastAsia="Calibri" w:hAnsi="Times New Roman" w:cs="Times New Roman"/>
          <w:bCs/>
          <w:sz w:val="24"/>
          <w:szCs w:val="24"/>
        </w:rPr>
        <w:t>27 500</w:t>
      </w:r>
      <w:r w:rsidR="00604434" w:rsidRPr="002D3C8C">
        <w:rPr>
          <w:rFonts w:ascii="Times New Roman" w:eastAsia="Calibri" w:hAnsi="Times New Roman" w:cs="Times New Roman"/>
          <w:bCs/>
          <w:sz w:val="24"/>
          <w:szCs w:val="24"/>
        </w:rPr>
        <w:t>.</w:t>
      </w:r>
      <w:r w:rsidRPr="002D3C8C">
        <w:rPr>
          <w:rFonts w:ascii="Times New Roman" w:eastAsia="Calibri" w:hAnsi="Times New Roman" w:cs="Times New Roman"/>
          <w:bCs/>
          <w:sz w:val="24"/>
          <w:szCs w:val="24"/>
        </w:rPr>
        <w:t xml:space="preserve"> </w:t>
      </w:r>
    </w:p>
    <w:p w14:paraId="60BF34C8" w14:textId="77777777" w:rsidR="00CE3164" w:rsidRPr="00020993" w:rsidRDefault="00CE3164" w:rsidP="00CE3164">
      <w:pPr>
        <w:spacing w:after="0" w:line="240" w:lineRule="auto"/>
        <w:jc w:val="both"/>
        <w:rPr>
          <w:rFonts w:ascii="Times New Roman" w:eastAsia="Calibri" w:hAnsi="Times New Roman" w:cs="Times New Roman"/>
          <w:bCs/>
          <w:sz w:val="24"/>
          <w:szCs w:val="24"/>
        </w:rPr>
      </w:pPr>
    </w:p>
    <w:p w14:paraId="52CEECB7" w14:textId="1C2A7FB4" w:rsidR="006A1C06" w:rsidRDefault="008E7BBD" w:rsidP="00CE3164">
      <w:pPr>
        <w:numPr>
          <w:ilvl w:val="0"/>
          <w:numId w:val="15"/>
        </w:numPr>
        <w:spacing w:after="0" w:line="240" w:lineRule="auto"/>
        <w:ind w:left="426"/>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Zmena sadzby správneho poplatku v prípade podania návrhu na začatie konania o povolení vkladu v elektronickej podobe</w:t>
      </w:r>
      <w:r w:rsidR="0060385F">
        <w:rPr>
          <w:rFonts w:ascii="Times New Roman" w:eastAsia="Calibri" w:hAnsi="Times New Roman" w:cs="Times New Roman"/>
          <w:b/>
          <w:bCs/>
          <w:color w:val="000000"/>
          <w:sz w:val="24"/>
          <w:szCs w:val="24"/>
        </w:rPr>
        <w:t xml:space="preserve"> prostredníctvom štruktúrovaného formulára</w:t>
      </w:r>
      <w:r>
        <w:rPr>
          <w:rFonts w:ascii="Times New Roman" w:eastAsia="Calibri" w:hAnsi="Times New Roman" w:cs="Times New Roman"/>
          <w:b/>
          <w:bCs/>
          <w:color w:val="000000"/>
          <w:sz w:val="24"/>
          <w:szCs w:val="24"/>
        </w:rPr>
        <w:t xml:space="preserve"> spolu so žiadosťou o urýchlené konanie</w:t>
      </w:r>
    </w:p>
    <w:p w14:paraId="3C512BAD" w14:textId="495D188D" w:rsidR="00020993" w:rsidRDefault="00FB3ABF" w:rsidP="00CE3164">
      <w:pPr>
        <w:spacing w:after="0" w:line="240" w:lineRule="auto"/>
        <w:ind w:left="6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Dochádza k zvýšeniu správneho poplatku v prípade podania návrhu na vklad v elektronickej podobe, ak žiadateľ spolu s podaním návrhu na vklad žiada rozhodnúť o vklade urýchlene do 15 dní odo dňa začatia konania. V súčasnosti, ak bol podaný návrh na vklad v elektronickej podobe spolu so žiadosťou o urýchlené konanie, sadzba správneho poplatku sa znižovala               o 50 %. Podľa nového znenia</w:t>
      </w:r>
      <w:r w:rsidR="00582AA8">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sa táto sadzba zníži o 1/3.</w:t>
      </w:r>
    </w:p>
    <w:p w14:paraId="21D2A27B" w14:textId="1DC050BE" w:rsidR="00020993" w:rsidRDefault="00020993" w:rsidP="00CE3164">
      <w:pPr>
        <w:spacing w:after="0" w:line="240" w:lineRule="auto"/>
        <w:ind w:left="66"/>
        <w:jc w:val="both"/>
        <w:rPr>
          <w:rFonts w:ascii="Times New Roman" w:eastAsia="Calibri" w:hAnsi="Times New Roman" w:cs="Times New Roman"/>
          <w:bCs/>
          <w:sz w:val="24"/>
          <w:szCs w:val="24"/>
        </w:rPr>
      </w:pPr>
      <w:r>
        <w:rPr>
          <w:rFonts w:ascii="Times New Roman" w:eastAsia="Calibri" w:hAnsi="Times New Roman" w:cs="Times New Roman"/>
          <w:color w:val="000000"/>
          <w:sz w:val="24"/>
          <w:szCs w:val="24"/>
        </w:rPr>
        <w:t xml:space="preserve">Nedisponujeme presnou štatistikou o počte podnikateľov podávajúcich návrh na vklad v elektronickej podobe spolu so žiadosťou o urýchlené konanie. </w:t>
      </w:r>
      <w:r w:rsidRPr="002D3C8C">
        <w:rPr>
          <w:rFonts w:ascii="Times New Roman" w:eastAsia="Calibri" w:hAnsi="Times New Roman" w:cs="Times New Roman"/>
          <w:bCs/>
          <w:sz w:val="24"/>
          <w:szCs w:val="24"/>
        </w:rPr>
        <w:t xml:space="preserve">Počet dotknutých osôb sme odhadli na </w:t>
      </w:r>
      <w:r w:rsidR="00582AA8">
        <w:rPr>
          <w:rFonts w:ascii="Times New Roman" w:eastAsia="Calibri" w:hAnsi="Times New Roman" w:cs="Times New Roman"/>
          <w:bCs/>
          <w:sz w:val="24"/>
          <w:szCs w:val="24"/>
        </w:rPr>
        <w:t>20 000</w:t>
      </w:r>
      <w:r>
        <w:rPr>
          <w:rFonts w:ascii="Times New Roman" w:eastAsia="Calibri" w:hAnsi="Times New Roman" w:cs="Times New Roman"/>
          <w:bCs/>
          <w:sz w:val="24"/>
          <w:szCs w:val="24"/>
        </w:rPr>
        <w:t>.</w:t>
      </w:r>
    </w:p>
    <w:p w14:paraId="447168DD" w14:textId="77777777" w:rsidR="00CE3164" w:rsidRPr="00020993" w:rsidRDefault="00CE3164" w:rsidP="00CE3164">
      <w:pPr>
        <w:spacing w:after="0" w:line="240" w:lineRule="auto"/>
        <w:ind w:left="66"/>
        <w:jc w:val="both"/>
        <w:rPr>
          <w:rFonts w:ascii="Times New Roman" w:eastAsia="Calibri" w:hAnsi="Times New Roman" w:cs="Times New Roman"/>
          <w:color w:val="000000"/>
          <w:sz w:val="24"/>
          <w:szCs w:val="24"/>
        </w:rPr>
      </w:pPr>
    </w:p>
    <w:p w14:paraId="245AEF48" w14:textId="78096481" w:rsidR="00D276AA" w:rsidRDefault="00F9561E" w:rsidP="00AB6FB7">
      <w:pPr>
        <w:numPr>
          <w:ilvl w:val="0"/>
          <w:numId w:val="15"/>
        </w:numPr>
        <w:spacing w:after="0" w:line="240" w:lineRule="auto"/>
        <w:ind w:left="426"/>
        <w:jc w:val="both"/>
        <w:rPr>
          <w:rFonts w:ascii="Times New Roman" w:eastAsia="Calibri" w:hAnsi="Times New Roman" w:cs="Times New Roman"/>
          <w:b/>
          <w:bCs/>
          <w:color w:val="000000"/>
          <w:sz w:val="24"/>
          <w:szCs w:val="24"/>
        </w:rPr>
      </w:pPr>
      <w:r w:rsidRPr="00F9561E">
        <w:rPr>
          <w:rFonts w:ascii="Times New Roman" w:eastAsia="Calibri" w:hAnsi="Times New Roman" w:cs="Times New Roman"/>
          <w:b/>
          <w:bCs/>
          <w:color w:val="000000"/>
          <w:sz w:val="24"/>
          <w:szCs w:val="24"/>
        </w:rPr>
        <w:t>Zavedenie nového správneho poplatku za prešetrenie údajov katastra</w:t>
      </w:r>
    </w:p>
    <w:p w14:paraId="278F8D8E" w14:textId="77777777" w:rsidR="00D276AA" w:rsidRPr="00D276AA" w:rsidRDefault="00D276AA" w:rsidP="00D276AA">
      <w:pPr>
        <w:spacing w:after="0" w:line="240" w:lineRule="auto"/>
        <w:jc w:val="both"/>
        <w:rPr>
          <w:rFonts w:ascii="Times New Roman" w:eastAsia="Calibri" w:hAnsi="Times New Roman" w:cs="Times New Roman"/>
          <w:bCs/>
          <w:color w:val="000000"/>
          <w:sz w:val="24"/>
          <w:szCs w:val="24"/>
        </w:rPr>
      </w:pPr>
      <w:r w:rsidRPr="00D276AA">
        <w:rPr>
          <w:rFonts w:ascii="Times New Roman" w:eastAsia="Calibri" w:hAnsi="Times New Roman" w:cs="Times New Roman"/>
          <w:bCs/>
          <w:sz w:val="24"/>
          <w:szCs w:val="24"/>
        </w:rPr>
        <w:t xml:space="preserve">Za prešetrovanie údajov sa platil správny poplatok vo výške 5,00 eur, ktorý bol vyberaný podľa položky 10 písm. e) Sadzobníka správnych poplatkov. Táto suma neodzrkadľuje skutočne vynaložené úsilie na zistenie, či zápis v katastri bol vykonaný správne na základe predložených listín, nakoľko je potrebné </w:t>
      </w:r>
      <w:r w:rsidRPr="00D276AA">
        <w:rPr>
          <w:rFonts w:ascii="Times New Roman" w:eastAsia="Calibri" w:hAnsi="Times New Roman" w:cs="Times New Roman"/>
          <w:bCs/>
          <w:color w:val="000000"/>
          <w:sz w:val="24"/>
          <w:szCs w:val="24"/>
        </w:rPr>
        <w:t>v rámci prešetrenia jednak poznať právnu úpravu, ktorá platila v čase zápisu údaja do katastra, vyhľadať jednotlivé listiny v zbierke listín, prešetriť každú jednu listinu, ktorá sa týkala predmetného zápisu, a to od prvotného zápisu nehnuteľnosti v katastri alebo v pozemkovej knihe až po súčasnosť. Výsledok prešetrenia správnosti zápisu údajov je v podstate vykonaním právneho auditu danej nehnuteľnosti, čo vo veľkej miere využívajú hlavne zahraniční investori alebo advokáti ako podklad k súdnym konaniam, resp. väčším investíciám.</w:t>
      </w:r>
    </w:p>
    <w:p w14:paraId="493641DA" w14:textId="77777777" w:rsidR="00D276AA" w:rsidRDefault="00D276AA" w:rsidP="00D276AA">
      <w:pPr>
        <w:spacing w:after="0" w:line="240" w:lineRule="auto"/>
        <w:jc w:val="both"/>
        <w:rPr>
          <w:rFonts w:ascii="Times New Roman" w:eastAsia="Calibri" w:hAnsi="Times New Roman" w:cs="Times New Roman"/>
          <w:bCs/>
          <w:iCs/>
          <w:color w:val="000000"/>
          <w:sz w:val="24"/>
          <w:szCs w:val="24"/>
        </w:rPr>
      </w:pPr>
      <w:r w:rsidRPr="00F9561E">
        <w:rPr>
          <w:rFonts w:ascii="Times New Roman" w:eastAsia="Calibri" w:hAnsi="Times New Roman" w:cs="Times New Roman"/>
          <w:bCs/>
          <w:iCs/>
          <w:color w:val="000000"/>
          <w:sz w:val="24"/>
          <w:szCs w:val="24"/>
        </w:rPr>
        <w:t xml:space="preserve">Z dôvodu, že nedisponujeme presnou štatistikou o žiadateľoch o prešetrenie údajov katastra, odhadli sme počet dotknutých subjektov na modelovom príklade s počtom </w:t>
      </w:r>
      <w:r>
        <w:rPr>
          <w:rFonts w:ascii="Times New Roman" w:eastAsia="Calibri" w:hAnsi="Times New Roman" w:cs="Times New Roman"/>
          <w:bCs/>
          <w:iCs/>
          <w:color w:val="000000"/>
          <w:sz w:val="24"/>
          <w:szCs w:val="24"/>
        </w:rPr>
        <w:t>1 50</w:t>
      </w:r>
      <w:r w:rsidRPr="00F9561E">
        <w:rPr>
          <w:rFonts w:ascii="Times New Roman" w:eastAsia="Calibri" w:hAnsi="Times New Roman" w:cs="Times New Roman"/>
          <w:bCs/>
          <w:iCs/>
          <w:color w:val="000000"/>
          <w:sz w:val="24"/>
          <w:szCs w:val="24"/>
        </w:rPr>
        <w:t>0. K dotknutým subjektom môžu patriť predovšetkým advokáti a developerské spoločnosti.</w:t>
      </w:r>
      <w:r>
        <w:rPr>
          <w:rFonts w:ascii="Times New Roman" w:eastAsia="Calibri" w:hAnsi="Times New Roman" w:cs="Times New Roman"/>
          <w:bCs/>
          <w:iCs/>
          <w:color w:val="000000"/>
          <w:sz w:val="24"/>
          <w:szCs w:val="24"/>
        </w:rPr>
        <w:t xml:space="preserve"> Zároveň sa však zavádza právna úprava, podľa ktorej, ak sa prešetrením zistí, že v katastrálnom operáte je chyba (§ 59 katastrálneho zákona), zaplatený správny poplatok sa v plnej výške vráti.  Rovnako je od platenia tohto správneho poplatku oslobodený vyhotoviteľ geodetických a kartografických činností.</w:t>
      </w:r>
    </w:p>
    <w:p w14:paraId="0C4F468C" w14:textId="77777777" w:rsidR="00D276AA" w:rsidRDefault="00D276AA" w:rsidP="00D276AA">
      <w:pPr>
        <w:spacing w:after="0" w:line="240" w:lineRule="auto"/>
        <w:ind w:left="426"/>
        <w:jc w:val="both"/>
        <w:rPr>
          <w:rFonts w:ascii="Times New Roman" w:eastAsia="Calibri" w:hAnsi="Times New Roman" w:cs="Times New Roman"/>
          <w:b/>
          <w:bCs/>
          <w:color w:val="000000"/>
          <w:sz w:val="24"/>
          <w:szCs w:val="24"/>
        </w:rPr>
      </w:pPr>
    </w:p>
    <w:p w14:paraId="639B780B" w14:textId="6C5CE9EE" w:rsidR="00F9561E" w:rsidRPr="00F9561E" w:rsidRDefault="00D276AA" w:rsidP="00AB6FB7">
      <w:pPr>
        <w:numPr>
          <w:ilvl w:val="0"/>
          <w:numId w:val="15"/>
        </w:numPr>
        <w:spacing w:after="0" w:line="240" w:lineRule="auto"/>
        <w:ind w:left="426"/>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Zavedenie </w:t>
      </w:r>
      <w:r w:rsidR="00F9561E" w:rsidRPr="00F9561E">
        <w:rPr>
          <w:rFonts w:ascii="Times New Roman" w:eastAsia="Calibri" w:hAnsi="Times New Roman" w:cs="Times New Roman"/>
          <w:b/>
          <w:bCs/>
          <w:color w:val="000000"/>
          <w:sz w:val="24"/>
          <w:szCs w:val="24"/>
        </w:rPr>
        <w:t>správneho poplatku za poskytnutie listiny zo zbierky listín</w:t>
      </w:r>
    </w:p>
    <w:p w14:paraId="272A5702" w14:textId="52C6BF85" w:rsidR="00F9561E" w:rsidRPr="00D276AA" w:rsidRDefault="00F9561E" w:rsidP="00D276AA">
      <w:pPr>
        <w:spacing w:after="0" w:line="240" w:lineRule="auto"/>
        <w:jc w:val="both"/>
        <w:rPr>
          <w:rFonts w:ascii="Times New Roman" w:eastAsia="Calibri" w:hAnsi="Times New Roman" w:cs="Times New Roman"/>
          <w:bCs/>
          <w:iCs/>
          <w:color w:val="000000"/>
          <w:sz w:val="24"/>
          <w:szCs w:val="24"/>
        </w:rPr>
      </w:pPr>
      <w:r w:rsidRPr="00D276AA">
        <w:rPr>
          <w:rFonts w:ascii="Times New Roman" w:eastAsia="Calibri" w:hAnsi="Times New Roman" w:cs="Times New Roman"/>
          <w:bCs/>
          <w:iCs/>
          <w:color w:val="000000"/>
          <w:sz w:val="24"/>
          <w:szCs w:val="24"/>
        </w:rPr>
        <w:t xml:space="preserve">Zavedenie nového správneho poplatku súvisí s navrhovanou právnou úpravou prístupu k listinám uloženým v zbierke listín. Právna úprava vymedzuje okruh osôb, ktoré majú prístup k týmto listinám. Výška správneho poplatku zohľadňuje prácnosť a časovú náročnosť pri vyhľadávaní listín, ich anonymizácii najmä s ohľadom na osobné údaje a iné skutočnosti, ktoré nie je možné poskytnúť, </w:t>
      </w:r>
      <w:r w:rsidR="00AB6FB7" w:rsidRPr="00D276AA">
        <w:rPr>
          <w:rFonts w:ascii="Times New Roman" w:eastAsia="Calibri" w:hAnsi="Times New Roman" w:cs="Times New Roman"/>
          <w:bCs/>
          <w:iCs/>
          <w:color w:val="000000"/>
          <w:sz w:val="24"/>
          <w:szCs w:val="24"/>
        </w:rPr>
        <w:t xml:space="preserve">a </w:t>
      </w:r>
      <w:r w:rsidRPr="00D276AA">
        <w:rPr>
          <w:rFonts w:ascii="Times New Roman" w:eastAsia="Calibri" w:hAnsi="Times New Roman" w:cs="Times New Roman"/>
          <w:bCs/>
          <w:iCs/>
          <w:color w:val="000000"/>
          <w:sz w:val="24"/>
          <w:szCs w:val="24"/>
        </w:rPr>
        <w:t xml:space="preserve">ktoré požadovaná listina obsahuje, alebo za vyhotovenie kópie takejto listiny. </w:t>
      </w:r>
    </w:p>
    <w:p w14:paraId="608D229D" w14:textId="07A3AE46" w:rsidR="00F9561E" w:rsidRPr="00F9561E" w:rsidRDefault="00F9561E" w:rsidP="00AB6FB7">
      <w:pPr>
        <w:spacing w:after="0" w:line="240" w:lineRule="auto"/>
        <w:jc w:val="both"/>
        <w:rPr>
          <w:rFonts w:ascii="Times New Roman" w:eastAsia="Calibri" w:hAnsi="Times New Roman" w:cs="Times New Roman"/>
          <w:bCs/>
          <w:color w:val="000000"/>
          <w:sz w:val="24"/>
          <w:szCs w:val="24"/>
        </w:rPr>
      </w:pPr>
      <w:r w:rsidRPr="00F9561E">
        <w:rPr>
          <w:rFonts w:ascii="Times New Roman" w:eastAsia="Calibri" w:hAnsi="Times New Roman" w:cs="Times New Roman"/>
          <w:bCs/>
          <w:iCs/>
          <w:color w:val="000000"/>
          <w:sz w:val="24"/>
          <w:szCs w:val="24"/>
        </w:rPr>
        <w:t xml:space="preserve">Nedisponujeme presnou štatistikou o žiadateľoch listín zo zbierky listín, nakoľko v súčasnosti prevláda reštriktívny výklad, v dôsledku ktorého dochádza len k obmedzenému prístupu k listinám uloženým v zbierke listín. Možno predpokladať, že možnosť prístupu k listinám uloženým v zbierke listín sa bude využívať predovšetkým v súvislosti s významnejšími </w:t>
      </w:r>
      <w:r w:rsidRPr="00F9561E">
        <w:rPr>
          <w:rFonts w:ascii="Times New Roman" w:eastAsia="Calibri" w:hAnsi="Times New Roman" w:cs="Times New Roman"/>
          <w:bCs/>
          <w:iCs/>
          <w:color w:val="000000"/>
          <w:sz w:val="24"/>
          <w:szCs w:val="24"/>
        </w:rPr>
        <w:lastRenderedPageBreak/>
        <w:t xml:space="preserve">investíciami na území SR, ktorých predmetom je aj kúpa nehnuteľností (najmä pozemkov). Vzhľadom na uvedené sme odhadli počet dotknutých subjektov na modelovom príklade s počtom </w:t>
      </w:r>
      <w:r w:rsidR="00D276AA">
        <w:rPr>
          <w:rFonts w:ascii="Times New Roman" w:eastAsia="Calibri" w:hAnsi="Times New Roman" w:cs="Times New Roman"/>
          <w:bCs/>
          <w:iCs/>
          <w:color w:val="000000"/>
          <w:sz w:val="24"/>
          <w:szCs w:val="24"/>
        </w:rPr>
        <w:t>17 300</w:t>
      </w:r>
      <w:r w:rsidRPr="00F9561E">
        <w:rPr>
          <w:rFonts w:ascii="Times New Roman" w:eastAsia="Calibri" w:hAnsi="Times New Roman" w:cs="Times New Roman"/>
          <w:bCs/>
          <w:iCs/>
          <w:color w:val="000000"/>
          <w:sz w:val="24"/>
          <w:szCs w:val="24"/>
        </w:rPr>
        <w:t>. Uvedené často súvisí práve s prešetrovaním údajov, kde výsledkom prešetrenia môže byť aj poskytnutie listín. Medzi dotknuté subjekty budú patriť najmä</w:t>
      </w:r>
      <w:r w:rsidR="00AB6FB7">
        <w:rPr>
          <w:rFonts w:ascii="Times New Roman" w:eastAsia="Calibri" w:hAnsi="Times New Roman" w:cs="Times New Roman"/>
          <w:bCs/>
          <w:iCs/>
          <w:color w:val="000000"/>
          <w:sz w:val="24"/>
          <w:szCs w:val="24"/>
        </w:rPr>
        <w:t xml:space="preserve"> fyzické a právnické osoby (vlastníci nehnuteľností)</w:t>
      </w:r>
      <w:r w:rsidR="00495C1B">
        <w:rPr>
          <w:rFonts w:ascii="Times New Roman" w:eastAsia="Calibri" w:hAnsi="Times New Roman" w:cs="Times New Roman"/>
          <w:bCs/>
          <w:iCs/>
          <w:color w:val="000000"/>
          <w:sz w:val="24"/>
          <w:szCs w:val="24"/>
        </w:rPr>
        <w:t xml:space="preserve"> a ďalšie osoby oprávnené na prístup k listinám uloženým v zbierke listín</w:t>
      </w:r>
      <w:r w:rsidR="00AB6FB7">
        <w:rPr>
          <w:rFonts w:ascii="Times New Roman" w:eastAsia="Calibri" w:hAnsi="Times New Roman" w:cs="Times New Roman"/>
          <w:bCs/>
          <w:iCs/>
          <w:color w:val="000000"/>
          <w:sz w:val="24"/>
          <w:szCs w:val="24"/>
        </w:rPr>
        <w:t>.</w:t>
      </w:r>
    </w:p>
    <w:p w14:paraId="600CC633" w14:textId="77777777" w:rsidR="00F9561E" w:rsidRPr="00F9561E" w:rsidRDefault="00F9561E" w:rsidP="00F9561E">
      <w:pPr>
        <w:jc w:val="both"/>
        <w:rPr>
          <w:rFonts w:ascii="Times New Roman" w:eastAsia="Calibri" w:hAnsi="Times New Roman" w:cs="Times New Roman"/>
          <w:b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4016BF">
      <w:pPr>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3.2 </w:t>
      </w:r>
      <w:bookmarkStart w:id="8" w:name="_Hlk171408560"/>
      <w:r w:rsidRPr="001F1B43">
        <w:rPr>
          <w:rFonts w:ascii="Times New Roman" w:eastAsia="Calibri" w:hAnsi="Times New Roman" w:cs="Times New Roman"/>
          <w:b/>
          <w:sz w:val="24"/>
          <w:szCs w:val="24"/>
        </w:rPr>
        <w:t>Vyhodnotenie konzultácií s podnikateľskými subjektmi pred predbežným pripomienkovým konaním</w:t>
      </w:r>
      <w:bookmarkEnd w:id="8"/>
    </w:p>
    <w:p w14:paraId="0064013B" w14:textId="30050158" w:rsidR="00054C41" w:rsidRPr="005D7AB8" w:rsidRDefault="005D7AB8" w:rsidP="004016BF">
      <w:pPr>
        <w:spacing w:after="0" w:line="240" w:lineRule="auto"/>
        <w:jc w:val="both"/>
        <w:rPr>
          <w:rFonts w:ascii="Times New Roman" w:eastAsia="Calibri" w:hAnsi="Times New Roman" w:cs="Times New Roman"/>
          <w:iCs/>
          <w:sz w:val="24"/>
          <w:szCs w:val="24"/>
        </w:rPr>
      </w:pPr>
      <w:r w:rsidRPr="005D7AB8">
        <w:rPr>
          <w:rFonts w:ascii="Times New Roman" w:eastAsia="Calibri" w:hAnsi="Times New Roman" w:cs="Times New Roman"/>
          <w:iCs/>
          <w:sz w:val="24"/>
          <w:szCs w:val="24"/>
        </w:rPr>
        <w:t>Požadované informácie sú uvedené v prílohe tejto analýzy, označenej ako „Vyhodnotenie konzultácií s podnikateľskými subjektmi pred predbežným pripomienkovým konaním“</w:t>
      </w:r>
      <w:r>
        <w:rPr>
          <w:rFonts w:ascii="Times New Roman" w:eastAsia="Calibri" w:hAnsi="Times New Roman" w:cs="Times New Roman"/>
          <w:iCs/>
          <w:sz w:val="24"/>
          <w:szCs w:val="24"/>
        </w:rPr>
        <w:t>.</w:t>
      </w:r>
      <w:r w:rsidR="00054C41" w:rsidRPr="005D7AB8">
        <w:rPr>
          <w:rFonts w:ascii="Times New Roman" w:eastAsia="Calibri" w:hAnsi="Times New Roman" w:cs="Times New Roman"/>
          <w:iCs/>
          <w:sz w:val="24"/>
          <w:szCs w:val="24"/>
        </w:rPr>
        <w:t xml:space="preserv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9" w:name="_Hlk47698091"/>
      <w:r w:rsidRPr="001F1B43">
        <w:rPr>
          <w:rFonts w:ascii="Times New Roman" w:eastAsia="Calibri" w:hAnsi="Times New Roman" w:cs="Times New Roman"/>
          <w:b/>
          <w:sz w:val="24"/>
          <w:szCs w:val="24"/>
        </w:rPr>
        <w:t>3.3 Vplyvy na konkurencieschopnosť a produktivitu</w:t>
      </w:r>
    </w:p>
    <w:bookmarkEnd w:id="9"/>
    <w:p w14:paraId="5CAF52B4" w14:textId="77777777" w:rsidR="00054C41" w:rsidRDefault="00054C41" w:rsidP="00054C41">
      <w:pPr>
        <w:spacing w:after="0"/>
        <w:jc w:val="both"/>
        <w:rPr>
          <w:rFonts w:ascii="Times New Roman" w:eastAsia="Calibri" w:hAnsi="Times New Roman" w:cs="Times New Roman"/>
          <w:iCs/>
          <w:sz w:val="24"/>
          <w:szCs w:val="24"/>
        </w:rPr>
      </w:pPr>
      <w:r w:rsidRPr="00D8247C">
        <w:rPr>
          <w:rFonts w:ascii="Times New Roman" w:eastAsia="Calibri" w:hAnsi="Times New Roman" w:cs="Times New Roman"/>
          <w:i/>
          <w:sz w:val="24"/>
          <w:szCs w:val="24"/>
        </w:rPr>
        <w:t xml:space="preserve">Dochádza k vytvoreniu resp. k zmene bariér na trhu? </w:t>
      </w:r>
    </w:p>
    <w:p w14:paraId="59541078" w14:textId="09FDB3A4" w:rsidR="00CA1B68" w:rsidRDefault="00CA1B68"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lastRenderedPageBreak/>
        <w:t>K vytvoreniu alebo zmene bariér na trhu nedochádza.</w:t>
      </w:r>
    </w:p>
    <w:p w14:paraId="322044E6" w14:textId="77777777" w:rsidR="00CA1B68" w:rsidRPr="00CA1B68" w:rsidRDefault="00CA1B68" w:rsidP="00054C41">
      <w:pPr>
        <w:spacing w:after="0"/>
        <w:jc w:val="both"/>
        <w:rPr>
          <w:rFonts w:ascii="Times New Roman" w:eastAsia="Calibri" w:hAnsi="Times New Roman" w:cs="Times New Roman"/>
          <w:iCs/>
          <w:sz w:val="24"/>
          <w:szCs w:val="24"/>
        </w:rPr>
      </w:pPr>
    </w:p>
    <w:p w14:paraId="4D049DE7"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220C7C54" w14:textId="77777777" w:rsidR="00934D56" w:rsidRDefault="00CA1B68"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Materiál neobsahuje zásadné špeciálne režimy pre MSP.</w:t>
      </w:r>
      <w:r w:rsidR="00934D56">
        <w:rPr>
          <w:rFonts w:ascii="Times New Roman" w:eastAsia="Calibri" w:hAnsi="Times New Roman" w:cs="Times New Roman"/>
          <w:iCs/>
          <w:sz w:val="24"/>
          <w:szCs w:val="24"/>
        </w:rPr>
        <w:t xml:space="preserve"> </w:t>
      </w:r>
    </w:p>
    <w:p w14:paraId="678EAB62" w14:textId="0D7D7C0B" w:rsidR="00CA1B68" w:rsidRDefault="00934D56"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Vo vzťahu špecifických MSP zrovnoprávňuje advokátov s notármi v otázke rozsahu zmlúv, ktoré sú advokáti oprávnení autorizovať.</w:t>
      </w:r>
    </w:p>
    <w:p w14:paraId="4109E755" w14:textId="77777777" w:rsidR="00CA1B68" w:rsidRPr="00CA1B68" w:rsidRDefault="00CA1B68" w:rsidP="00054C41">
      <w:pPr>
        <w:spacing w:after="0"/>
        <w:jc w:val="both"/>
        <w:rPr>
          <w:rFonts w:ascii="Times New Roman" w:eastAsia="Calibri" w:hAnsi="Times New Roman" w:cs="Times New Roman"/>
          <w:iCs/>
          <w:sz w:val="24"/>
          <w:szCs w:val="24"/>
        </w:rPr>
      </w:pPr>
    </w:p>
    <w:p w14:paraId="78068D27" w14:textId="77777777" w:rsidR="00CA1B68"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Ovplyvňuje zmena regulácie cezhraničné investície (príliv/odliv zahraničných investícií resp. uplatnenie slovenských podnikov na zahraničných trhoch)?</w:t>
      </w:r>
    </w:p>
    <w:p w14:paraId="6A9FF512" w14:textId="77777777" w:rsidR="00CA1B68" w:rsidRDefault="00CA1B68"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Materiál neovplyvňuje cezhraničné investície.</w:t>
      </w:r>
    </w:p>
    <w:p w14:paraId="452A90F1" w14:textId="09F08160"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 </w:t>
      </w:r>
    </w:p>
    <w:p w14:paraId="5E8D9406" w14:textId="77777777" w:rsidR="00CA1B68"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Ovplyvní dostupnosť základných zdrojov (financie, pracovná sila, suroviny, mechanizmy, energie atď.)?</w:t>
      </w:r>
    </w:p>
    <w:p w14:paraId="6C3136EC" w14:textId="038F8D4D" w:rsidR="00CA1B68" w:rsidRDefault="00CA1B68"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Materiál </w:t>
      </w:r>
      <w:r w:rsidR="00343046">
        <w:rPr>
          <w:rFonts w:ascii="Times New Roman" w:eastAsia="Calibri" w:hAnsi="Times New Roman" w:cs="Times New Roman"/>
          <w:iCs/>
          <w:sz w:val="24"/>
          <w:szCs w:val="24"/>
        </w:rPr>
        <w:t>nemá vplyv na dostupnosť základných zdrojov</w:t>
      </w:r>
      <w:r>
        <w:rPr>
          <w:rFonts w:ascii="Times New Roman" w:eastAsia="Calibri" w:hAnsi="Times New Roman" w:cs="Times New Roman"/>
          <w:iCs/>
          <w:sz w:val="24"/>
          <w:szCs w:val="24"/>
        </w:rPr>
        <w:t>.</w:t>
      </w:r>
    </w:p>
    <w:p w14:paraId="0D074838" w14:textId="043123A6" w:rsidR="00054C41" w:rsidRDefault="00CA1B68" w:rsidP="00054C41">
      <w:pPr>
        <w:spacing w:after="0"/>
        <w:jc w:val="both"/>
        <w:rPr>
          <w:rFonts w:ascii="Times New Roman" w:eastAsia="Calibri" w:hAnsi="Times New Roman" w:cs="Times New Roman"/>
          <w:i/>
          <w:sz w:val="24"/>
          <w:szCs w:val="24"/>
        </w:rPr>
      </w:pPr>
      <w:r>
        <w:rPr>
          <w:rFonts w:ascii="Times New Roman" w:eastAsia="Calibri" w:hAnsi="Times New Roman" w:cs="Times New Roman"/>
          <w:iCs/>
          <w:sz w:val="24"/>
          <w:szCs w:val="24"/>
        </w:rPr>
        <w:t xml:space="preserve">  </w:t>
      </w:r>
      <w:r w:rsidR="00054C41" w:rsidRPr="00D8247C">
        <w:rPr>
          <w:rFonts w:ascii="Times New Roman" w:eastAsia="Calibri" w:hAnsi="Times New Roman" w:cs="Times New Roman"/>
          <w:i/>
          <w:sz w:val="24"/>
          <w:szCs w:val="24"/>
        </w:rPr>
        <w:t xml:space="preserve">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5811A2B" w14:textId="7D9240CD" w:rsidR="00CA1B68" w:rsidRDefault="00CA1B68"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Regulácia neovplyvňuje inovácie, vedu a výskum.</w:t>
      </w:r>
    </w:p>
    <w:p w14:paraId="45B255F2" w14:textId="77777777" w:rsidR="00CA1B68" w:rsidRPr="00CA1B68" w:rsidRDefault="00CA1B68" w:rsidP="00054C41">
      <w:pPr>
        <w:spacing w:after="0"/>
        <w:jc w:val="both"/>
        <w:rPr>
          <w:rFonts w:ascii="Times New Roman" w:eastAsia="Calibri" w:hAnsi="Times New Roman" w:cs="Times New Roman"/>
          <w:iCs/>
          <w:sz w:val="24"/>
          <w:szCs w:val="24"/>
        </w:rPr>
      </w:pPr>
    </w:p>
    <w:p w14:paraId="64E2FB2F" w14:textId="77777777" w:rsidR="00BA19B0"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2CA5B688" w14:textId="7D73A4E1" w:rsidR="00934D56" w:rsidRDefault="00934D56"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Goldplating nebol identifikovaný.</w:t>
      </w:r>
    </w:p>
    <w:p w14:paraId="55ECEE02" w14:textId="77777777" w:rsidR="00934D56" w:rsidRPr="00934D56" w:rsidRDefault="00934D56" w:rsidP="00054C41">
      <w:pPr>
        <w:spacing w:after="0"/>
        <w:jc w:val="both"/>
        <w:rPr>
          <w:rFonts w:ascii="Times New Roman" w:eastAsia="Calibri" w:hAnsi="Times New Roman" w:cs="Times New Roman"/>
          <w:iCs/>
          <w:sz w:val="24"/>
          <w:szCs w:val="24"/>
        </w:rPr>
      </w:pP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1EBD03FA"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CA1B68">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61CE1D79" w14:textId="77777777" w:rsidR="00934D56" w:rsidRDefault="00934D56"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Materiál nemá vplyv na pomer produkcie podnikov a ich náklady.</w:t>
      </w:r>
    </w:p>
    <w:p w14:paraId="23DA5CCF" w14:textId="4A3EAF0B" w:rsidR="00054C41" w:rsidRPr="00CA1B68" w:rsidRDefault="00934D56" w:rsidP="00054C41">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 </w:t>
      </w: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B42115F"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934D5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6A83C3" w14:textId="77777777" w:rsidR="00B21D1F" w:rsidRDefault="00B21D1F" w:rsidP="00934D56">
      <w:pPr>
        <w:spacing w:after="0" w:line="240" w:lineRule="auto"/>
        <w:jc w:val="both"/>
        <w:rPr>
          <w:rFonts w:ascii="Times New Roman" w:eastAsia="Times New Roman" w:hAnsi="Times New Roman" w:cs="Times New Roman"/>
          <w:b/>
          <w:sz w:val="28"/>
          <w:szCs w:val="28"/>
          <w:lang w:eastAsia="sk-SK"/>
        </w:rPr>
      </w:pPr>
    </w:p>
    <w:p w14:paraId="424DBDFC" w14:textId="37EE377E" w:rsidR="00B21D1F" w:rsidRDefault="00934D56" w:rsidP="00B02AA5">
      <w:pPr>
        <w:spacing w:after="0" w:line="240" w:lineRule="auto"/>
        <w:jc w:val="both"/>
        <w:rPr>
          <w:rFonts w:ascii="Times New Roman" w:eastAsia="Times New Roman" w:hAnsi="Times New Roman" w:cs="Times New Roman"/>
          <w:b/>
          <w:sz w:val="28"/>
          <w:szCs w:val="28"/>
          <w:lang w:eastAsia="sk-SK"/>
        </w:rPr>
      </w:pPr>
      <w:r w:rsidRPr="00934D56">
        <w:rPr>
          <w:rFonts w:ascii="Times New Roman" w:eastAsia="Times New Roman" w:hAnsi="Times New Roman" w:cs="Times New Roman"/>
          <w:bCs/>
          <w:sz w:val="24"/>
          <w:szCs w:val="24"/>
          <w:lang w:eastAsia="sk-SK"/>
        </w:rPr>
        <w:t>Materiál</w:t>
      </w:r>
      <w:r w:rsidR="00804ED6">
        <w:rPr>
          <w:rFonts w:ascii="Times New Roman" w:eastAsia="Times New Roman" w:hAnsi="Times New Roman" w:cs="Times New Roman"/>
          <w:bCs/>
          <w:sz w:val="24"/>
          <w:szCs w:val="24"/>
          <w:lang w:eastAsia="sk-SK"/>
        </w:rPr>
        <w:t xml:space="preserve"> ďalej</w:t>
      </w:r>
      <w:r w:rsidRPr="00934D56">
        <w:rPr>
          <w:rFonts w:ascii="Times New Roman" w:eastAsia="Times New Roman" w:hAnsi="Times New Roman" w:cs="Times New Roman"/>
          <w:bCs/>
          <w:sz w:val="24"/>
          <w:szCs w:val="24"/>
          <w:lang w:eastAsia="sk-SK"/>
        </w:rPr>
        <w:t xml:space="preserve"> obsahuje</w:t>
      </w:r>
      <w:r>
        <w:rPr>
          <w:rFonts w:ascii="Times New Roman" w:eastAsia="Times New Roman" w:hAnsi="Times New Roman" w:cs="Times New Roman"/>
          <w:bCs/>
          <w:sz w:val="24"/>
          <w:szCs w:val="24"/>
          <w:lang w:eastAsia="sk-SK"/>
        </w:rPr>
        <w:t xml:space="preserve"> významnú zmenu procesných postupov prakticky všetkých druhov zápisov do katastra nehnuteľností. </w:t>
      </w:r>
      <w:r w:rsidR="00804ED6">
        <w:rPr>
          <w:rFonts w:ascii="Times New Roman" w:eastAsia="Times New Roman" w:hAnsi="Times New Roman" w:cs="Times New Roman"/>
          <w:bCs/>
          <w:sz w:val="24"/>
          <w:szCs w:val="24"/>
          <w:lang w:eastAsia="sk-SK"/>
        </w:rPr>
        <w:t xml:space="preserve">Obsahom materiálu </w:t>
      </w:r>
      <w:r>
        <w:rPr>
          <w:rFonts w:ascii="Times New Roman" w:eastAsia="Times New Roman" w:hAnsi="Times New Roman" w:cs="Times New Roman"/>
          <w:bCs/>
          <w:sz w:val="24"/>
          <w:szCs w:val="24"/>
          <w:lang w:eastAsia="sk-SK"/>
        </w:rPr>
        <w:t>je</w:t>
      </w:r>
      <w:r w:rsidR="00804ED6">
        <w:rPr>
          <w:rFonts w:ascii="Times New Roman" w:eastAsia="Times New Roman" w:hAnsi="Times New Roman" w:cs="Times New Roman"/>
          <w:bCs/>
          <w:sz w:val="24"/>
          <w:szCs w:val="24"/>
          <w:lang w:eastAsia="sk-SK"/>
        </w:rPr>
        <w:t xml:space="preserve"> (okrem iného)</w:t>
      </w:r>
      <w:r>
        <w:rPr>
          <w:rFonts w:ascii="Times New Roman" w:eastAsia="Times New Roman" w:hAnsi="Times New Roman" w:cs="Times New Roman"/>
          <w:bCs/>
          <w:sz w:val="24"/>
          <w:szCs w:val="24"/>
          <w:lang w:eastAsia="sk-SK"/>
        </w:rPr>
        <w:t xml:space="preserve"> zjednoznačniť pojmy,</w:t>
      </w:r>
      <w:r w:rsidR="00804ED6">
        <w:rPr>
          <w:rFonts w:ascii="Times New Roman" w:eastAsia="Times New Roman" w:hAnsi="Times New Roman" w:cs="Times New Roman"/>
          <w:bCs/>
          <w:sz w:val="24"/>
          <w:szCs w:val="24"/>
          <w:lang w:eastAsia="sk-SK"/>
        </w:rPr>
        <w:t xml:space="preserve"> ako aj</w:t>
      </w:r>
      <w:r>
        <w:rPr>
          <w:rFonts w:ascii="Times New Roman" w:eastAsia="Times New Roman" w:hAnsi="Times New Roman" w:cs="Times New Roman"/>
          <w:bCs/>
          <w:sz w:val="24"/>
          <w:szCs w:val="24"/>
          <w:lang w:eastAsia="sk-SK"/>
        </w:rPr>
        <w:t xml:space="preserve"> zaviesť lehoty na ukončenie </w:t>
      </w:r>
      <w:r w:rsidR="00804ED6">
        <w:rPr>
          <w:rFonts w:ascii="Times New Roman" w:eastAsia="Times New Roman" w:hAnsi="Times New Roman" w:cs="Times New Roman"/>
          <w:bCs/>
          <w:sz w:val="24"/>
          <w:szCs w:val="24"/>
          <w:lang w:eastAsia="sk-SK"/>
        </w:rPr>
        <w:t xml:space="preserve">katastrálnych </w:t>
      </w:r>
      <w:r>
        <w:rPr>
          <w:rFonts w:ascii="Times New Roman" w:eastAsia="Times New Roman" w:hAnsi="Times New Roman" w:cs="Times New Roman"/>
          <w:bCs/>
          <w:sz w:val="24"/>
          <w:szCs w:val="24"/>
          <w:lang w:eastAsia="sk-SK"/>
        </w:rPr>
        <w:t>konaní</w:t>
      </w:r>
      <w:r w:rsidR="00804ED6">
        <w:rPr>
          <w:rFonts w:ascii="Times New Roman" w:eastAsia="Times New Roman" w:hAnsi="Times New Roman" w:cs="Times New Roman"/>
          <w:bCs/>
          <w:sz w:val="24"/>
          <w:szCs w:val="24"/>
          <w:lang w:eastAsia="sk-SK"/>
        </w:rPr>
        <w:t>, pričom pri niektorých lehotách došlo k ich skráteniu</w:t>
      </w:r>
      <w:r>
        <w:rPr>
          <w:rFonts w:ascii="Times New Roman" w:eastAsia="Times New Roman" w:hAnsi="Times New Roman" w:cs="Times New Roman"/>
          <w:bCs/>
          <w:sz w:val="24"/>
          <w:szCs w:val="24"/>
          <w:lang w:eastAsia="sk-SK"/>
        </w:rPr>
        <w:t>.</w:t>
      </w:r>
      <w:r w:rsidR="00804ED6">
        <w:rPr>
          <w:rFonts w:ascii="Times New Roman" w:eastAsia="Times New Roman" w:hAnsi="Times New Roman" w:cs="Times New Roman"/>
          <w:bCs/>
          <w:sz w:val="24"/>
          <w:szCs w:val="24"/>
          <w:lang w:eastAsia="sk-SK"/>
        </w:rPr>
        <w:t xml:space="preserve"> Novo sa definuje inštitút prešetrenia, využívaný vo veľkej miere podnikateľmi.  Vytvára sa právny základ významnejšej informatizácie katastrálnych konaní.</w:t>
      </w:r>
      <w:r>
        <w:rPr>
          <w:rFonts w:ascii="Times New Roman" w:eastAsia="Times New Roman" w:hAnsi="Times New Roman" w:cs="Times New Roman"/>
          <w:bCs/>
          <w:sz w:val="24"/>
          <w:szCs w:val="24"/>
          <w:lang w:eastAsia="sk-SK"/>
        </w:rPr>
        <w:t xml:space="preserve"> </w:t>
      </w:r>
      <w:r w:rsidR="00804ED6">
        <w:rPr>
          <w:rFonts w:ascii="Times New Roman" w:eastAsia="Times New Roman" w:hAnsi="Times New Roman" w:cs="Times New Roman"/>
          <w:bCs/>
          <w:sz w:val="24"/>
          <w:szCs w:val="24"/>
          <w:lang w:eastAsia="sk-SK"/>
        </w:rPr>
        <w:t xml:space="preserve">Ak zhrnieme vyššie uvedené, </w:t>
      </w:r>
      <w:r w:rsidR="00253F79">
        <w:rPr>
          <w:rFonts w:ascii="Times New Roman" w:eastAsia="Times New Roman" w:hAnsi="Times New Roman" w:cs="Times New Roman"/>
          <w:bCs/>
          <w:sz w:val="24"/>
          <w:szCs w:val="24"/>
          <w:lang w:eastAsia="sk-SK"/>
        </w:rPr>
        <w:t xml:space="preserve">jedným z najvýznamnejších cieľov </w:t>
      </w:r>
      <w:r w:rsidR="00804ED6">
        <w:rPr>
          <w:rFonts w:ascii="Times New Roman" w:eastAsia="Times New Roman" w:hAnsi="Times New Roman" w:cs="Times New Roman"/>
          <w:bCs/>
          <w:sz w:val="24"/>
          <w:szCs w:val="24"/>
          <w:lang w:eastAsia="sk-SK"/>
        </w:rPr>
        <w:t xml:space="preserve">materiálu </w:t>
      </w:r>
      <w:r w:rsidR="00253F79">
        <w:rPr>
          <w:rFonts w:ascii="Times New Roman" w:eastAsia="Times New Roman" w:hAnsi="Times New Roman" w:cs="Times New Roman"/>
          <w:bCs/>
          <w:sz w:val="24"/>
          <w:szCs w:val="24"/>
          <w:lang w:eastAsia="sk-SK"/>
        </w:rPr>
        <w:t xml:space="preserve">je </w:t>
      </w:r>
      <w:r w:rsidR="00804ED6">
        <w:rPr>
          <w:rFonts w:ascii="Times New Roman" w:eastAsia="Times New Roman" w:hAnsi="Times New Roman" w:cs="Times New Roman"/>
          <w:bCs/>
          <w:sz w:val="24"/>
          <w:szCs w:val="24"/>
          <w:lang w:eastAsia="sk-SK"/>
        </w:rPr>
        <w:t xml:space="preserve">celé katastrálne konanie </w:t>
      </w:r>
      <w:r w:rsidR="00253F79">
        <w:rPr>
          <w:rFonts w:ascii="Times New Roman" w:eastAsia="Times New Roman" w:hAnsi="Times New Roman" w:cs="Times New Roman"/>
          <w:bCs/>
          <w:sz w:val="24"/>
          <w:szCs w:val="24"/>
          <w:lang w:eastAsia="sk-SK"/>
        </w:rPr>
        <w:t>zjednodušiť a </w:t>
      </w:r>
      <w:r w:rsidR="00804ED6">
        <w:rPr>
          <w:rFonts w:ascii="Times New Roman" w:eastAsia="Times New Roman" w:hAnsi="Times New Roman" w:cs="Times New Roman"/>
          <w:bCs/>
          <w:sz w:val="24"/>
          <w:szCs w:val="24"/>
          <w:lang w:eastAsia="sk-SK"/>
        </w:rPr>
        <w:t>zrýchliť</w:t>
      </w:r>
      <w:r w:rsidR="00253F79">
        <w:rPr>
          <w:rFonts w:ascii="Times New Roman" w:eastAsia="Times New Roman" w:hAnsi="Times New Roman" w:cs="Times New Roman"/>
          <w:bCs/>
          <w:sz w:val="24"/>
          <w:szCs w:val="24"/>
          <w:lang w:eastAsia="sk-SK"/>
        </w:rPr>
        <w:t>.</w:t>
      </w: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1E4A2" w14:textId="77777777" w:rsidR="00553F47" w:rsidRDefault="00553F47" w:rsidP="00054C41">
      <w:pPr>
        <w:spacing w:after="0" w:line="240" w:lineRule="auto"/>
      </w:pPr>
      <w:r>
        <w:separator/>
      </w:r>
    </w:p>
  </w:endnote>
  <w:endnote w:type="continuationSeparator" w:id="0">
    <w:p w14:paraId="55109111" w14:textId="77777777" w:rsidR="00553F47" w:rsidRDefault="00553F47"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7C13D" w14:textId="77777777" w:rsidR="00553F47" w:rsidRDefault="00553F47" w:rsidP="00054C41">
      <w:pPr>
        <w:spacing w:after="0" w:line="240" w:lineRule="auto"/>
      </w:pPr>
      <w:r>
        <w:separator/>
      </w:r>
    </w:p>
  </w:footnote>
  <w:footnote w:type="continuationSeparator" w:id="0">
    <w:p w14:paraId="03AE5F62" w14:textId="77777777" w:rsidR="00553F47" w:rsidRDefault="00553F47"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60FA6"/>
    <w:multiLevelType w:val="hybridMultilevel"/>
    <w:tmpl w:val="465801BA"/>
    <w:lvl w:ilvl="0" w:tplc="906ACEF6">
      <w:start w:val="1"/>
      <w:numFmt w:val="decimal"/>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A132913"/>
    <w:multiLevelType w:val="hybridMultilevel"/>
    <w:tmpl w:val="9C68B8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9EE7CB8"/>
    <w:multiLevelType w:val="hybridMultilevel"/>
    <w:tmpl w:val="6DDC1772"/>
    <w:lvl w:ilvl="0" w:tplc="559CB50E">
      <w:start w:val="1"/>
      <w:numFmt w:val="lowerLetter"/>
      <w:lvlText w:val="%1)"/>
      <w:lvlJc w:val="left"/>
      <w:pPr>
        <w:ind w:left="420" w:hanging="360"/>
      </w:pPr>
      <w:rPr>
        <w:rFonts w:hint="default"/>
        <w:color w:val="auto"/>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6"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AC05DBC"/>
    <w:multiLevelType w:val="hybridMultilevel"/>
    <w:tmpl w:val="08340664"/>
    <w:lvl w:ilvl="0" w:tplc="75023234">
      <w:start w:val="1"/>
      <w:numFmt w:val="decimal"/>
      <w:lvlText w:val="%1."/>
      <w:lvlJc w:val="left"/>
      <w:pPr>
        <w:ind w:left="720"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7AA25AFF"/>
    <w:multiLevelType w:val="hybridMultilevel"/>
    <w:tmpl w:val="9C68B8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9760580">
    <w:abstractNumId w:val="3"/>
  </w:num>
  <w:num w:numId="2" w16cid:durableId="1239173580">
    <w:abstractNumId w:val="13"/>
  </w:num>
  <w:num w:numId="3" w16cid:durableId="912545986">
    <w:abstractNumId w:val="14"/>
  </w:num>
  <w:num w:numId="4" w16cid:durableId="529414822">
    <w:abstractNumId w:val="12"/>
  </w:num>
  <w:num w:numId="5" w16cid:durableId="1942452665">
    <w:abstractNumId w:val="10"/>
  </w:num>
  <w:num w:numId="6" w16cid:durableId="13661747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255967">
    <w:abstractNumId w:val="14"/>
  </w:num>
  <w:num w:numId="8" w16cid:durableId="12838502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0487118">
    <w:abstractNumId w:val="11"/>
  </w:num>
  <w:num w:numId="10" w16cid:durableId="59598009">
    <w:abstractNumId w:val="6"/>
  </w:num>
  <w:num w:numId="11" w16cid:durableId="133379107">
    <w:abstractNumId w:val="7"/>
  </w:num>
  <w:num w:numId="12" w16cid:durableId="330564318">
    <w:abstractNumId w:val="1"/>
  </w:num>
  <w:num w:numId="13" w16cid:durableId="1350832798">
    <w:abstractNumId w:val="15"/>
  </w:num>
  <w:num w:numId="14" w16cid:durableId="1378041337">
    <w:abstractNumId w:val="9"/>
  </w:num>
  <w:num w:numId="15" w16cid:durableId="262343710">
    <w:abstractNumId w:val="0"/>
  </w:num>
  <w:num w:numId="16" w16cid:durableId="1004169234">
    <w:abstractNumId w:val="16"/>
  </w:num>
  <w:num w:numId="17" w16cid:durableId="2103186570">
    <w:abstractNumId w:val="2"/>
  </w:num>
  <w:num w:numId="18" w16cid:durableId="812983225">
    <w:abstractNumId w:val="5"/>
  </w:num>
  <w:num w:numId="19" w16cid:durableId="18292062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0993"/>
    <w:rsid w:val="0002425A"/>
    <w:rsid w:val="00024EE4"/>
    <w:rsid w:val="00047C70"/>
    <w:rsid w:val="00050AAB"/>
    <w:rsid w:val="00054A53"/>
    <w:rsid w:val="00054C41"/>
    <w:rsid w:val="00060DA1"/>
    <w:rsid w:val="00061E85"/>
    <w:rsid w:val="000820E0"/>
    <w:rsid w:val="00085908"/>
    <w:rsid w:val="00091A43"/>
    <w:rsid w:val="0009490E"/>
    <w:rsid w:val="000A2DE4"/>
    <w:rsid w:val="000A6B7F"/>
    <w:rsid w:val="000B2CDA"/>
    <w:rsid w:val="000B2D2D"/>
    <w:rsid w:val="000C0ECA"/>
    <w:rsid w:val="000C5419"/>
    <w:rsid w:val="000C5E9A"/>
    <w:rsid w:val="000D15F0"/>
    <w:rsid w:val="0011003B"/>
    <w:rsid w:val="001133DA"/>
    <w:rsid w:val="00125F4F"/>
    <w:rsid w:val="00126A2B"/>
    <w:rsid w:val="00142154"/>
    <w:rsid w:val="001476A4"/>
    <w:rsid w:val="00162C6C"/>
    <w:rsid w:val="0016512E"/>
    <w:rsid w:val="00170971"/>
    <w:rsid w:val="00171A8E"/>
    <w:rsid w:val="00173C55"/>
    <w:rsid w:val="0018715C"/>
    <w:rsid w:val="001A1561"/>
    <w:rsid w:val="001B4C03"/>
    <w:rsid w:val="001C7B91"/>
    <w:rsid w:val="001D1083"/>
    <w:rsid w:val="001D2755"/>
    <w:rsid w:val="001D3080"/>
    <w:rsid w:val="001D3FA0"/>
    <w:rsid w:val="001E24E8"/>
    <w:rsid w:val="001E53CB"/>
    <w:rsid w:val="001F6A71"/>
    <w:rsid w:val="002050E5"/>
    <w:rsid w:val="00207F43"/>
    <w:rsid w:val="002232D3"/>
    <w:rsid w:val="00225A83"/>
    <w:rsid w:val="00231B8F"/>
    <w:rsid w:val="00234011"/>
    <w:rsid w:val="00253F79"/>
    <w:rsid w:val="00270EA5"/>
    <w:rsid w:val="002712B9"/>
    <w:rsid w:val="00272A07"/>
    <w:rsid w:val="00284B8C"/>
    <w:rsid w:val="0029483F"/>
    <w:rsid w:val="002C2FC0"/>
    <w:rsid w:val="002D3C8C"/>
    <w:rsid w:val="002E32D4"/>
    <w:rsid w:val="00302A17"/>
    <w:rsid w:val="00314D25"/>
    <w:rsid w:val="00315BE2"/>
    <w:rsid w:val="0033175E"/>
    <w:rsid w:val="003322EE"/>
    <w:rsid w:val="00337630"/>
    <w:rsid w:val="00340CFD"/>
    <w:rsid w:val="003413D5"/>
    <w:rsid w:val="00342621"/>
    <w:rsid w:val="00343046"/>
    <w:rsid w:val="00357F22"/>
    <w:rsid w:val="0036748D"/>
    <w:rsid w:val="00376039"/>
    <w:rsid w:val="0038255E"/>
    <w:rsid w:val="00385795"/>
    <w:rsid w:val="00387F61"/>
    <w:rsid w:val="00391648"/>
    <w:rsid w:val="0039304E"/>
    <w:rsid w:val="0039334E"/>
    <w:rsid w:val="00394AD2"/>
    <w:rsid w:val="00395B60"/>
    <w:rsid w:val="003A02AF"/>
    <w:rsid w:val="003A3124"/>
    <w:rsid w:val="003A686F"/>
    <w:rsid w:val="003C5BA3"/>
    <w:rsid w:val="003D71D4"/>
    <w:rsid w:val="003E58B8"/>
    <w:rsid w:val="003F06D7"/>
    <w:rsid w:val="003F4896"/>
    <w:rsid w:val="00400224"/>
    <w:rsid w:val="00400BA5"/>
    <w:rsid w:val="004016BF"/>
    <w:rsid w:val="00410E62"/>
    <w:rsid w:val="00414FA7"/>
    <w:rsid w:val="00420090"/>
    <w:rsid w:val="004239D1"/>
    <w:rsid w:val="00426804"/>
    <w:rsid w:val="00445638"/>
    <w:rsid w:val="00446432"/>
    <w:rsid w:val="00446512"/>
    <w:rsid w:val="00466D7A"/>
    <w:rsid w:val="0048237B"/>
    <w:rsid w:val="004842E7"/>
    <w:rsid w:val="00484D16"/>
    <w:rsid w:val="00491853"/>
    <w:rsid w:val="00495C1B"/>
    <w:rsid w:val="004A14CD"/>
    <w:rsid w:val="004A2C6B"/>
    <w:rsid w:val="004B3A56"/>
    <w:rsid w:val="004D0F96"/>
    <w:rsid w:val="004D20CB"/>
    <w:rsid w:val="004D65B2"/>
    <w:rsid w:val="004D681D"/>
    <w:rsid w:val="004E2324"/>
    <w:rsid w:val="004F63E6"/>
    <w:rsid w:val="005103DA"/>
    <w:rsid w:val="00511F8F"/>
    <w:rsid w:val="00512BA7"/>
    <w:rsid w:val="00515726"/>
    <w:rsid w:val="00523D0C"/>
    <w:rsid w:val="00553F47"/>
    <w:rsid w:val="00562527"/>
    <w:rsid w:val="00562A1E"/>
    <w:rsid w:val="00563427"/>
    <w:rsid w:val="00574D36"/>
    <w:rsid w:val="00581EB9"/>
    <w:rsid w:val="00582AA8"/>
    <w:rsid w:val="005A585F"/>
    <w:rsid w:val="005B4E6E"/>
    <w:rsid w:val="005B56E4"/>
    <w:rsid w:val="005C321B"/>
    <w:rsid w:val="005C4EFC"/>
    <w:rsid w:val="005C795C"/>
    <w:rsid w:val="005D0E50"/>
    <w:rsid w:val="005D39D8"/>
    <w:rsid w:val="005D3A94"/>
    <w:rsid w:val="005D7AB8"/>
    <w:rsid w:val="005F2CF5"/>
    <w:rsid w:val="0060385F"/>
    <w:rsid w:val="00604434"/>
    <w:rsid w:val="00604794"/>
    <w:rsid w:val="00604E2E"/>
    <w:rsid w:val="0061097B"/>
    <w:rsid w:val="0061612F"/>
    <w:rsid w:val="006177C8"/>
    <w:rsid w:val="0062600A"/>
    <w:rsid w:val="0063777D"/>
    <w:rsid w:val="00643358"/>
    <w:rsid w:val="00646084"/>
    <w:rsid w:val="006564C3"/>
    <w:rsid w:val="006578CB"/>
    <w:rsid w:val="006774CC"/>
    <w:rsid w:val="006A1C06"/>
    <w:rsid w:val="006A4E85"/>
    <w:rsid w:val="006A60C0"/>
    <w:rsid w:val="006A712F"/>
    <w:rsid w:val="006B5D74"/>
    <w:rsid w:val="006B792F"/>
    <w:rsid w:val="006C25BE"/>
    <w:rsid w:val="006D0FDF"/>
    <w:rsid w:val="006D7AD8"/>
    <w:rsid w:val="006E524F"/>
    <w:rsid w:val="006F1D57"/>
    <w:rsid w:val="0070364C"/>
    <w:rsid w:val="0070499E"/>
    <w:rsid w:val="00710EDF"/>
    <w:rsid w:val="00716ADD"/>
    <w:rsid w:val="0072221D"/>
    <w:rsid w:val="0072357C"/>
    <w:rsid w:val="007259CB"/>
    <w:rsid w:val="00726031"/>
    <w:rsid w:val="00735F05"/>
    <w:rsid w:val="00747DA7"/>
    <w:rsid w:val="00751DA9"/>
    <w:rsid w:val="00755E69"/>
    <w:rsid w:val="007648EE"/>
    <w:rsid w:val="0077106D"/>
    <w:rsid w:val="007769F6"/>
    <w:rsid w:val="00780ACC"/>
    <w:rsid w:val="007838E2"/>
    <w:rsid w:val="00785340"/>
    <w:rsid w:val="00787A11"/>
    <w:rsid w:val="00797B40"/>
    <w:rsid w:val="007A0C9D"/>
    <w:rsid w:val="007B40FB"/>
    <w:rsid w:val="007B62AF"/>
    <w:rsid w:val="007E24B2"/>
    <w:rsid w:val="007E2679"/>
    <w:rsid w:val="007E2DA4"/>
    <w:rsid w:val="007E6815"/>
    <w:rsid w:val="007E7632"/>
    <w:rsid w:val="007F1C84"/>
    <w:rsid w:val="007F4579"/>
    <w:rsid w:val="00801596"/>
    <w:rsid w:val="00804BC8"/>
    <w:rsid w:val="00804ED6"/>
    <w:rsid w:val="00806E23"/>
    <w:rsid w:val="00807981"/>
    <w:rsid w:val="00823F5A"/>
    <w:rsid w:val="008337CF"/>
    <w:rsid w:val="00845D3B"/>
    <w:rsid w:val="008634E9"/>
    <w:rsid w:val="008801B5"/>
    <w:rsid w:val="00880578"/>
    <w:rsid w:val="00882407"/>
    <w:rsid w:val="00884C2E"/>
    <w:rsid w:val="008920C3"/>
    <w:rsid w:val="00894052"/>
    <w:rsid w:val="008A7B87"/>
    <w:rsid w:val="008B20FE"/>
    <w:rsid w:val="008B4AA1"/>
    <w:rsid w:val="008B4B80"/>
    <w:rsid w:val="008B5740"/>
    <w:rsid w:val="008C1B90"/>
    <w:rsid w:val="008C1C71"/>
    <w:rsid w:val="008C1FA8"/>
    <w:rsid w:val="008C6BB5"/>
    <w:rsid w:val="008E1AD0"/>
    <w:rsid w:val="008E315F"/>
    <w:rsid w:val="008E6B82"/>
    <w:rsid w:val="008E7BBD"/>
    <w:rsid w:val="008F6ADE"/>
    <w:rsid w:val="0091269B"/>
    <w:rsid w:val="00923C0C"/>
    <w:rsid w:val="009318BE"/>
    <w:rsid w:val="00934D56"/>
    <w:rsid w:val="0095170D"/>
    <w:rsid w:val="00951740"/>
    <w:rsid w:val="00952CF6"/>
    <w:rsid w:val="00960413"/>
    <w:rsid w:val="00981995"/>
    <w:rsid w:val="00981C7F"/>
    <w:rsid w:val="00985515"/>
    <w:rsid w:val="00990813"/>
    <w:rsid w:val="0099544D"/>
    <w:rsid w:val="00997513"/>
    <w:rsid w:val="009A0E2C"/>
    <w:rsid w:val="009A3720"/>
    <w:rsid w:val="009A4D56"/>
    <w:rsid w:val="009B1F04"/>
    <w:rsid w:val="009D23DC"/>
    <w:rsid w:val="009E09F7"/>
    <w:rsid w:val="009E2D5C"/>
    <w:rsid w:val="009E3DD6"/>
    <w:rsid w:val="009E3E44"/>
    <w:rsid w:val="009E4AD9"/>
    <w:rsid w:val="009F4175"/>
    <w:rsid w:val="009F66A4"/>
    <w:rsid w:val="009F6C80"/>
    <w:rsid w:val="00A000DA"/>
    <w:rsid w:val="00A0328F"/>
    <w:rsid w:val="00A1736E"/>
    <w:rsid w:val="00A216DF"/>
    <w:rsid w:val="00A33F2C"/>
    <w:rsid w:val="00A4276F"/>
    <w:rsid w:val="00A42E14"/>
    <w:rsid w:val="00A50EE3"/>
    <w:rsid w:val="00A83E11"/>
    <w:rsid w:val="00A87701"/>
    <w:rsid w:val="00A94059"/>
    <w:rsid w:val="00A94A0F"/>
    <w:rsid w:val="00AA3C6D"/>
    <w:rsid w:val="00AB30EE"/>
    <w:rsid w:val="00AB4CDE"/>
    <w:rsid w:val="00AB57C4"/>
    <w:rsid w:val="00AB6FB7"/>
    <w:rsid w:val="00AC1C99"/>
    <w:rsid w:val="00AF2413"/>
    <w:rsid w:val="00B02AA5"/>
    <w:rsid w:val="00B11CF5"/>
    <w:rsid w:val="00B209FA"/>
    <w:rsid w:val="00B21D1F"/>
    <w:rsid w:val="00B410BA"/>
    <w:rsid w:val="00B43D68"/>
    <w:rsid w:val="00B44A3A"/>
    <w:rsid w:val="00B51E37"/>
    <w:rsid w:val="00B5600C"/>
    <w:rsid w:val="00B66E33"/>
    <w:rsid w:val="00B72FB1"/>
    <w:rsid w:val="00B94CF1"/>
    <w:rsid w:val="00B953DA"/>
    <w:rsid w:val="00BA19B0"/>
    <w:rsid w:val="00BB3870"/>
    <w:rsid w:val="00BB45A7"/>
    <w:rsid w:val="00BC2F15"/>
    <w:rsid w:val="00BD0B0F"/>
    <w:rsid w:val="00BD0EF7"/>
    <w:rsid w:val="00BD22E7"/>
    <w:rsid w:val="00BD6778"/>
    <w:rsid w:val="00C01599"/>
    <w:rsid w:val="00C048D1"/>
    <w:rsid w:val="00C05563"/>
    <w:rsid w:val="00C11132"/>
    <w:rsid w:val="00C115B9"/>
    <w:rsid w:val="00C12FDD"/>
    <w:rsid w:val="00C145AA"/>
    <w:rsid w:val="00C14655"/>
    <w:rsid w:val="00C21399"/>
    <w:rsid w:val="00C242D8"/>
    <w:rsid w:val="00C446E2"/>
    <w:rsid w:val="00C4668D"/>
    <w:rsid w:val="00C535F5"/>
    <w:rsid w:val="00C55E7A"/>
    <w:rsid w:val="00C560C4"/>
    <w:rsid w:val="00C56828"/>
    <w:rsid w:val="00C6748F"/>
    <w:rsid w:val="00C74337"/>
    <w:rsid w:val="00C75DC8"/>
    <w:rsid w:val="00C83AA7"/>
    <w:rsid w:val="00C921EB"/>
    <w:rsid w:val="00C929AE"/>
    <w:rsid w:val="00CA1B68"/>
    <w:rsid w:val="00CA4344"/>
    <w:rsid w:val="00CA6348"/>
    <w:rsid w:val="00CB1232"/>
    <w:rsid w:val="00CB17A0"/>
    <w:rsid w:val="00CC3B7D"/>
    <w:rsid w:val="00CD5AE4"/>
    <w:rsid w:val="00CD5E86"/>
    <w:rsid w:val="00CE3164"/>
    <w:rsid w:val="00CE3B21"/>
    <w:rsid w:val="00CF4D09"/>
    <w:rsid w:val="00D005F2"/>
    <w:rsid w:val="00D03A8E"/>
    <w:rsid w:val="00D114ED"/>
    <w:rsid w:val="00D276AA"/>
    <w:rsid w:val="00D3032C"/>
    <w:rsid w:val="00D31A3B"/>
    <w:rsid w:val="00D50E19"/>
    <w:rsid w:val="00D5309D"/>
    <w:rsid w:val="00D604B9"/>
    <w:rsid w:val="00D631FA"/>
    <w:rsid w:val="00D71064"/>
    <w:rsid w:val="00D811BB"/>
    <w:rsid w:val="00D82356"/>
    <w:rsid w:val="00D84EEE"/>
    <w:rsid w:val="00D87B7F"/>
    <w:rsid w:val="00D90A61"/>
    <w:rsid w:val="00D92FCC"/>
    <w:rsid w:val="00D946EF"/>
    <w:rsid w:val="00D95553"/>
    <w:rsid w:val="00DA3EC5"/>
    <w:rsid w:val="00DB76C2"/>
    <w:rsid w:val="00DC355F"/>
    <w:rsid w:val="00DD1E4C"/>
    <w:rsid w:val="00DE331A"/>
    <w:rsid w:val="00DE6ACB"/>
    <w:rsid w:val="00DF02CE"/>
    <w:rsid w:val="00DF1462"/>
    <w:rsid w:val="00E030DA"/>
    <w:rsid w:val="00E214C0"/>
    <w:rsid w:val="00E30D85"/>
    <w:rsid w:val="00E444EB"/>
    <w:rsid w:val="00E77A69"/>
    <w:rsid w:val="00E81A42"/>
    <w:rsid w:val="00E8774A"/>
    <w:rsid w:val="00E961E8"/>
    <w:rsid w:val="00E96244"/>
    <w:rsid w:val="00E96DE0"/>
    <w:rsid w:val="00EB2BEC"/>
    <w:rsid w:val="00EB74BF"/>
    <w:rsid w:val="00EC0704"/>
    <w:rsid w:val="00EC508B"/>
    <w:rsid w:val="00ED4C0F"/>
    <w:rsid w:val="00ED6B5D"/>
    <w:rsid w:val="00EE4C99"/>
    <w:rsid w:val="00EE66FA"/>
    <w:rsid w:val="00F153D7"/>
    <w:rsid w:val="00F1599C"/>
    <w:rsid w:val="00F2123B"/>
    <w:rsid w:val="00F2433F"/>
    <w:rsid w:val="00F244DC"/>
    <w:rsid w:val="00F378F4"/>
    <w:rsid w:val="00F47912"/>
    <w:rsid w:val="00F541B6"/>
    <w:rsid w:val="00F546BD"/>
    <w:rsid w:val="00F57702"/>
    <w:rsid w:val="00F61361"/>
    <w:rsid w:val="00F613E8"/>
    <w:rsid w:val="00F74D3C"/>
    <w:rsid w:val="00F74FC9"/>
    <w:rsid w:val="00F77BA9"/>
    <w:rsid w:val="00F91F47"/>
    <w:rsid w:val="00F936D9"/>
    <w:rsid w:val="00F93BF8"/>
    <w:rsid w:val="00F94D5A"/>
    <w:rsid w:val="00F9561E"/>
    <w:rsid w:val="00FA4F36"/>
    <w:rsid w:val="00FA6FFE"/>
    <w:rsid w:val="00FB1038"/>
    <w:rsid w:val="00FB3ABF"/>
    <w:rsid w:val="00FC121B"/>
    <w:rsid w:val="00FC3954"/>
    <w:rsid w:val="00FD3DFB"/>
    <w:rsid w:val="00FE5DF2"/>
    <w:rsid w:val="00FF0272"/>
    <w:rsid w:val="00FF2245"/>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40584495">
      <w:bodyDiv w:val="1"/>
      <w:marLeft w:val="0"/>
      <w:marRight w:val="0"/>
      <w:marTop w:val="0"/>
      <w:marBottom w:val="0"/>
      <w:divBdr>
        <w:top w:val="none" w:sz="0" w:space="0" w:color="auto"/>
        <w:left w:val="none" w:sz="0" w:space="0" w:color="auto"/>
        <w:bottom w:val="none" w:sz="0" w:space="0" w:color="auto"/>
        <w:right w:val="none" w:sz="0" w:space="0" w:color="auto"/>
      </w:divBdr>
    </w:div>
    <w:div w:id="186603013">
      <w:bodyDiv w:val="1"/>
      <w:marLeft w:val="0"/>
      <w:marRight w:val="0"/>
      <w:marTop w:val="0"/>
      <w:marBottom w:val="0"/>
      <w:divBdr>
        <w:top w:val="none" w:sz="0" w:space="0" w:color="auto"/>
        <w:left w:val="none" w:sz="0" w:space="0" w:color="auto"/>
        <w:bottom w:val="none" w:sz="0" w:space="0" w:color="auto"/>
        <w:right w:val="none" w:sz="0" w:space="0" w:color="auto"/>
      </w:divBdr>
    </w:div>
    <w:div w:id="186716221">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77178609">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1248983">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61929391">
      <w:bodyDiv w:val="1"/>
      <w:marLeft w:val="0"/>
      <w:marRight w:val="0"/>
      <w:marTop w:val="0"/>
      <w:marBottom w:val="0"/>
      <w:divBdr>
        <w:top w:val="none" w:sz="0" w:space="0" w:color="auto"/>
        <w:left w:val="none" w:sz="0" w:space="0" w:color="auto"/>
        <w:bottom w:val="none" w:sz="0" w:space="0" w:color="auto"/>
        <w:right w:val="none" w:sz="0" w:space="0" w:color="auto"/>
      </w:divBdr>
    </w:div>
    <w:div w:id="154340114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81897010">
      <w:bodyDiv w:val="1"/>
      <w:marLeft w:val="0"/>
      <w:marRight w:val="0"/>
      <w:marTop w:val="0"/>
      <w:marBottom w:val="0"/>
      <w:divBdr>
        <w:top w:val="none" w:sz="0" w:space="0" w:color="auto"/>
        <w:left w:val="none" w:sz="0" w:space="0" w:color="auto"/>
        <w:bottom w:val="none" w:sz="0" w:space="0" w:color="auto"/>
        <w:right w:val="none" w:sz="0" w:space="0" w:color="auto"/>
      </w:divBdr>
    </w:div>
    <w:div w:id="1998921098">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4211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5072</Words>
  <Characters>28917</Characters>
  <Application>Microsoft Office Word</Application>
  <DocSecurity>0</DocSecurity>
  <Lines>240</Lines>
  <Paragraphs>67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Šoltysová Ľubomíra, Mgr.</cp:lastModifiedBy>
  <cp:revision>8</cp:revision>
  <dcterms:created xsi:type="dcterms:W3CDTF">2025-11-18T10:43:00Z</dcterms:created>
  <dcterms:modified xsi:type="dcterms:W3CDTF">2025-11-18T15:34:00Z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