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ECF" w:rsidRPr="00D83840" w:rsidRDefault="001D7ECF" w:rsidP="00F744D8">
      <w:pPr>
        <w:pStyle w:val="Vchodzie"/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sk-SK"/>
        </w:rPr>
        <w:t>Predbežné stanovisko k návrhu aktu Európskej únie</w:t>
      </w:r>
    </w:p>
    <w:p w:rsidR="001D7ECF" w:rsidRPr="00D83840" w:rsidRDefault="001D7ECF" w:rsidP="00D83840">
      <w:pPr>
        <w:pStyle w:val="Vchodzie"/>
        <w:spacing w:after="0" w:line="240" w:lineRule="auto"/>
        <w:ind w:left="1080" w:hanging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sk-SK"/>
        </w:rPr>
      </w:pPr>
      <w:r w:rsidRPr="00D8384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sk-SK"/>
        </w:rPr>
        <w:t xml:space="preserve">PREDBEŽNÉ STANOVISKO </w:t>
      </w: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</w:pP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sk-SK"/>
        </w:rPr>
        <w:t>Názov</w:t>
      </w:r>
    </w:p>
    <w:p w:rsidR="00B62148" w:rsidRPr="00D83840" w:rsidRDefault="00B62148" w:rsidP="00D83840">
      <w:pPr>
        <w:pStyle w:val="Vchodzie"/>
        <w:tabs>
          <w:tab w:val="left" w:pos="426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noProof/>
        </w:rPr>
      </w:pPr>
      <w:r w:rsidRPr="00D83840">
        <w:rPr>
          <w:rFonts w:ascii="Times New Roman" w:eastAsia="Calibri" w:hAnsi="Times New Roman" w:cs="Times New Roman"/>
          <w:noProof/>
        </w:rPr>
        <w:t>Návrh NARIADENIE EURÓPSKEHO PARLAMENTU A RADY, ktorým sa zriaďuje  Dočasný dekarbonizačný fond</w:t>
      </w: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sk-SK"/>
        </w:rPr>
        <w:t>Číslo a dátum zverejnenia dokumentu EK</w:t>
      </w: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color w:val="000000" w:themeColor="text1"/>
          <w:sz w:val="24"/>
          <w:szCs w:val="24"/>
        </w:rPr>
        <w:t>COM(2025) 99</w:t>
      </w:r>
      <w:r w:rsidR="00B62148" w:rsidRPr="00D83840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D838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 konečnom znení, zverejnený 1</w:t>
      </w:r>
      <w:r w:rsidR="00B62148" w:rsidRPr="00D83840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D83840">
        <w:rPr>
          <w:rFonts w:ascii="Times New Roman" w:hAnsi="Times New Roman" w:cs="Times New Roman"/>
          <w:color w:val="000000" w:themeColor="text1"/>
          <w:sz w:val="24"/>
          <w:szCs w:val="24"/>
        </w:rPr>
        <w:t>. decembra 2025</w:t>
      </w: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sk-SK"/>
        </w:rPr>
        <w:t>Gestor</w:t>
      </w: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D83840">
        <w:rPr>
          <w:rFonts w:ascii="Times New Roman" w:hAnsi="Times New Roman" w:cs="Times New Roman"/>
          <w:color w:val="000000" w:themeColor="text1"/>
          <w:sz w:val="24"/>
          <w:szCs w:val="24"/>
        </w:rPr>
        <w:t>Ministerstvo životného prostredia Slovenskej republiky</w:t>
      </w: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D838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Spolugestori</w:t>
      </w:r>
      <w:proofErr w:type="spellEnd"/>
    </w:p>
    <w:p w:rsidR="003665F5" w:rsidRPr="00D83840" w:rsidRDefault="003665F5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bidi="hi-IN"/>
        </w:rPr>
      </w:pPr>
      <w:r w:rsidRPr="00D83840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bidi="hi-IN"/>
        </w:rPr>
        <w:t xml:space="preserve">Ministerstvo </w:t>
      </w:r>
      <w:r w:rsidR="00B62148" w:rsidRPr="00D83840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bidi="hi-IN"/>
        </w:rPr>
        <w:t>financií</w:t>
      </w:r>
      <w:r w:rsidRPr="00D83840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bidi="hi-IN"/>
        </w:rPr>
        <w:t xml:space="preserve"> Slovenskej republiky</w:t>
      </w: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sk-SK"/>
        </w:rPr>
        <w:t xml:space="preserve">Stupeň dôležitosti návrhu </w:t>
      </w:r>
    </w:p>
    <w:p w:rsidR="001D7ECF" w:rsidRPr="00D83840" w:rsidRDefault="00B62148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color w:val="000000" w:themeColor="text1"/>
          <w:sz w:val="24"/>
          <w:szCs w:val="24"/>
        </w:rPr>
        <w:t>Stredný</w:t>
      </w:r>
    </w:p>
    <w:p w:rsidR="001D7ECF" w:rsidRPr="00D83840" w:rsidRDefault="001D7ECF" w:rsidP="00D83840">
      <w:pPr>
        <w:pStyle w:val="Vchodzie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before="120"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sk-SK"/>
        </w:rPr>
        <w:t xml:space="preserve">Stručné zhrnutie obsahu a cieľa návrhu </w:t>
      </w:r>
    </w:p>
    <w:p w:rsidR="00B62148" w:rsidRPr="00D83840" w:rsidRDefault="00B62148" w:rsidP="00D83840">
      <w:pPr>
        <w:pStyle w:val="Vchodzie"/>
        <w:spacing w:after="0"/>
        <w:ind w:left="284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D83840">
        <w:rPr>
          <w:rFonts w:ascii="Times New Roman" w:eastAsia="Calibri" w:hAnsi="Times New Roman" w:cs="Times New Roman"/>
          <w:noProof/>
          <w:sz w:val="24"/>
          <w:szCs w:val="24"/>
        </w:rPr>
        <w:t>V Európskej zelenej dohode sa stanovuje cieľ dosiahnutia klimatickej neutrality Európskej únie do roku 2050. V roku 2025 Komisia navrhla cieľ znížiť do roku 2040 čisté emisie skleníkových plynov o 90 % v porovnaní s úrovňami z roku 1990.  V tomto navrhovanom cieli sa v plnej miere zohľadňuje súčasné hospodárske, bezpečnostné a geopolitické prostredie v súlade s Kompasom konkurencieschopnosti EÚ</w:t>
      </w:r>
      <w:r w:rsidRPr="00D83840">
        <w:rPr>
          <w:rFonts w:ascii="Times New Roman" w:eastAsia="Calibri" w:hAnsi="Times New Roman" w:cs="Times New Roman"/>
          <w:noProof/>
          <w:sz w:val="24"/>
          <w:szCs w:val="24"/>
          <w:vertAlign w:val="superscript"/>
        </w:rPr>
        <w:t>1</w:t>
      </w:r>
      <w:r w:rsidRPr="00D83840">
        <w:rPr>
          <w:rFonts w:ascii="Times New Roman" w:eastAsia="Calibri" w:hAnsi="Times New Roman" w:cs="Times New Roman"/>
          <w:noProof/>
          <w:sz w:val="24"/>
          <w:szCs w:val="24"/>
        </w:rPr>
        <w:t xml:space="preserve"> a Dohodou o čistom priemysle</w:t>
      </w:r>
      <w:r w:rsidRPr="00D83840">
        <w:rPr>
          <w:rFonts w:ascii="Times New Roman" w:eastAsia="Calibri" w:hAnsi="Times New Roman" w:cs="Times New Roman"/>
          <w:noProof/>
          <w:sz w:val="24"/>
          <w:szCs w:val="24"/>
          <w:vertAlign w:val="superscript"/>
        </w:rPr>
        <w:t>4</w:t>
      </w:r>
      <w:r w:rsidRPr="00D83840">
        <w:rPr>
          <w:rFonts w:ascii="Times New Roman" w:eastAsia="Calibri" w:hAnsi="Times New Roman" w:cs="Times New Roman"/>
          <w:noProof/>
          <w:sz w:val="24"/>
          <w:szCs w:val="24"/>
        </w:rPr>
        <w:t>. Cieľom je zabezpečiť nevyhnutnú predvídateľnosť a stabilitu pre investície do prechodu EÚ na čistú energiu a na podporovanie konkurencieschopnosti priemyslu.  </w:t>
      </w:r>
    </w:p>
    <w:p w:rsidR="00B62148" w:rsidRPr="00D83840" w:rsidRDefault="00B62148" w:rsidP="00D8384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ind w:left="284"/>
        <w:jc w:val="both"/>
        <w:rPr>
          <w:rFonts w:eastAsia="Calibri"/>
          <w:noProof/>
        </w:rPr>
      </w:pPr>
      <w:r w:rsidRPr="00D83840">
        <w:rPr>
          <w:rFonts w:eastAsia="Calibri"/>
          <w:noProof/>
        </w:rPr>
        <w:t>Smernica Európskeho parlamentu a Rady 2003/87/ES z 13. októbra 2003 o vytvorení systému obchodovania s emisnými kvótami skleníkových plynov v Únii, a ktorou sa mení a dopĺňa smernica Rady 96/61/ES (ďalej len „smernica o EU ETS“), je naďalej hlavným nástrojom na znižovanie emisií skleníkových plynov prostredníctvom stanovovania cien uhlíka a postupného znižovania emisného stropu pre celú Úniu. Nariadenie (EÚ) 2023/956, ktorým sa zriaďuje mechanizmus uhlíkovej kompenzácie na hraniciach (ďalej len „mechanizmus CBAM“), dopĺňa tento rámec riešením rizika úniku uhlíka súvisiaceho s dovozom určitého tovaru s vysokými emisiami uhlíka do Únie.</w:t>
      </w:r>
    </w:p>
    <w:p w:rsidR="00B62148" w:rsidRPr="00D83840" w:rsidRDefault="00B62148" w:rsidP="00D8384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ind w:left="284"/>
        <w:jc w:val="both"/>
        <w:rPr>
          <w:rFonts w:eastAsia="Calibri"/>
          <w:noProof/>
        </w:rPr>
      </w:pPr>
      <w:r w:rsidRPr="00D83840">
        <w:rPr>
          <w:rFonts w:eastAsia="Calibri"/>
          <w:noProof/>
        </w:rPr>
        <w:t>S postupným rušením bezodplatného prideľovania kvót v rámci systému EU ETS v rokoch 2026 až 2034 môžu v určitých prípadoch a v prípade určitého tovaru pretrvávať riziká úniku uhlíka. V dôsledku tohto zostávajúceho rizika úniku uhlíka by sa mohla znížiť environmentálna účinnosť politiky Únie v oblasti klímy, ak by zníženie emisií v Únii viedlo k väčšiemu zvýšeniu emisií mimo Únie.</w:t>
      </w:r>
    </w:p>
    <w:p w:rsidR="00B62148" w:rsidRPr="00D83840" w:rsidRDefault="00B62148" w:rsidP="00D8384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ind w:left="284"/>
        <w:jc w:val="both"/>
        <w:rPr>
          <w:rFonts w:eastAsia="Calibri"/>
          <w:noProof/>
        </w:rPr>
      </w:pPr>
      <w:r w:rsidRPr="00D83840">
        <w:rPr>
          <w:rFonts w:eastAsia="Calibri"/>
          <w:noProof/>
        </w:rPr>
        <w:t xml:space="preserve">Týmto legislatívnym návrhom sa zriaďuje fond Únie na poskytovanie cielenej finančnej podpory energeticky náročným priemyselným odvetviam vystaveným zvýšenému zostávajúcemu riziku úniku uhlíka. Fond podporuje prechod priemyslu Únie na klimaticky </w:t>
      </w:r>
      <w:r w:rsidRPr="00D83840">
        <w:rPr>
          <w:rFonts w:eastAsia="Calibri"/>
          <w:noProof/>
        </w:rPr>
        <w:lastRenderedPageBreak/>
        <w:t>neutrálne výrobné procesy, čím sa zníži jeho vystavenie úniku uhlíka a pomôže sa zachovávať environmentálna integrita systému EU ETS zabezpečovaním, aby stanovovanie cien uhlíka účinne prispievalo ku skutočnému zníženiu emisií. Podpora poskytovaná z fondu bude podmienená investíciami do dekarbonizácie.</w:t>
      </w:r>
    </w:p>
    <w:p w:rsidR="00B62148" w:rsidRPr="00D83840" w:rsidRDefault="00B62148" w:rsidP="00D8384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ind w:left="284"/>
        <w:jc w:val="both"/>
        <w:rPr>
          <w:rFonts w:eastAsia="Calibri"/>
          <w:noProof/>
        </w:rPr>
      </w:pPr>
      <w:r w:rsidRPr="00D83840">
        <w:rPr>
          <w:rFonts w:eastAsia="Calibri"/>
          <w:noProof/>
        </w:rPr>
        <w:t>Fond tak prispieva k cieľom článku 191 ZFEÚ, najmä k predchádzaniu environmentálnym škodám a podpore opatrení na úrovni Únie na riešenie cezhraničných environmentálnych problémov, ako je zmena klímy.</w:t>
      </w:r>
    </w:p>
    <w:p w:rsidR="00B62148" w:rsidRPr="00D83840" w:rsidRDefault="00B62148" w:rsidP="00D8384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ind w:left="284"/>
        <w:jc w:val="both"/>
        <w:rPr>
          <w:rFonts w:eastAsia="Calibri"/>
          <w:noProof/>
        </w:rPr>
      </w:pPr>
      <w:r w:rsidRPr="00D83840">
        <w:rPr>
          <w:rFonts w:eastAsia="Calibri"/>
          <w:noProof/>
        </w:rPr>
        <w:t>Návrhom sa dopĺňajú rámce nástrojov EU ETS a CBAM. Nemenia sa ním, ale dopĺňajú mechanizmy zavedené týmito nástrojmi tým, že sa poskytuje prechodné cielené finančné opatrenie na riešenie určitých rizík, kým sa nenájde dlhodobé riešenie, ktoré bude identifikované v návrhu na revíziu systému EU ETS v roku 2026. Návrh je obmedzený z hľadiska rozsahu pôsobnosti a času, aby sa zabránilo prekrývaniu s návrhom na revíziu systému EU ETS plánovaným na rok 2026 a aby sa zabezpečila rozpočtová disciplína.</w:t>
      </w:r>
    </w:p>
    <w:p w:rsidR="00B62148" w:rsidRPr="00D83840" w:rsidRDefault="00B62148" w:rsidP="00D8384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76" w:lineRule="auto"/>
        <w:ind w:left="284"/>
        <w:jc w:val="both"/>
        <w:rPr>
          <w:rFonts w:eastAsia="Arial Unicode MS"/>
          <w:noProof/>
        </w:rPr>
      </w:pPr>
      <w:r w:rsidRPr="00D83840">
        <w:rPr>
          <w:rFonts w:eastAsia="Calibri"/>
          <w:noProof/>
        </w:rPr>
        <w:t>Je takisto v súlade s cieľmi iných fondov Únie, ako sú Inovačný fond a Sociálno-klimatický fond, ktoré podporujú dekarbonizáciu výroby v Únii.</w:t>
      </w:r>
    </w:p>
    <w:p w:rsidR="001D7ECF" w:rsidRPr="00D83840" w:rsidRDefault="001D7ECF" w:rsidP="00D83840">
      <w:pPr>
        <w:pStyle w:val="Vchodzie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Predbežná pozícia Slovenskej republiky</w:t>
      </w:r>
    </w:p>
    <w:p w:rsidR="00B62148" w:rsidRPr="00D83840" w:rsidRDefault="00B62148" w:rsidP="00D83840">
      <w:pPr>
        <w:pStyle w:val="Vchodzie"/>
        <w:spacing w:after="0"/>
        <w:ind w:left="284"/>
        <w:jc w:val="both"/>
        <w:rPr>
          <w:rFonts w:ascii="Times New Roman" w:hAnsi="Times New Roman" w:cs="Times New Roman"/>
          <w:kern w:val="2"/>
          <w:sz w:val="24"/>
          <w:szCs w:val="24"/>
          <w:lang w:bidi="hi-IN"/>
        </w:rPr>
      </w:pP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 xml:space="preserve">Slovenská republika (SR) oceňuje iniciatívu Komisie  hľadať nástroje na zmiernenie rizika úniku uhlíka v kritickom období postupného rušenia bezodplatného prideľovania kvót v rámci systému EU ETS. </w:t>
      </w:r>
    </w:p>
    <w:p w:rsidR="00C95DFE" w:rsidRPr="00D83840" w:rsidRDefault="00B62148" w:rsidP="00D83840">
      <w:pPr>
        <w:spacing w:line="276" w:lineRule="auto"/>
        <w:ind w:left="284"/>
        <w:jc w:val="both"/>
        <w:rPr>
          <w:color w:val="000000" w:themeColor="text1"/>
        </w:rPr>
      </w:pPr>
      <w:r w:rsidRPr="00D83840">
        <w:rPr>
          <w:kern w:val="2"/>
          <w:lang w:bidi="hi-IN"/>
        </w:rPr>
        <w:t xml:space="preserve">SR si uvedomuje, že transformácia priemyslu si vyžaduje masívne investície, no zdôrazňuje, že podpora musí byť predvídateľná a fiškálne neutrálna pre členské štáty. V súvislosti s predloženým návrhom SR konštatuje, že hoci Komisia v sprievodnom dokumente odhaduje, že v dôsledku uplatnenia faktora CBAM v rokoch 2026 – 2027 dôjde k zníženiu bezodplatne pridelených kvót o </w:t>
      </w:r>
      <w:r w:rsidRPr="00D83840">
        <w:rPr>
          <w:bCs/>
          <w:kern w:val="2"/>
          <w:lang w:bidi="hi-IN"/>
        </w:rPr>
        <w:t>približne 15 miliónov ton v hodnote 1,4 miliardy EUR</w:t>
      </w:r>
      <w:r w:rsidRPr="00D83840">
        <w:rPr>
          <w:kern w:val="2"/>
          <w:lang w:bidi="hi-IN"/>
        </w:rPr>
        <w:t xml:space="preserve">, navrhovaný rozpočet fondu vo výške </w:t>
      </w:r>
      <w:r w:rsidRPr="00D83840">
        <w:rPr>
          <w:bCs/>
          <w:kern w:val="2"/>
          <w:lang w:bidi="hi-IN"/>
        </w:rPr>
        <w:t>632 miliónov EUR (308 mil. v roku 2026 a 324 mil. v</w:t>
      </w:r>
      <w:r w:rsidR="00D83840" w:rsidRPr="00D83840">
        <w:rPr>
          <w:bCs/>
          <w:kern w:val="2"/>
          <w:lang w:bidi="hi-IN"/>
        </w:rPr>
        <w:t> </w:t>
      </w:r>
      <w:r w:rsidRPr="00D83840">
        <w:rPr>
          <w:bCs/>
          <w:kern w:val="2"/>
          <w:lang w:bidi="hi-IN"/>
        </w:rPr>
        <w:t>roku</w:t>
      </w:r>
      <w:r w:rsidR="00D83840" w:rsidRPr="00D83840">
        <w:rPr>
          <w:bCs/>
          <w:kern w:val="2"/>
          <w:lang w:bidi="hi-IN"/>
        </w:rPr>
        <w:t xml:space="preserve"> </w:t>
      </w:r>
      <w:r w:rsidRPr="00D83840">
        <w:rPr>
          <w:bCs/>
          <w:kern w:val="2"/>
          <w:lang w:bidi="hi-IN"/>
        </w:rPr>
        <w:t xml:space="preserve">2027) </w:t>
      </w:r>
      <w:r w:rsidRPr="00D83840">
        <w:rPr>
          <w:kern w:val="2"/>
          <w:lang w:bidi="hi-IN"/>
        </w:rPr>
        <w:t xml:space="preserve">nepokrýva ani polovicu reálnej potreby priemyslu. SR vyjadruje vážne znepokojenie nad tým, že zvolená prahová hodnota indikátora úniku uhlíka na úrovni </w:t>
      </w:r>
      <w:r w:rsidRPr="00D83840">
        <w:rPr>
          <w:bCs/>
          <w:kern w:val="2"/>
          <w:lang w:bidi="hi-IN"/>
        </w:rPr>
        <w:t xml:space="preserve">30 % pokrýva len 142 z 570 analyzovaných kódov KN </w:t>
      </w:r>
      <w:r w:rsidRPr="00D83840">
        <w:rPr>
          <w:kern w:val="2"/>
          <w:lang w:bidi="hi-IN"/>
        </w:rPr>
        <w:t xml:space="preserve">čo v praxi znamená, že podpora sa ujde len pre </w:t>
      </w:r>
      <w:r w:rsidRPr="00D83840">
        <w:rPr>
          <w:bCs/>
          <w:kern w:val="2"/>
          <w:lang w:bidi="hi-IN"/>
        </w:rPr>
        <w:t xml:space="preserve">14 % všetkých </w:t>
      </w:r>
      <w:proofErr w:type="spellStart"/>
      <w:r w:rsidRPr="00D83840">
        <w:rPr>
          <w:bCs/>
          <w:kern w:val="2"/>
          <w:lang w:bidi="hi-IN"/>
        </w:rPr>
        <w:t>fázovito</w:t>
      </w:r>
      <w:proofErr w:type="spellEnd"/>
      <w:r w:rsidRPr="00D83840">
        <w:rPr>
          <w:bCs/>
          <w:kern w:val="2"/>
          <w:lang w:bidi="hi-IN"/>
        </w:rPr>
        <w:t xml:space="preserve"> rušených kvót</w:t>
      </w:r>
      <w:r w:rsidRPr="00D83840">
        <w:rPr>
          <w:kern w:val="2"/>
          <w:lang w:bidi="hi-IN"/>
        </w:rPr>
        <w:t>.</w:t>
      </w:r>
    </w:p>
    <w:p w:rsidR="001D7ECF" w:rsidRPr="00D83840" w:rsidRDefault="001D7ECF" w:rsidP="00D83840">
      <w:pPr>
        <w:pStyle w:val="Vchodzie"/>
        <w:spacing w:after="0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Súlad so zásadou subsidiarity</w:t>
      </w:r>
    </w:p>
    <w:p w:rsidR="00B62148" w:rsidRPr="00D83840" w:rsidRDefault="00B62148" w:rsidP="00D83840">
      <w:pPr>
        <w:pStyle w:val="Vchodzie"/>
        <w:spacing w:after="0"/>
        <w:ind w:left="284"/>
        <w:jc w:val="both"/>
        <w:rPr>
          <w:rFonts w:ascii="Times New Roman" w:eastAsia="Arial Unicode MS" w:hAnsi="Times New Roman" w:cs="Times New Roman"/>
          <w:noProof/>
          <w:sz w:val="24"/>
          <w:szCs w:val="24"/>
        </w:rPr>
      </w:pPr>
      <w:r w:rsidRPr="00D83840">
        <w:rPr>
          <w:rFonts w:ascii="Times New Roman" w:eastAsia="Calibri" w:hAnsi="Times New Roman" w:cs="Times New Roman"/>
          <w:noProof/>
          <w:sz w:val="24"/>
          <w:szCs w:val="24"/>
        </w:rPr>
        <w:t>Na riešenie uvedených rizík jednotným spôsobom vo všetkých členských štátoch sú potrebné opatrenia na úrovni Únie. Opatrenia na vnútroštátnej úrovni by mohli viesť k nekoordinovanej podpore v celej Únii, čo by viedlo k narušeniu vnútorného trhu a oslabeniu celkovej účinnosti systému EU ETS.</w:t>
      </w: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744D8" w:rsidRDefault="00F744D8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744D8" w:rsidRPr="00D83840" w:rsidRDefault="00F744D8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Normlnywebov"/>
        <w:numPr>
          <w:ilvl w:val="0"/>
          <w:numId w:val="3"/>
        </w:numPr>
        <w:ind w:left="284" w:hanging="426"/>
        <w:jc w:val="both"/>
        <w:rPr>
          <w:b/>
          <w:bCs/>
          <w:color w:val="000000" w:themeColor="text1"/>
          <w:u w:val="single"/>
        </w:rPr>
      </w:pPr>
      <w:r w:rsidRPr="00D83840">
        <w:rPr>
          <w:b/>
          <w:bCs/>
          <w:color w:val="000000" w:themeColor="text1"/>
          <w:u w:val="single"/>
        </w:rPr>
        <w:lastRenderedPageBreak/>
        <w:t>DOPLNENÉ PREDBEŽNÉ STANOVISKO SLOVENSKEJ REPUBLIKY</w:t>
      </w:r>
      <w:r w:rsidRPr="00D83840">
        <w:rPr>
          <w:b/>
          <w:bCs/>
          <w:color w:val="000000" w:themeColor="text1"/>
        </w:rPr>
        <w:t xml:space="preserve"> </w:t>
      </w:r>
    </w:p>
    <w:p w:rsidR="001D7ECF" w:rsidRPr="00D83840" w:rsidRDefault="001D7ECF" w:rsidP="00D83840">
      <w:pPr>
        <w:pStyle w:val="Normlnywebov"/>
        <w:ind w:left="425"/>
        <w:jc w:val="both"/>
        <w:rPr>
          <w:bCs/>
          <w:color w:val="000000" w:themeColor="text1"/>
          <w:u w:val="single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Hodnotenie obsahu a cieľov návrhu z pohľadu priorít a záujmov Slovenskej republiky</w:t>
      </w:r>
    </w:p>
    <w:p w:rsidR="00B62148" w:rsidRPr="00D83840" w:rsidRDefault="00B62148" w:rsidP="00D83840">
      <w:pPr>
        <w:pStyle w:val="Vchodzie"/>
        <w:spacing w:after="0"/>
        <w:ind w:left="284"/>
        <w:jc w:val="both"/>
        <w:rPr>
          <w:rFonts w:ascii="Times New Roman" w:hAnsi="Times New Roman" w:cs="Times New Roman"/>
          <w:kern w:val="2"/>
          <w:sz w:val="24"/>
          <w:szCs w:val="24"/>
          <w:lang w:bidi="hi-IN"/>
        </w:rPr>
      </w:pP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 xml:space="preserve">V predloženej podobe však návrh podľa názoru SR dostatočne </w:t>
      </w:r>
      <w:r w:rsidRPr="00D83840">
        <w:rPr>
          <w:rFonts w:ascii="Times New Roman" w:hAnsi="Times New Roman" w:cs="Times New Roman"/>
          <w:bCs/>
          <w:kern w:val="2"/>
          <w:sz w:val="24"/>
          <w:szCs w:val="24"/>
          <w:lang w:bidi="hi-IN"/>
        </w:rPr>
        <w:t>nerešpektuje vnútroštátne rozpočtové kompetencie, nezohľadňuje administratívne náklady členských štátov spojené s implementáciou mechanizmu CBAM a nezaisťuje spravodlivú návratnosť vyzbieraných zdrojov pre národný priemysel</w:t>
      </w: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>, a preto má SR k návrhu tieto výhrady a pripomienky: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b/>
          <w:kern w:val="2"/>
          <w:lang w:bidi="hi-IN"/>
        </w:rPr>
      </w:pPr>
      <w:r w:rsidRPr="00D83840">
        <w:rPr>
          <w:b/>
          <w:kern w:val="2"/>
          <w:lang w:bidi="hi-IN"/>
        </w:rPr>
        <w:t>Ciele návrhu</w:t>
      </w:r>
    </w:p>
    <w:p w:rsidR="00B62148" w:rsidRPr="00D83840" w:rsidRDefault="00B62148" w:rsidP="00D83840">
      <w:pPr>
        <w:pStyle w:val="Vchodzie"/>
        <w:spacing w:after="0"/>
        <w:ind w:left="284"/>
        <w:jc w:val="both"/>
        <w:rPr>
          <w:rFonts w:ascii="Times New Roman" w:hAnsi="Times New Roman" w:cs="Times New Roman"/>
          <w:kern w:val="2"/>
          <w:sz w:val="24"/>
          <w:szCs w:val="24"/>
          <w:lang w:bidi="hi-IN"/>
        </w:rPr>
      </w:pP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>SR v princípe podporuje ochranu konkurencieschopnosti európskeho priemyslu, avšak súčasný návrh vníma ako administratívne neprimeraný a fiškálne rizikový. SR nesúhlasí s mechanizmom, ktorý oslabuje národné rozpočty bez garantovanej a priamej spätnej väzby pre domáce priemyselné zaradenia.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b/>
          <w:kern w:val="2"/>
          <w:lang w:bidi="hi-IN"/>
        </w:rPr>
      </w:pPr>
      <w:r w:rsidRPr="00D83840">
        <w:rPr>
          <w:b/>
          <w:kern w:val="2"/>
          <w:lang w:bidi="hi-IN"/>
        </w:rPr>
        <w:t xml:space="preserve">Rozpočtové dopady </w:t>
      </w:r>
    </w:p>
    <w:p w:rsidR="00B62148" w:rsidRPr="00D83840" w:rsidRDefault="00B62148" w:rsidP="00D83840">
      <w:pPr>
        <w:pStyle w:val="Vchodzie"/>
        <w:spacing w:after="0"/>
        <w:ind w:left="284"/>
        <w:jc w:val="both"/>
        <w:rPr>
          <w:rFonts w:ascii="Times New Roman" w:hAnsi="Times New Roman" w:cs="Times New Roman"/>
          <w:kern w:val="2"/>
          <w:sz w:val="24"/>
          <w:szCs w:val="24"/>
          <w:lang w:bidi="hi-IN"/>
        </w:rPr>
      </w:pP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 xml:space="preserve">SR zásadne </w:t>
      </w:r>
      <w:proofErr w:type="spellStart"/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>rozporuje</w:t>
      </w:r>
      <w:proofErr w:type="spellEnd"/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 xml:space="preserve"> navrhovaný spôsob financovania fondu prostredníctvom 25 % odvodu z národných príjmov z predaja certifikátov CBAM, voči čomu vznáša nasledovné výhrady. V prvom rade SR poukazuje na pretrvávajúcu legislatívnu neistotu v oblasti ochrany príjmov, keďže v súčasnosti nie je na úrovni EÚ ani na vnútroštátnej úrovni definitívne uzatvorený legislatívny proces ich prerozdelenia. Kým nie je jasne stanovený pomer medzi národným podielom a príspevkom do rozpočtu EÚ ako vlastného zdroja, SR vychádza z legitímneho predpokladu, že tieto výnosy majú byť plnohodnotným príjmom rozpočtu verejnej správy. Akýkoľvek dodatočný odvod nad rámec budúcich dohôd o vlastných zdrojoch preto vnímame negatívne.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>Z hľadiska kvantifikácie fiškálneho výpadku predbežné analýzy potvrdzujú, že tento mechanizmus by spôsobil signifikantný a kumulatívny pokles príjmov štátneho rozpočtu SR. Navrhovaný odvod by predstavoval zásadný a neúmerný výpadok v rozpočtovom plánovaní, pričom najväčšiu záťaž by verejné financie pocítili práve v prvých rokoch fungovania fondu, kedy sú nároky na národnú dekarbonizačnú podporu najvyššie.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 xml:space="preserve">V neposlednom rade SR upozorňuje na problematiku viazanosti zdrojov. Presmerovanie štvrtiny príjmov zo CBAM do dekarbonizačného fondu by mohlo oslabiť schopnosť štátu financovať samotnú administratívnu implementáciu mechanizmu CBAM na národnej úrovni. 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 xml:space="preserve">Keďže rokovania o CBAM ako o „novom vlastnom zdroji“ EÚ nie sú uzavreté, považuje SR za v súčasnosti neakceptovateľné vopred viazať národné príjmy na účely fondu. SR varuje pred vytváraním precedensu, kde by sa národné príjmy presúvali do rozpočtu EÚ bez jednomyseľného súhlasu a mimo štandardný systém vlastných zdrojov. 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b/>
          <w:kern w:val="2"/>
          <w:lang w:bidi="hi-IN"/>
        </w:rPr>
      </w:pPr>
      <w:r w:rsidRPr="00D83840">
        <w:rPr>
          <w:b/>
          <w:kern w:val="2"/>
          <w:lang w:bidi="hi-IN"/>
        </w:rPr>
        <w:t>Princíp spravodlivej návratnosti a geografická rovnováha</w:t>
      </w:r>
    </w:p>
    <w:p w:rsidR="00B62148" w:rsidRPr="00D83840" w:rsidRDefault="00B62148" w:rsidP="00D83840">
      <w:pPr>
        <w:pStyle w:val="Vchodzie"/>
        <w:spacing w:after="0"/>
        <w:ind w:left="284"/>
        <w:jc w:val="both"/>
        <w:rPr>
          <w:rFonts w:ascii="Times New Roman" w:hAnsi="Times New Roman" w:cs="Times New Roman"/>
          <w:kern w:val="2"/>
          <w:sz w:val="24"/>
          <w:szCs w:val="24"/>
          <w:lang w:bidi="hi-IN"/>
        </w:rPr>
      </w:pP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 xml:space="preserve">SR striktne presadzuje požiadavku na uplatnenie </w:t>
      </w:r>
      <w:r w:rsidRPr="00D83840">
        <w:rPr>
          <w:rFonts w:ascii="Times New Roman" w:hAnsi="Times New Roman" w:cs="Times New Roman"/>
          <w:bCs/>
          <w:kern w:val="2"/>
          <w:sz w:val="24"/>
          <w:szCs w:val="24"/>
          <w:lang w:bidi="hi-IN"/>
        </w:rPr>
        <w:t xml:space="preserve">princípu spravodlivej návratnosti (fair </w:t>
      </w:r>
      <w:proofErr w:type="spellStart"/>
      <w:r w:rsidRPr="00D83840">
        <w:rPr>
          <w:rFonts w:ascii="Times New Roman" w:hAnsi="Times New Roman" w:cs="Times New Roman"/>
          <w:bCs/>
          <w:kern w:val="2"/>
          <w:sz w:val="24"/>
          <w:szCs w:val="24"/>
          <w:lang w:bidi="hi-IN"/>
        </w:rPr>
        <w:t>return</w:t>
      </w:r>
      <w:proofErr w:type="spellEnd"/>
      <w:r w:rsidRPr="00D83840">
        <w:rPr>
          <w:rFonts w:ascii="Times New Roman" w:hAnsi="Times New Roman" w:cs="Times New Roman"/>
          <w:bCs/>
          <w:kern w:val="2"/>
          <w:sz w:val="24"/>
          <w:szCs w:val="24"/>
          <w:lang w:bidi="hi-IN"/>
        </w:rPr>
        <w:t>)</w:t>
      </w: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 xml:space="preserve">. SR žiada o právnu garanciu, že finančné prostriedky generované na území SR budú primárne využité na dekarbonizáciu slovenského priemyslu. Odmieta systém, v ktorom by slovenské príspevky dotovali modernizáciu priemyslu v iných členských štátoch, čím by </w:t>
      </w: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lastRenderedPageBreak/>
        <w:t xml:space="preserve">dochádzalo k nežiaducemu fiškálnemu odlivu. Súčasne požaduje zakotvenie mechanizmu, podľa ktorého sa akákoľvek časť národného príspevku, ktorá nebude absorbovaná subjektmi v SR, vráti v plnej výške do slovenského štátneho rozpočtu bez možnosti jej ďalšej </w:t>
      </w:r>
      <w:proofErr w:type="spellStart"/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>redistribúcie</w:t>
      </w:r>
      <w:proofErr w:type="spellEnd"/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>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>SR oceňuje, že Komisia v pracovnom dokumente uznala špecifické národné okolnosti a navrhla mechanizmus „</w:t>
      </w:r>
      <w:proofErr w:type="spellStart"/>
      <w:r w:rsidRPr="00D83840">
        <w:rPr>
          <w:kern w:val="2"/>
          <w:lang w:bidi="hi-IN"/>
        </w:rPr>
        <w:t>opt</w:t>
      </w:r>
      <w:proofErr w:type="spellEnd"/>
      <w:r w:rsidRPr="00D83840">
        <w:rPr>
          <w:kern w:val="2"/>
          <w:lang w:bidi="hi-IN"/>
        </w:rPr>
        <w:t xml:space="preserve">-in“ pre tovary s </w:t>
      </w:r>
      <w:r w:rsidRPr="00D83840">
        <w:rPr>
          <w:bCs/>
          <w:kern w:val="2"/>
          <w:lang w:bidi="hi-IN"/>
        </w:rPr>
        <w:t>nízkym pomerom hodnoty k hmotnosti pod 150 EUR/tonu, kam patria napríklad cementový slinok, kaolínové íly či určité druhy hnojív</w:t>
      </w:r>
      <w:r w:rsidRPr="00D83840">
        <w:rPr>
          <w:kern w:val="2"/>
          <w:lang w:bidi="hi-IN"/>
        </w:rPr>
        <w:t>. SR však požaduje, aby mechanizmus „</w:t>
      </w:r>
      <w:proofErr w:type="spellStart"/>
      <w:r w:rsidRPr="00D83840">
        <w:rPr>
          <w:kern w:val="2"/>
          <w:lang w:bidi="hi-IN"/>
        </w:rPr>
        <w:t>opt</w:t>
      </w:r>
      <w:proofErr w:type="spellEnd"/>
      <w:r w:rsidRPr="00D83840">
        <w:rPr>
          <w:kern w:val="2"/>
          <w:lang w:bidi="hi-IN"/>
        </w:rPr>
        <w:t>-in“ pre tieto tovary nebol podmienený náročným preukazovaním zo strany štátu, ale aby zohľadňoval vnútrozemskú polohu a špecifiká stredoeurópskeho trhu automaticky.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b/>
          <w:kern w:val="2"/>
          <w:lang w:bidi="hi-IN"/>
        </w:rPr>
      </w:pPr>
      <w:r w:rsidRPr="00D83840">
        <w:rPr>
          <w:b/>
          <w:kern w:val="2"/>
          <w:lang w:bidi="hi-IN"/>
        </w:rPr>
        <w:t>Administratívna náročnosť a model riadenia</w:t>
      </w:r>
    </w:p>
    <w:p w:rsidR="00B62148" w:rsidRPr="00D83840" w:rsidRDefault="00B62148" w:rsidP="00D83840">
      <w:pPr>
        <w:pStyle w:val="Vchodzie"/>
        <w:spacing w:after="0"/>
        <w:ind w:left="284"/>
        <w:jc w:val="both"/>
        <w:rPr>
          <w:rFonts w:ascii="Times New Roman" w:hAnsi="Times New Roman" w:cs="Times New Roman"/>
          <w:kern w:val="2"/>
          <w:sz w:val="24"/>
          <w:szCs w:val="24"/>
          <w:lang w:bidi="hi-IN"/>
        </w:rPr>
      </w:pP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>SR vníma navrhovaný model riadenia ako byrokraticky duplicitný. Návrh prenáša na národné príslušné orgány (NCA) komplexnú administratívnu záťaž spojenú s výpočtami a verifikáciou žiadostí, zatiaľ čo rozhodovacia právomoc zostáva centralizovaná v EK. SR považuje za efektívnejšie, aby posudzovanie vykonávala Komisia centrálne s využitím existujúcich dát z ETS a CBAM.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 xml:space="preserve">Zložitosť procesu navyše znevýhodňuje malé a stredné podniky (MSP) a subjekty z menších trhov, ktoré nedisponujú personálnymi ani poradenskými kapacitami veľkých priemyselných konglomerátov. Vznik TDF ako ďalšieho paralelného fondu k existujúcim nástrojom (Inovačný a Modernizačný fond) len zvyšuje neprehľadnosť systému a administratívnu záťaž pre podnikateľské prostredie. SR spochybňuje potrebu vytvárania nového, krátkodobého nástroja so zložitou implementačnou štruktúrou (7 delegovaných aktov). 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b/>
          <w:bCs/>
          <w:kern w:val="2"/>
          <w:lang w:bidi="hi-IN"/>
        </w:rPr>
      </w:pPr>
      <w:r w:rsidRPr="00D83840">
        <w:rPr>
          <w:b/>
          <w:bCs/>
          <w:kern w:val="2"/>
          <w:lang w:bidi="hi-IN"/>
        </w:rPr>
        <w:t>Efektivita podpory</w:t>
      </w:r>
    </w:p>
    <w:p w:rsidR="00B62148" w:rsidRPr="00D83840" w:rsidRDefault="00B62148" w:rsidP="00D83840">
      <w:pPr>
        <w:pStyle w:val="Vchodzie"/>
        <w:spacing w:after="0"/>
        <w:ind w:left="284"/>
        <w:jc w:val="both"/>
        <w:rPr>
          <w:rFonts w:ascii="Times New Roman" w:hAnsi="Times New Roman" w:cs="Times New Roman"/>
          <w:kern w:val="2"/>
          <w:sz w:val="24"/>
          <w:szCs w:val="24"/>
          <w:lang w:bidi="hi-IN"/>
        </w:rPr>
      </w:pP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>SR žiada objasnenie 5-ročnej lehoty návratnosti investícií v rámci podmienok podpory, keďže v systéme EU ETS je štandardom 3-ročná lehota.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 xml:space="preserve">Na základe spätnej väzby priemyselných zväzov, ktoré v rámci konzultácií s Komisiou </w:t>
      </w:r>
      <w:r w:rsidRPr="00D83840">
        <w:rPr>
          <w:bCs/>
          <w:kern w:val="2"/>
          <w:lang w:bidi="hi-IN"/>
        </w:rPr>
        <w:t>prioritne žiadali odklad rušenia bezodplatného prideľovania kvót namiesto zložitého dotačného mechanizmu</w:t>
      </w:r>
      <w:r w:rsidRPr="00D83840">
        <w:rPr>
          <w:kern w:val="2"/>
          <w:lang w:bidi="hi-IN"/>
        </w:rPr>
        <w:t>, SR navrhuje prehodnotiť efektivitu celého fondu. Za racionálnejšiu a administratívne jednoduchšiu alternatívu považuje dočasné zachovanie bezodplatného prideľovania kvót pre sektory CBAM, čo by pri identickom environmentálnom cieli nespôsobovalo rozpočtovú neistotu a nedeformovalo vnútorný trh.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bCs/>
          <w:kern w:val="2"/>
          <w:lang w:bidi="hi-IN"/>
        </w:rPr>
        <w:t xml:space="preserve">Tento postoj je umocnený strategickým postavením SR, ktorá je 8. najväčším dovozcom tovarov CBAM v EÚ. Vzhľadom na tento významný objem dovozu je ochrana finančných záujmov SR a striktná minimalizácia byrokracie absolútnou prioritou. Akákoľvek </w:t>
      </w:r>
      <w:proofErr w:type="spellStart"/>
      <w:r w:rsidRPr="00D83840">
        <w:rPr>
          <w:bCs/>
          <w:kern w:val="2"/>
          <w:lang w:bidi="hi-IN"/>
        </w:rPr>
        <w:t>neefektivita</w:t>
      </w:r>
      <w:proofErr w:type="spellEnd"/>
      <w:r w:rsidRPr="00D83840">
        <w:rPr>
          <w:bCs/>
          <w:kern w:val="2"/>
          <w:lang w:bidi="hi-IN"/>
        </w:rPr>
        <w:t xml:space="preserve"> v nastavení fondu by mala na slovenské hospodárstvo disproporčne vyšší negatívny dopad v porovnaní s inými členskými štátmi.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lastRenderedPageBreak/>
        <w:t xml:space="preserve">SR preto v predloženej podobe nemôže s návrhom súhlasiť. V rámci ďalších vyjednávaní sa SR zameria na dosiahnutie takých úprav, ktoré </w:t>
      </w:r>
      <w:r w:rsidRPr="00D83840">
        <w:rPr>
          <w:bCs/>
          <w:kern w:val="2"/>
          <w:lang w:bidi="hi-IN"/>
        </w:rPr>
        <w:t>eliminujú hroziace negatívne dopady na štátny rozpočet a zabezpečia, aby slovenské zdroje – generované slovenským priemyslom a dovozcami – slúžili primárne na dekarbonizáciu domáceho priemyslu a podporu konkurencieschopnosti SR na globálnom trhu.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b/>
          <w:i/>
          <w:iCs/>
          <w:kern w:val="2"/>
          <w:lang w:bidi="hi-IN"/>
        </w:rPr>
      </w:pPr>
      <w:r w:rsidRPr="00D83840">
        <w:rPr>
          <w:b/>
          <w:i/>
          <w:iCs/>
          <w:kern w:val="2"/>
          <w:lang w:bidi="hi-IN"/>
        </w:rPr>
        <w:t xml:space="preserve">SR bude vo vyjednávaniach presadzovať nasledovné priority: </w:t>
      </w:r>
    </w:p>
    <w:p w:rsidR="00B62148" w:rsidRPr="00D83840" w:rsidRDefault="00B62148" w:rsidP="00D83840">
      <w:pPr>
        <w:pStyle w:val="Vchodzie"/>
        <w:spacing w:after="0"/>
        <w:ind w:left="284"/>
        <w:jc w:val="both"/>
        <w:rPr>
          <w:rFonts w:ascii="Times New Roman" w:hAnsi="Times New Roman" w:cs="Times New Roman"/>
          <w:kern w:val="2"/>
          <w:sz w:val="24"/>
          <w:szCs w:val="24"/>
          <w:lang w:bidi="hi-IN"/>
        </w:rPr>
      </w:pPr>
      <w:r w:rsidRPr="00D83840">
        <w:rPr>
          <w:rFonts w:ascii="Times New Roman" w:hAnsi="Times New Roman" w:cs="Times New Roman"/>
          <w:kern w:val="2"/>
          <w:sz w:val="24"/>
          <w:szCs w:val="24"/>
          <w:lang w:bidi="hi-IN"/>
        </w:rPr>
        <w:t>SR nepodporí jednostranné určenie odvodu z CBAM v tomto návrhu nariadenia, kým nebude definitívne uzavretá politická dohoda o nových vlastných zdrojoch EÚ. Príjmy musia byť do tej doby v plnej kompetencii národného rozpočtu.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 xml:space="preserve">SR bude presadzovať uplatnenie princípu spravodlivej návratnosti (fair </w:t>
      </w:r>
      <w:proofErr w:type="spellStart"/>
      <w:r w:rsidRPr="00D83840">
        <w:rPr>
          <w:kern w:val="2"/>
          <w:lang w:bidi="hi-IN"/>
        </w:rPr>
        <w:t>return</w:t>
      </w:r>
      <w:proofErr w:type="spellEnd"/>
      <w:r w:rsidRPr="00D83840">
        <w:rPr>
          <w:kern w:val="2"/>
          <w:lang w:bidi="hi-IN"/>
        </w:rPr>
        <w:t xml:space="preserve">), kde finančné prostriedky generované na území SR musia byť prioritne a v plnej miere reinvestované do dekarbonizácie zariadení v SR. 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>SR odmieta systém, kde by zdroje generované slovenským priemyslom a dovozcami financovali dekarbonizáciu v iných členských štátoch.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>SR zdôrazňuje, že vytvorenie TDF nesmie – nadväzujúc na predchádzajúci príklad zriadenia Sociálno-klimatického fondu (SKF) – slúžiť ako ďalší precedens pre automatické odvádzanie národných príjmov do rozpočtu EÚ bez jednomyseľného súhlasu členských štátov a mimo systému vlastných zdrojov.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>SR požaduje vytvorenie záväzného mechanizmu na vrátenie nevyčerpaných národných príspevkov späť do štátneho rozpočtu SR v prípade, ak v danom roku nebudú absorbované oprávnenými domácimi subjektmi.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>SR považuje za nevyhnutné, aby výpočet podpory a komplexné administratívne posudzovanie žiadostí vykonávala centrálne Európska komisia s cieľom predísť administratívnej paralýze národných orgánov (NCA).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>SR bude presadzovať, aby podmienky fondu (najmä 5-ročná lehota návratnosti) boli zosúladené s existujúcimi pravidlami EU ETS (3-ročná lehota), čím sa zabezpečí regulačná konzistentnosť.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>SR nepodporí návrh, ktorý by v dôsledku byrokratickej náročnosti znevýhodnil slovenských prevádzkovateľov, vzhľadom na našu kritickú váhu v dovoze CBAM tovarov.</w:t>
      </w:r>
    </w:p>
    <w:p w:rsidR="00B62148" w:rsidRPr="00D83840" w:rsidRDefault="00B62148" w:rsidP="00D83840">
      <w:pPr>
        <w:spacing w:before="240" w:line="276" w:lineRule="auto"/>
        <w:ind w:left="284"/>
        <w:jc w:val="both"/>
        <w:rPr>
          <w:kern w:val="2"/>
          <w:lang w:bidi="hi-IN"/>
        </w:rPr>
      </w:pPr>
      <w:r w:rsidRPr="00D83840">
        <w:rPr>
          <w:kern w:val="2"/>
          <w:lang w:bidi="hi-IN"/>
        </w:rPr>
        <w:t>Pokiaľ návrh nebude v ďalšom rokovaní primerane upravený v rozpočtových otázkach, v otázke spravodlivej návratnosti a zníženia administratívnej záťaže, SR nebude môcť jeho prijatie podporiť.</w:t>
      </w:r>
    </w:p>
    <w:p w:rsidR="001D7ECF" w:rsidRPr="00D83840" w:rsidRDefault="001D7ECF" w:rsidP="00D83840">
      <w:pPr>
        <w:pStyle w:val="Vchodzie"/>
        <w:spacing w:after="0" w:line="240" w:lineRule="auto"/>
        <w:ind w:left="17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Druh rozhodovacieho procesu v Európskej únii </w:t>
      </w:r>
    </w:p>
    <w:p w:rsidR="001D7ECF" w:rsidRPr="00D83840" w:rsidRDefault="001D7ECF" w:rsidP="00D83840">
      <w:pPr>
        <w:pStyle w:val="Vchodzie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color w:val="000000" w:themeColor="text1"/>
          <w:sz w:val="24"/>
          <w:szCs w:val="24"/>
        </w:rPr>
        <w:t>Riadny legislatívny postup</w:t>
      </w:r>
    </w:p>
    <w:p w:rsidR="001D7ECF" w:rsidRPr="00D83840" w:rsidRDefault="001D7ECF" w:rsidP="00D83840">
      <w:pPr>
        <w:pStyle w:val="Odsekzoznamu"/>
        <w:spacing w:line="276" w:lineRule="auto"/>
        <w:ind w:left="170"/>
        <w:jc w:val="both"/>
        <w:rPr>
          <w:b/>
          <w:bCs/>
          <w:color w:val="000000" w:themeColor="text1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Časový priebeh rozhodovacieho procesu v Európskej únii</w:t>
      </w:r>
    </w:p>
    <w:p w:rsidR="001D7ECF" w:rsidRPr="00D83840" w:rsidRDefault="001D7ECF" w:rsidP="00D83840">
      <w:pPr>
        <w:pStyle w:val="Vchodzie"/>
        <w:tabs>
          <w:tab w:val="left" w:pos="426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V horizonte niekoľkých mesiacov</w:t>
      </w:r>
    </w:p>
    <w:p w:rsidR="001D7ECF" w:rsidRPr="00D83840" w:rsidRDefault="001D7ECF" w:rsidP="00D83840">
      <w:pPr>
        <w:spacing w:line="276" w:lineRule="auto"/>
        <w:ind w:left="170"/>
        <w:jc w:val="both"/>
        <w:rPr>
          <w:b/>
          <w:bCs/>
          <w:color w:val="000000" w:themeColor="text1"/>
        </w:rPr>
      </w:pP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Hodnotenie vplyvu a dosahu návrhu na Slovenskú republiku </w:t>
      </w:r>
    </w:p>
    <w:p w:rsidR="00B62148" w:rsidRPr="00D83840" w:rsidRDefault="00B62148" w:rsidP="00D83840">
      <w:pPr>
        <w:pStyle w:val="Vchodzie"/>
        <w:tabs>
          <w:tab w:val="left" w:pos="426"/>
        </w:tabs>
        <w:spacing w:after="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83840">
        <w:rPr>
          <w:rFonts w:ascii="Times New Roman" w:eastAsia="Calibri" w:hAnsi="Times New Roman" w:cs="Times New Roman"/>
          <w:noProof/>
          <w:sz w:val="24"/>
          <w:szCs w:val="24"/>
        </w:rPr>
        <w:t>Návrh</w:t>
      </w:r>
      <w:r w:rsidRPr="00D838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 týka zriadenia Dočasného dekarbonizačného fondu (TDF), ktorý má slúžiť ako prechodný finančný nástroj na ochranu priemyselných odvetví EÚ pred únikom uhlíka v období rokov 2026 – 2027. </w:t>
      </w:r>
      <w:r w:rsidRPr="00D838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Fond sa uplatní len v rokoch 2028  - 2029, pričom jeho hodnotenie bude slúžiť pri príprave dlhodobých riešení v rámci budúcej reformy EU ETS.</w:t>
      </w:r>
    </w:p>
    <w:p w:rsidR="00B62148" w:rsidRPr="00D83840" w:rsidRDefault="00B62148" w:rsidP="00D83840">
      <w:pPr>
        <w:spacing w:before="40" w:line="276" w:lineRule="auto"/>
        <w:ind w:left="284"/>
        <w:jc w:val="both"/>
        <w:rPr>
          <w:bCs/>
          <w:color w:val="000000" w:themeColor="text1"/>
        </w:rPr>
      </w:pPr>
      <w:r w:rsidRPr="00D83840">
        <w:rPr>
          <w:color w:val="000000" w:themeColor="text1"/>
        </w:rPr>
        <w:t xml:space="preserve">Cieľom iniciatívy je poskytnúť cielene dekarbonizačnú podporu v čase postupného rušenia bezodplatných kvót v systéme EU ETS, pričom financovanie fondu je navrhnuté prostredníctvom 25 % podielu z národných príjmov členských štátov z predaja certifikátov CBAM. </w:t>
      </w:r>
      <w:r w:rsidRPr="00D83840">
        <w:rPr>
          <w:bCs/>
          <w:color w:val="000000" w:themeColor="text1"/>
        </w:rPr>
        <w:t>Podpora je prísne podmienená energetickými auditmi, právnymi záväzkami investícií a preukázaným pokrokom v znižovaní emisií. Členské štáty majú povinnosť fond financovať, riadiť žiadosti a zabezpečiť kontrolu finančných tokov.</w:t>
      </w:r>
    </w:p>
    <w:p w:rsidR="00B62148" w:rsidRPr="00D83840" w:rsidRDefault="00B62148" w:rsidP="00D83840">
      <w:pPr>
        <w:spacing w:before="40" w:line="276" w:lineRule="auto"/>
        <w:ind w:left="284"/>
        <w:jc w:val="both"/>
        <w:rPr>
          <w:color w:val="000000" w:themeColor="text1"/>
        </w:rPr>
      </w:pPr>
      <w:r w:rsidRPr="00D83840">
        <w:rPr>
          <w:color w:val="000000" w:themeColor="text1"/>
        </w:rPr>
        <w:t xml:space="preserve">V porovnaní so súčasným stavom sa očakáva </w:t>
      </w:r>
      <w:r w:rsidRPr="00D83840">
        <w:rPr>
          <w:bCs/>
          <w:color w:val="000000" w:themeColor="text1"/>
        </w:rPr>
        <w:t>výrazný nárast administratívnej záťaže</w:t>
      </w:r>
      <w:r w:rsidRPr="00D83840">
        <w:rPr>
          <w:color w:val="000000" w:themeColor="text1"/>
        </w:rPr>
        <w:t xml:space="preserve"> pre vnútroštátne orgány. Návrh predpokladá, že národné príslušné orgány (NCA) budú zodpovedné za komplexné procesy monitorovania, prijímania žiadostí, vykonávania výpočtov podpory a následnej verifikácie investičných podmienok, čo zvyšuje zložitosť právneho a inštitucionálneho rámca na národnej úrovni.</w:t>
      </w:r>
    </w:p>
    <w:p w:rsidR="00B62148" w:rsidRPr="00D83840" w:rsidRDefault="00B62148" w:rsidP="00D83840">
      <w:pPr>
        <w:spacing w:before="40" w:line="276" w:lineRule="auto"/>
        <w:ind w:left="284"/>
        <w:jc w:val="both"/>
        <w:rPr>
          <w:color w:val="000000" w:themeColor="text1"/>
        </w:rPr>
      </w:pPr>
      <w:r w:rsidRPr="00D83840">
        <w:rPr>
          <w:color w:val="000000" w:themeColor="text1"/>
        </w:rPr>
        <w:t>Sprievodný dokument Komisie (SWD)</w:t>
      </w:r>
      <w:r w:rsidRPr="00D83840">
        <w:rPr>
          <w:rStyle w:val="Odkaznapoznmkupodiarou"/>
          <w:rFonts w:eastAsiaTheme="majorEastAsia"/>
          <w:color w:val="000000" w:themeColor="text1"/>
        </w:rPr>
        <w:footnoteReference w:id="1"/>
      </w:r>
      <w:r w:rsidRPr="00D83840">
        <w:rPr>
          <w:color w:val="000000" w:themeColor="text1"/>
        </w:rPr>
        <w:t xml:space="preserve"> priložený k návrhu bol spracovaný primárne na úrovni Európskej únie, pričom však z pohľadu Slovenskej republiky identifikujeme </w:t>
      </w:r>
      <w:r w:rsidRPr="00D83840">
        <w:rPr>
          <w:bCs/>
          <w:color w:val="000000" w:themeColor="text1"/>
        </w:rPr>
        <w:t>priame a negatívne rozpočtové vplyvy</w:t>
      </w:r>
      <w:r w:rsidRPr="00D83840">
        <w:rPr>
          <w:color w:val="000000" w:themeColor="text1"/>
        </w:rPr>
        <w:t xml:space="preserve">. Keďže proces prerozdelenia príjmov z mechanizmu CBAM (mechanizmus kompenzácie uhlíka na hraniciach) nie je legislatívne ukončený, navrhovaný 25 % odvod, </w:t>
      </w:r>
      <w:r w:rsidRPr="00D83840">
        <w:rPr>
          <w:bCs/>
          <w:color w:val="000000" w:themeColor="text1"/>
        </w:rPr>
        <w:t>ktorý členské štáty získajú z predaja certifikátov CBAM</w:t>
      </w:r>
      <w:r w:rsidRPr="00D83840">
        <w:rPr>
          <w:color w:val="000000" w:themeColor="text1"/>
        </w:rPr>
        <w:t xml:space="preserve"> </w:t>
      </w:r>
      <w:r w:rsidRPr="00D83840">
        <w:rPr>
          <w:bCs/>
          <w:color w:val="000000" w:themeColor="text1"/>
        </w:rPr>
        <w:t xml:space="preserve">za roky 2026 a 2027 </w:t>
      </w:r>
      <w:r w:rsidRPr="00D83840">
        <w:rPr>
          <w:color w:val="000000" w:themeColor="text1"/>
        </w:rPr>
        <w:t xml:space="preserve">predstavuje neočakávaný výpadok v príjmoch rozpočtu verejnej správy. Tieto príjmy sa stanú </w:t>
      </w:r>
      <w:r w:rsidRPr="00D83840">
        <w:rPr>
          <w:bCs/>
          <w:color w:val="000000" w:themeColor="text1"/>
        </w:rPr>
        <w:t>vonkajšími pripísanými príjmami</w:t>
      </w:r>
      <w:r w:rsidRPr="00D83840">
        <w:rPr>
          <w:color w:val="000000" w:themeColor="text1"/>
        </w:rPr>
        <w:t xml:space="preserve"> rozpočtu EÚ a členské štáty sú povinné ich odviesť Komisii v stanovených termínoch. Pôjde tak o </w:t>
      </w:r>
      <w:r w:rsidRPr="00D83840">
        <w:rPr>
          <w:bCs/>
          <w:color w:val="000000" w:themeColor="text1"/>
        </w:rPr>
        <w:t>dodatočné zdroje rozpočtu EÚ viazané na konkrétny účel</w:t>
      </w:r>
      <w:r w:rsidRPr="00D83840">
        <w:rPr>
          <w:color w:val="000000" w:themeColor="text1"/>
        </w:rPr>
        <w:t xml:space="preserve"> a mechanizmus by spôsobil signifikantný kumulatívny pokles príjmov v rozpočte verejnej správy. Keďže ide o </w:t>
      </w:r>
      <w:r w:rsidRPr="00D83840">
        <w:rPr>
          <w:bCs/>
          <w:color w:val="000000" w:themeColor="text1"/>
        </w:rPr>
        <w:t>nový typ záväzku voči rozpočtu EÚ</w:t>
      </w:r>
      <w:r w:rsidRPr="00D83840">
        <w:rPr>
          <w:color w:val="000000" w:themeColor="text1"/>
        </w:rPr>
        <w:t xml:space="preserve">, ktorý má </w:t>
      </w:r>
      <w:r w:rsidRPr="00D83840">
        <w:rPr>
          <w:bCs/>
          <w:color w:val="000000" w:themeColor="text1"/>
        </w:rPr>
        <w:t>priamy negatívny dopad</w:t>
      </w:r>
      <w:r w:rsidRPr="00D83840">
        <w:rPr>
          <w:color w:val="000000" w:themeColor="text1"/>
        </w:rPr>
        <w:t xml:space="preserve"> na </w:t>
      </w:r>
      <w:r w:rsidRPr="00D83840">
        <w:rPr>
          <w:bCs/>
          <w:color w:val="000000" w:themeColor="text1"/>
        </w:rPr>
        <w:t>príjmovú stranu rozpočtu SR</w:t>
      </w:r>
      <w:r w:rsidRPr="00D83840">
        <w:rPr>
          <w:color w:val="000000" w:themeColor="text1"/>
        </w:rPr>
        <w:t xml:space="preserve"> t. j. z príjmov zo CBAM, ktoré by inak boli plnohodnotným príjmom do rozpočtu verejnej správy, pričom bude potrebné odviesť štvrtinu do dekarbonizačného fondu a to </w:t>
      </w:r>
      <w:r w:rsidRPr="00D83840">
        <w:rPr>
          <w:bCs/>
          <w:color w:val="000000" w:themeColor="text1"/>
        </w:rPr>
        <w:t>aj v prípade, že CBAM nebude zavedený ako vlastný zdroj rozpočtu EÚ</w:t>
      </w:r>
      <w:r w:rsidRPr="00D83840">
        <w:rPr>
          <w:color w:val="000000" w:themeColor="text1"/>
        </w:rPr>
        <w:t xml:space="preserve">. Navrhovaný nový vlastný zdroj rozpočtu EÚ založený na CBAM </w:t>
      </w:r>
      <w:r w:rsidRPr="00D83840">
        <w:rPr>
          <w:bCs/>
          <w:color w:val="000000" w:themeColor="text1"/>
        </w:rPr>
        <w:t>je naďalej predmetom vyjednávania</w:t>
      </w:r>
      <w:r w:rsidRPr="00D83840">
        <w:rPr>
          <w:color w:val="000000" w:themeColor="text1"/>
        </w:rPr>
        <w:t xml:space="preserve"> a ak by v závere nedošlo k jeho prijatiu do systému vlastných zdrojov rozpočtu EÚ, celý príjem zo CBAM by plynul do rozpočtu verejnej správy. </w:t>
      </w:r>
    </w:p>
    <w:p w:rsidR="001D7ECF" w:rsidRPr="00F744D8" w:rsidRDefault="00B62148" w:rsidP="00F744D8">
      <w:pPr>
        <w:spacing w:before="40" w:line="276" w:lineRule="auto"/>
        <w:ind w:left="284"/>
        <w:jc w:val="both"/>
        <w:rPr>
          <w:color w:val="000000" w:themeColor="text1"/>
        </w:rPr>
      </w:pPr>
      <w:r w:rsidRPr="00D83840">
        <w:rPr>
          <w:color w:val="000000" w:themeColor="text1"/>
        </w:rPr>
        <w:t>Praktický dopad návrhu na SR bude závisieť najmä od schopnosti domáceho priemyslu absorbovať zdroje z fondu v konkurencii s inými členskými štátmi a od nastavenia kritérií spravodlivej návratnosti. Vzhľadom na charakter návrhu (povinný odvod národných príjmov a odklad platieb do roku 2029) sa predpokladá negatívny vplyv na likviditu a rozpočtové plánovanie SR, pričom administratívne náklady na správu fondu môžu prevýšiť jeho pridanú hodnotu pre menšie priemyselné zariadenia a MSP na slovenskom trhu.</w:t>
      </w:r>
    </w:p>
    <w:p w:rsidR="001D7ECF" w:rsidRPr="00D83840" w:rsidRDefault="001D7ECF" w:rsidP="00D83840">
      <w:pPr>
        <w:pStyle w:val="Vchodzie"/>
        <w:numPr>
          <w:ilvl w:val="0"/>
          <w:numId w:val="1"/>
        </w:numPr>
        <w:spacing w:after="0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8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Vplyvy na vybrané oblasti</w:t>
      </w:r>
    </w:p>
    <w:p w:rsidR="001D7ECF" w:rsidRPr="00D83840" w:rsidRDefault="001D7ECF" w:rsidP="00D83840">
      <w:pPr>
        <w:ind w:left="-190"/>
        <w:jc w:val="both"/>
        <w:rPr>
          <w:color w:val="000000" w:themeColor="text1"/>
        </w:rPr>
      </w:pPr>
    </w:p>
    <w:tbl>
      <w:tblPr>
        <w:tblStyle w:val="Mriekatabuky11"/>
        <w:tblW w:w="91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284"/>
        <w:gridCol w:w="254"/>
        <w:gridCol w:w="1133"/>
        <w:gridCol w:w="547"/>
        <w:gridCol w:w="1297"/>
      </w:tblGrid>
      <w:tr w:rsidR="003665F5" w:rsidRPr="00D83840">
        <w:trPr>
          <w:trHeight w:val="283"/>
        </w:trPr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  <w:hideMark/>
          </w:tcPr>
          <w:p w:rsidR="001D7ECF" w:rsidRPr="00D83840" w:rsidRDefault="001D7ECF" w:rsidP="00D83840">
            <w:pPr>
              <w:spacing w:line="256" w:lineRule="auto"/>
              <w:contextualSpacing/>
              <w:jc w:val="both"/>
              <w:rPr>
                <w:rFonts w:eastAsia="Calibri"/>
                <w:b/>
                <w:color w:val="000000" w:themeColor="text1"/>
                <w:lang w:eastAsia="en-US"/>
              </w:rPr>
            </w:pPr>
            <w:r w:rsidRPr="00D83840">
              <w:rPr>
                <w:rFonts w:eastAsia="Calibri"/>
                <w:b/>
                <w:color w:val="000000" w:themeColor="text1"/>
                <w:lang w:eastAsia="en-US"/>
              </w:rPr>
              <w:t>Vybrané vplyvy  materiálu</w:t>
            </w:r>
          </w:p>
        </w:tc>
      </w:tr>
      <w:tr w:rsidR="003665F5" w:rsidRPr="00D8384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Vplyvy na rozpočet verejnej správy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:rsidR="001D7ECF" w:rsidRPr="00D83840" w:rsidRDefault="004C60F5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:rsidR="001D7ECF" w:rsidRPr="00D83840" w:rsidRDefault="004C60F5" w:rsidP="00D83840">
                <w:pPr>
                  <w:ind w:left="-107" w:right="-108"/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hideMark/>
          </w:tcPr>
          <w:p w:rsidR="001D7ECF" w:rsidRPr="00D83840" w:rsidRDefault="001D7ECF" w:rsidP="00D83840">
            <w:pPr>
              <w:ind w:left="3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Negatívne</w:t>
            </w:r>
          </w:p>
        </w:tc>
      </w:tr>
      <w:tr w:rsidR="003665F5" w:rsidRPr="00D8384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 xml:space="preserve">    z toho rozpočtovo zabezpečené vplyvy,         </w:t>
            </w:r>
          </w:p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 xml:space="preserve">    v prípade identifikovaného negatívneho </w:t>
            </w:r>
          </w:p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 xml:space="preserve">    vplyvu</w:t>
            </w:r>
          </w:p>
        </w:tc>
        <w:sdt>
          <w:sdtPr>
            <w:rPr>
              <w:color w:val="000000" w:themeColor="text1"/>
              <w:sz w:val="20"/>
              <w:szCs w:val="20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Áno</w:t>
            </w:r>
          </w:p>
        </w:tc>
        <w:sdt>
          <w:sdtPr>
            <w:rPr>
              <w:color w:val="000000" w:themeColor="text1"/>
              <w:sz w:val="20"/>
              <w:szCs w:val="20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A40363" w:rsidP="00D83840">
                <w:pPr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Nie</w:t>
            </w:r>
          </w:p>
        </w:tc>
        <w:sdt>
          <w:sdtPr>
            <w:rPr>
              <w:color w:val="000000" w:themeColor="text1"/>
              <w:sz w:val="20"/>
              <w:szCs w:val="20"/>
            </w:rPr>
            <w:id w:val="-1346477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4C60F5" w:rsidP="00D83840">
                <w:pPr>
                  <w:ind w:left="-107" w:right="-108"/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1D7ECF" w:rsidRPr="00D83840" w:rsidRDefault="001D7ECF" w:rsidP="00D83840">
            <w:pPr>
              <w:ind w:left="34"/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Čiastočne</w:t>
            </w:r>
          </w:p>
        </w:tc>
      </w:tr>
      <w:tr w:rsidR="003665F5" w:rsidRPr="00D8384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v tom vplyvy na rozpočty obcí a vyšších územných celkov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:rsidR="001D7ECF" w:rsidRPr="00D83840" w:rsidRDefault="00A40363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:rsidR="001D7ECF" w:rsidRPr="00D83840" w:rsidRDefault="001D7ECF" w:rsidP="00D83840">
                <w:pPr>
                  <w:ind w:left="-107" w:right="-108"/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hideMark/>
          </w:tcPr>
          <w:p w:rsidR="001D7ECF" w:rsidRPr="00D83840" w:rsidRDefault="001D7ECF" w:rsidP="00D83840">
            <w:pPr>
              <w:ind w:left="3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Negatívne</w:t>
            </w:r>
          </w:p>
        </w:tc>
      </w:tr>
      <w:tr w:rsidR="003665F5" w:rsidRPr="00D8384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ind w:left="171"/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z toho rozpočtovo zabezpečené vplyvy,</w:t>
            </w:r>
          </w:p>
          <w:p w:rsidR="001D7ECF" w:rsidRPr="00D83840" w:rsidRDefault="001D7ECF" w:rsidP="00D83840">
            <w:pPr>
              <w:ind w:left="171"/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v prípade identifikovaného negatívneho vplyvu</w:t>
            </w:r>
          </w:p>
        </w:tc>
        <w:sdt>
          <w:sdtPr>
            <w:rPr>
              <w:color w:val="000000" w:themeColor="text1"/>
              <w:sz w:val="20"/>
              <w:szCs w:val="20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Áno</w:t>
            </w:r>
          </w:p>
        </w:tc>
        <w:sdt>
          <w:sdtPr>
            <w:rPr>
              <w:color w:val="000000" w:themeColor="text1"/>
              <w:sz w:val="20"/>
              <w:szCs w:val="20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6E05F1" w:rsidP="00D83840">
                <w:pPr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Nie</w:t>
            </w:r>
          </w:p>
        </w:tc>
        <w:sdt>
          <w:sdtPr>
            <w:rPr>
              <w:color w:val="000000" w:themeColor="text1"/>
              <w:sz w:val="20"/>
              <w:szCs w:val="20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ind w:left="-107" w:right="-108"/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ECF" w:rsidRPr="00D83840" w:rsidRDefault="001D7ECF" w:rsidP="00D83840">
            <w:pPr>
              <w:ind w:left="34"/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Čiastočne</w:t>
            </w:r>
          </w:p>
        </w:tc>
      </w:tr>
      <w:tr w:rsidR="003665F5" w:rsidRPr="00D8384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ind w:left="171"/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Vplyv na dlhodobú udržateľnosť verejných financií v prípade vybraných opatrení ***</w:t>
            </w:r>
          </w:p>
        </w:tc>
        <w:sdt>
          <w:sdtPr>
            <w:rPr>
              <w:color w:val="000000" w:themeColor="text1"/>
              <w:sz w:val="20"/>
              <w:szCs w:val="20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sdt>
          <w:sdtPr>
            <w:rPr>
              <w:color w:val="000000" w:themeColor="text1"/>
              <w:sz w:val="20"/>
              <w:szCs w:val="20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BC7859" w:rsidP="00D83840">
                <w:pPr>
                  <w:ind w:left="-107" w:right="-108"/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ECF" w:rsidRPr="00D83840" w:rsidRDefault="001D7ECF" w:rsidP="00D83840">
            <w:pPr>
              <w:ind w:left="34"/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Nie</w:t>
            </w:r>
          </w:p>
        </w:tc>
      </w:tr>
      <w:tr w:rsidR="003665F5" w:rsidRPr="00D8384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Vplyvy na limit verejných výdavkov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6E05F1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6E05F1" w:rsidP="00D83840">
                <w:pPr>
                  <w:ind w:left="-107" w:right="-108"/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ECF" w:rsidRPr="00D83840" w:rsidRDefault="001D7ECF" w:rsidP="00D83840">
            <w:pPr>
              <w:ind w:left="34"/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Negatívne</w:t>
            </w:r>
          </w:p>
        </w:tc>
      </w:tr>
      <w:tr w:rsidR="003665F5" w:rsidRPr="00D8384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Vplyvy na podnikateľské prostredie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5F609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ind w:right="-108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5F609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1D7ECF" w:rsidRPr="00D83840" w:rsidRDefault="001D7ECF" w:rsidP="00D83840">
            <w:pPr>
              <w:ind w:left="5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Negatívne</w:t>
            </w:r>
          </w:p>
        </w:tc>
      </w:tr>
      <w:tr w:rsidR="003665F5" w:rsidRPr="00D83840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 xml:space="preserve">    z toho vplyvy na MSP</w:t>
            </w:r>
          </w:p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sdt>
          <w:sdtPr>
            <w:rPr>
              <w:color w:val="000000" w:themeColor="text1"/>
              <w:sz w:val="20"/>
              <w:szCs w:val="20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5F6090" w:rsidP="00D83840">
                <w:pPr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ind w:right="-108"/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color w:val="000000" w:themeColor="text1"/>
              <w:sz w:val="20"/>
              <w:szCs w:val="20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color w:val="000000" w:themeColor="text1"/>
              <w:sz w:val="20"/>
              <w:szCs w:val="20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5F6090" w:rsidP="00D83840">
                <w:pPr>
                  <w:jc w:val="both"/>
                  <w:rPr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1D7ECF" w:rsidRPr="00D83840" w:rsidRDefault="001D7ECF" w:rsidP="00D83840">
            <w:pPr>
              <w:ind w:left="54"/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Negatívne</w:t>
            </w:r>
          </w:p>
        </w:tc>
      </w:tr>
      <w:tr w:rsidR="003665F5" w:rsidRPr="00D8384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 xml:space="preserve">    Mechanizmus znižovania byrokracie    </w:t>
            </w:r>
          </w:p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 xml:space="preserve">    a nákladov sa uplatňuje: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ind w:right="-108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5F609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ECF" w:rsidRPr="00D83840" w:rsidRDefault="001D7ECF" w:rsidP="00D83840">
            <w:pPr>
              <w:ind w:left="5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Nie</w:t>
            </w:r>
          </w:p>
        </w:tc>
      </w:tr>
      <w:tr w:rsidR="003665F5" w:rsidRPr="00D8384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Sociálne vplyvy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hideMark/>
              </w:tcPr>
              <w:p w:rsidR="001D7ECF" w:rsidRPr="00D83840" w:rsidRDefault="004C60F5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ind w:right="-108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1D7ECF" w:rsidRPr="00D83840" w:rsidRDefault="004C60F5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6928352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1D7ECF" w:rsidRPr="00D83840" w:rsidRDefault="005F609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D7ECF" w:rsidRPr="00D83840" w:rsidRDefault="001D7ECF" w:rsidP="00D83840">
            <w:pPr>
              <w:ind w:left="5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Negatívne</w:t>
            </w:r>
          </w:p>
        </w:tc>
      </w:tr>
      <w:tr w:rsidR="003665F5" w:rsidRPr="00D8384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Vplyvy na životné prostredie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474483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hideMark/>
              </w:tcPr>
              <w:p w:rsidR="001D7ECF" w:rsidRPr="00D83840" w:rsidRDefault="005F609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ind w:right="-108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206016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D7ECF" w:rsidRPr="00D83840" w:rsidRDefault="001D7ECF" w:rsidP="00D83840">
            <w:pPr>
              <w:ind w:left="5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Negatívne</w:t>
            </w:r>
          </w:p>
        </w:tc>
      </w:tr>
      <w:tr w:rsidR="003665F5" w:rsidRPr="00D8384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1D7ECF" w:rsidRPr="00D83840" w:rsidRDefault="001D7ECF" w:rsidP="00D83840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1D7ECF" w:rsidRPr="00D83840" w:rsidRDefault="001D7ECF" w:rsidP="00D83840">
            <w:pPr>
              <w:ind w:left="16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ind w:right="-108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5F609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ECF" w:rsidRPr="00D83840" w:rsidRDefault="001D7ECF" w:rsidP="00D83840">
            <w:pPr>
              <w:ind w:left="5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color w:val="000000" w:themeColor="text1"/>
                <w:sz w:val="20"/>
                <w:szCs w:val="20"/>
              </w:rPr>
              <w:t>Nie</w:t>
            </w:r>
          </w:p>
        </w:tc>
      </w:tr>
      <w:tr w:rsidR="003665F5" w:rsidRPr="00D8384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Vplyvy na informatizáciu spoločnosti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ind w:right="-108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1D7ECF" w:rsidRPr="00D83840" w:rsidRDefault="005F609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D7ECF" w:rsidRPr="00D83840" w:rsidRDefault="001D7ECF" w:rsidP="00D83840">
            <w:pPr>
              <w:ind w:left="5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3665F5" w:rsidRPr="00D8384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rFonts w:eastAsia="Calibri"/>
                <w:b/>
                <w:color w:val="000000" w:themeColor="text1"/>
                <w:sz w:val="20"/>
                <w:szCs w:val="20"/>
                <w:lang w:eastAsia="en-US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D7ECF" w:rsidRPr="00D83840" w:rsidRDefault="001D7ECF" w:rsidP="00D83840">
            <w:pPr>
              <w:jc w:val="both"/>
              <w:rPr>
                <w:rFonts w:eastAsia="MS Mincho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7ECF" w:rsidRPr="00D83840" w:rsidRDefault="001D7ECF" w:rsidP="00D83840">
            <w:pPr>
              <w:ind w:right="-108"/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7ECF" w:rsidRPr="00D83840" w:rsidRDefault="001D7ECF" w:rsidP="00D83840">
            <w:pPr>
              <w:jc w:val="both"/>
              <w:rPr>
                <w:rFonts w:eastAsia="MS Mincho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7ECF" w:rsidRPr="00D83840" w:rsidRDefault="001D7ECF" w:rsidP="00D83840">
            <w:pPr>
              <w:jc w:val="both"/>
              <w:rPr>
                <w:rFonts w:eastAsia="MS Mincho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D7ECF" w:rsidRPr="00D83840" w:rsidRDefault="001D7ECF" w:rsidP="00D83840">
            <w:pPr>
              <w:ind w:left="54"/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665F5" w:rsidRPr="00D8384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ind w:left="196" w:hanging="196"/>
              <w:jc w:val="both"/>
              <w:rPr>
                <w:rFonts w:eastAsia="Calibri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83840">
              <w:rPr>
                <w:rFonts w:eastAsia="Calibri"/>
                <w:b/>
                <w:color w:val="000000" w:themeColor="text1"/>
                <w:sz w:val="20"/>
                <w:szCs w:val="20"/>
                <w:lang w:eastAsia="en-US"/>
              </w:rPr>
              <w:t xml:space="preserve">    vplyvy služieb verejnej správy na občana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hideMark/>
              </w:tcPr>
              <w:p w:rsidR="001D7ECF" w:rsidRPr="00D83840" w:rsidRDefault="0074102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ind w:right="-108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hideMark/>
              </w:tcPr>
              <w:p w:rsidR="001D7ECF" w:rsidRPr="00D83840" w:rsidRDefault="0074102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hideMark/>
          </w:tcPr>
          <w:p w:rsidR="001D7ECF" w:rsidRPr="00D83840" w:rsidRDefault="001D7ECF" w:rsidP="00D83840">
            <w:pPr>
              <w:ind w:left="5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Negatívne</w:t>
            </w:r>
          </w:p>
        </w:tc>
      </w:tr>
      <w:tr w:rsidR="003665F5" w:rsidRPr="00D8384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ind w:left="168" w:hanging="168"/>
              <w:jc w:val="both"/>
              <w:rPr>
                <w:rFonts w:eastAsia="Calibri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83840">
              <w:rPr>
                <w:rFonts w:eastAsia="Calibri"/>
                <w:b/>
                <w:color w:val="000000" w:themeColor="text1"/>
                <w:sz w:val="20"/>
                <w:szCs w:val="20"/>
                <w:lang w:eastAsia="en-US"/>
              </w:rPr>
              <w:t xml:space="preserve">    vplyvy na procesy služieb vo verejnej správe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ind w:right="-108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74102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74102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1D7ECF" w:rsidRPr="00D83840" w:rsidRDefault="001D7ECF" w:rsidP="00D83840">
            <w:pPr>
              <w:ind w:left="5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Negatívne</w:t>
            </w:r>
          </w:p>
        </w:tc>
      </w:tr>
    </w:tbl>
    <w:tbl>
      <w:tblPr>
        <w:tblStyle w:val="Mriekatabuky11"/>
        <w:tblW w:w="91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3665F5" w:rsidRPr="00D8384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  <w:lang w:eastAsia="en-US"/>
              </w:rPr>
              <w:t>Vplyvy na manželstvo, rodičovstvo a rodinu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ind w:right="-108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5F6090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D7ECF" w:rsidRPr="00D83840" w:rsidRDefault="001D7ECF" w:rsidP="00D83840">
            <w:pPr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Žiadne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1D7ECF" w:rsidRPr="00D83840" w:rsidRDefault="001D7ECF" w:rsidP="00D83840">
                <w:pPr>
                  <w:jc w:val="both"/>
                  <w:rPr>
                    <w:b/>
                    <w:color w:val="000000" w:themeColor="text1"/>
                    <w:sz w:val="20"/>
                    <w:szCs w:val="20"/>
                  </w:rPr>
                </w:pPr>
                <w:r w:rsidRPr="00D83840">
                  <w:rPr>
                    <w:rFonts w:ascii="Segoe UI Symbol" w:hAnsi="Segoe UI Symbol" w:cs="Segoe UI Symbol"/>
                    <w:b/>
                    <w:color w:val="000000" w:themeColor="text1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ECF" w:rsidRPr="00D83840" w:rsidRDefault="001D7ECF" w:rsidP="00D83840">
            <w:pPr>
              <w:ind w:left="54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83840">
              <w:rPr>
                <w:b/>
                <w:color w:val="000000" w:themeColor="text1"/>
                <w:sz w:val="20"/>
                <w:szCs w:val="20"/>
              </w:rPr>
              <w:t>Negatívne</w:t>
            </w:r>
          </w:p>
        </w:tc>
      </w:tr>
    </w:tbl>
    <w:p w:rsidR="001D7ECF" w:rsidRPr="00D83840" w:rsidRDefault="001D7ECF" w:rsidP="00D83840">
      <w:pPr>
        <w:ind w:left="-190"/>
        <w:jc w:val="both"/>
        <w:rPr>
          <w:color w:val="000000" w:themeColor="text1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FFFFFF"/>
          <w:insideV w:val="single" w:sz="4" w:space="0" w:color="FFFFF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9209"/>
      </w:tblGrid>
      <w:tr w:rsidR="00D83840" w:rsidRPr="00D83840" w:rsidTr="00D83840">
        <w:trPr>
          <w:trHeight w:val="8729"/>
        </w:trPr>
        <w:tc>
          <w:tcPr>
            <w:tcW w:w="9209" w:type="dxa"/>
            <w:shd w:val="clear" w:color="auto" w:fill="FFFFFF" w:themeFill="background1"/>
          </w:tcPr>
          <w:p w:rsidR="00D83840" w:rsidRPr="00D83840" w:rsidRDefault="00D83840" w:rsidP="00A00556">
            <w:pPr>
              <w:ind w:right="-105"/>
              <w:jc w:val="both"/>
              <w:rPr>
                <w:rFonts w:eastAsiaTheme="minorHAnsi"/>
                <w:b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b/>
                <w:color w:val="000000" w:themeColor="text1"/>
                <w:lang w:eastAsia="en-US"/>
              </w:rPr>
              <w:lastRenderedPageBreak/>
              <w:t>Stanovisko Komisie na posudzovanie vybraných vplyvov z PPK č. 110/2026</w:t>
            </w:r>
          </w:p>
          <w:p w:rsidR="00D83840" w:rsidRDefault="00D83840" w:rsidP="00A00556">
            <w:pPr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color w:val="000000" w:themeColor="text1"/>
                <w:lang w:eastAsia="en-US"/>
              </w:rPr>
              <w:t>(v prípade, ak sa uskutočnilo v zmysle bodu 8.1 Jednotnej metodiky)</w:t>
            </w:r>
          </w:p>
          <w:tbl>
            <w:tblPr>
              <w:tblW w:w="8913" w:type="dxa"/>
              <w:tblInd w:w="284" w:type="dxa"/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D83840" w:rsidRPr="00D83840" w:rsidTr="00A00556">
              <w:trPr>
                <w:trHeight w:val="396"/>
              </w:trPr>
              <w:tc>
                <w:tcPr>
                  <w:tcW w:w="2552" w:type="dxa"/>
                </w:tcPr>
                <w:p w:rsidR="00D83840" w:rsidRPr="00D83840" w:rsidRDefault="00351696" w:rsidP="00D83840">
                  <w:pPr>
                    <w:jc w:val="both"/>
                    <w:rPr>
                      <w:rFonts w:eastAsiaTheme="minorHAnsi"/>
                      <w:b/>
                      <w:color w:val="000000" w:themeColor="text1"/>
                      <w:lang w:eastAsia="en-US"/>
                    </w:rPr>
                  </w:pPr>
                  <w:sdt>
                    <w:sdtPr>
                      <w:rPr>
                        <w:rFonts w:eastAsiaTheme="minorHAnsi"/>
                        <w:b/>
                        <w:color w:val="000000" w:themeColor="text1"/>
                        <w:lang w:eastAsia="en-US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83840" w:rsidRPr="00D83840">
                        <w:rPr>
                          <w:rFonts w:ascii="Segoe UI Symbol" w:eastAsiaTheme="minorHAnsi" w:hAnsi="Segoe UI Symbol" w:cs="Segoe UI Symbol"/>
                          <w:b/>
                          <w:color w:val="000000" w:themeColor="text1"/>
                          <w:lang w:eastAsia="en-US"/>
                        </w:rPr>
                        <w:t>☐</w:t>
                      </w:r>
                    </w:sdtContent>
                  </w:sdt>
                  <w:r w:rsidR="00D83840" w:rsidRPr="00D83840">
                    <w:rPr>
                      <w:rFonts w:eastAsiaTheme="minorHAnsi"/>
                      <w:b/>
                      <w:color w:val="000000" w:themeColor="text1"/>
                      <w:lang w:eastAsia="en-US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:rsidR="00D83840" w:rsidRPr="00D83840" w:rsidRDefault="00351696" w:rsidP="00D83840">
                  <w:pPr>
                    <w:jc w:val="both"/>
                    <w:rPr>
                      <w:rFonts w:eastAsiaTheme="minorHAnsi"/>
                      <w:b/>
                      <w:color w:val="000000" w:themeColor="text1"/>
                      <w:lang w:eastAsia="en-US"/>
                    </w:rPr>
                  </w:pPr>
                  <w:sdt>
                    <w:sdtPr>
                      <w:rPr>
                        <w:rFonts w:eastAsiaTheme="minorHAnsi"/>
                        <w:b/>
                        <w:color w:val="000000" w:themeColor="text1"/>
                        <w:lang w:eastAsia="en-US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83840" w:rsidRPr="00D83840">
                        <w:rPr>
                          <w:rFonts w:ascii="Segoe UI Symbol" w:eastAsiaTheme="minorHAnsi" w:hAnsi="Segoe UI Symbol" w:cs="Segoe UI Symbol"/>
                          <w:b/>
                          <w:color w:val="000000" w:themeColor="text1"/>
                          <w:lang w:eastAsia="en-US"/>
                        </w:rPr>
                        <w:t>☒</w:t>
                      </w:r>
                    </w:sdtContent>
                  </w:sdt>
                  <w:r w:rsidR="00D83840" w:rsidRPr="00D83840">
                    <w:rPr>
                      <w:rFonts w:eastAsiaTheme="minorHAnsi"/>
                      <w:b/>
                      <w:color w:val="000000" w:themeColor="text1"/>
                      <w:lang w:eastAsia="en-US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:rsidR="00D83840" w:rsidRPr="00D83840" w:rsidRDefault="00351696" w:rsidP="00D83840">
                  <w:pPr>
                    <w:jc w:val="both"/>
                    <w:rPr>
                      <w:rFonts w:eastAsiaTheme="minorHAnsi"/>
                      <w:b/>
                      <w:color w:val="000000" w:themeColor="text1"/>
                      <w:lang w:eastAsia="en-US"/>
                    </w:rPr>
                  </w:pPr>
                  <w:sdt>
                    <w:sdtPr>
                      <w:rPr>
                        <w:rFonts w:eastAsiaTheme="minorHAnsi"/>
                        <w:b/>
                        <w:color w:val="000000" w:themeColor="text1"/>
                        <w:lang w:eastAsia="en-US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83840" w:rsidRPr="00D83840">
                        <w:rPr>
                          <w:rFonts w:ascii="Segoe UI Symbol" w:eastAsiaTheme="minorHAnsi" w:hAnsi="Segoe UI Symbol" w:cs="Segoe UI Symbol"/>
                          <w:b/>
                          <w:color w:val="000000" w:themeColor="text1"/>
                          <w:lang w:eastAsia="en-US"/>
                        </w:rPr>
                        <w:t>☐</w:t>
                      </w:r>
                    </w:sdtContent>
                  </w:sdt>
                  <w:r w:rsidR="00D83840" w:rsidRPr="00D83840">
                    <w:rPr>
                      <w:rFonts w:eastAsiaTheme="minorHAnsi"/>
                      <w:b/>
                      <w:color w:val="000000" w:themeColor="text1"/>
                      <w:lang w:eastAsia="en-US"/>
                    </w:rPr>
                    <w:t xml:space="preserve">  Nesúhlasné</w:t>
                  </w:r>
                </w:p>
              </w:tc>
            </w:tr>
          </w:tbl>
          <w:p w:rsidR="00D83840" w:rsidRDefault="00D83840" w:rsidP="00A00556">
            <w:pPr>
              <w:jc w:val="both"/>
              <w:rPr>
                <w:rFonts w:eastAsiaTheme="minorHAnsi"/>
                <w:color w:val="000000" w:themeColor="text1"/>
                <w:lang w:eastAsia="en-US"/>
              </w:rPr>
            </w:pPr>
          </w:p>
          <w:p w:rsidR="00D83840" w:rsidRPr="00D83840" w:rsidRDefault="00D83840" w:rsidP="00D83840">
            <w:pPr>
              <w:jc w:val="both"/>
              <w:rPr>
                <w:rFonts w:eastAsiaTheme="minorHAnsi"/>
                <w:b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b/>
                <w:color w:val="000000" w:themeColor="text1"/>
                <w:lang w:eastAsia="en-US"/>
              </w:rPr>
              <w:t>Uveďte pripomienky zo stanoviska Komisie z časti II. spolu s Vaším vyhodnotením: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</w:p>
          <w:p w:rsidR="00D83840" w:rsidRPr="00D83840" w:rsidRDefault="00D83840" w:rsidP="00D83840">
            <w:pPr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bCs/>
                <w:color w:val="000000" w:themeColor="text1"/>
                <w:lang w:eastAsia="en-US"/>
              </w:rPr>
              <w:t>Komisia uplatňuje k materiálu nasledovné pripomienky a odporúčania: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b/>
                <w:bCs/>
                <w:color w:val="000000" w:themeColor="text1"/>
                <w:lang w:eastAsia="en-US"/>
              </w:rPr>
            </w:pPr>
          </w:p>
          <w:p w:rsidR="00D83840" w:rsidRPr="00D83840" w:rsidRDefault="00D83840" w:rsidP="00D83840">
            <w:pPr>
              <w:jc w:val="both"/>
              <w:rPr>
                <w:rFonts w:eastAsiaTheme="minorHAnsi"/>
                <w:b/>
                <w:bCs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K Predbežnému stanovisku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color w:val="000000" w:themeColor="text1"/>
                <w:lang w:eastAsia="en-US"/>
              </w:rPr>
              <w:t>Predbežné stanovisko je potrebné vypracovať v súlade so vzorom predbežného stanoviska určeného </w:t>
            </w:r>
            <w:r w:rsidRPr="00D83840">
              <w:rPr>
                <w:rFonts w:eastAsiaTheme="minorHAnsi"/>
                <w:i/>
                <w:iCs/>
                <w:color w:val="000000" w:themeColor="text1"/>
                <w:lang w:eastAsia="en-US"/>
              </w:rPr>
              <w:t>Pravidlami tvorby stanovísk Slovenskej republiky k návrhom aktov Európskej únie</w:t>
            </w:r>
            <w:r w:rsidRPr="00D83840">
              <w:rPr>
                <w:rFonts w:eastAsiaTheme="minorHAnsi"/>
                <w:color w:val="000000" w:themeColor="text1"/>
                <w:lang w:eastAsia="en-US"/>
              </w:rPr>
              <w:t> schválenými uznesením vlády SR č. 211 z 13. 5. 2026 a účinnými od 15. 5. 2026.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color w:val="000000" w:themeColor="text1"/>
                <w:u w:val="single"/>
                <w:lang w:eastAsia="en-US"/>
              </w:rPr>
              <w:t>Odôvodnenie</w:t>
            </w:r>
            <w:r w:rsidRPr="00D83840">
              <w:rPr>
                <w:rFonts w:eastAsiaTheme="minorHAnsi"/>
                <w:color w:val="000000" w:themeColor="text1"/>
                <w:lang w:eastAsia="en-US"/>
              </w:rPr>
              <w:t>: Forma predbežného stanoviska nezodpovedá vyššie uvedenému vzoru.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b/>
                <w:bCs/>
                <w:i/>
                <w:iCs/>
                <w:color w:val="000000" w:themeColor="text1"/>
                <w:lang w:eastAsia="en-US"/>
              </w:rPr>
            </w:pPr>
          </w:p>
          <w:p w:rsidR="00D83840" w:rsidRPr="00D83840" w:rsidRDefault="00D83840" w:rsidP="00D83840">
            <w:pPr>
              <w:jc w:val="both"/>
              <w:rPr>
                <w:rFonts w:eastAsiaTheme="minorHAnsi"/>
                <w:b/>
                <w:bCs/>
                <w:i/>
                <w:iCs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b/>
                <w:bCs/>
                <w:i/>
                <w:iCs/>
                <w:color w:val="000000" w:themeColor="text1"/>
                <w:lang w:eastAsia="en-US"/>
              </w:rPr>
              <w:t>Stanovisko MŽP SR: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color w:val="000000" w:themeColor="text1"/>
                <w:lang w:eastAsia="en-US"/>
              </w:rPr>
              <w:t xml:space="preserve">Pripomienka bola akceptovaná a predbežné stanovisko sa vypracovalo do vyššie uvedeného vzoru. 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b/>
                <w:bCs/>
                <w:color w:val="000000" w:themeColor="text1"/>
                <w:lang w:eastAsia="en-US"/>
              </w:rPr>
            </w:pPr>
          </w:p>
          <w:p w:rsidR="00D83840" w:rsidRPr="00D83840" w:rsidRDefault="00D83840" w:rsidP="00D83840">
            <w:pPr>
              <w:jc w:val="both"/>
              <w:rPr>
                <w:rFonts w:eastAsiaTheme="minorHAnsi"/>
                <w:b/>
                <w:bCs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K vplyvom na rozpočet verejnej správy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color w:val="000000" w:themeColor="text1"/>
                <w:lang w:eastAsia="en-US"/>
              </w:rPr>
              <w:t>Komisia odporúča v texte analýzy vplyvov na rozpočet verejnej správy v krátkosti opísať, či je odôvodnené očakávať, že príjmy SR z CBAM budú iba vo výške CBAM zaplateného na našom území, keďže s týmto predpokladom nateraz implicitne ráta prepočet. Napr. príjmy štátneho rozpočtu z EU ETS (plus časť emisií určená pre Modernizačný fond) nezodpovedajú objemu kvót využitých zariadeniami na území Slovenska (podľa 2003/87/EC).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color w:val="000000" w:themeColor="text1"/>
                <w:lang w:eastAsia="en-US"/>
              </w:rPr>
              <w:t> 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color w:val="000000" w:themeColor="text1"/>
                <w:lang w:eastAsia="en-US"/>
              </w:rPr>
              <w:t>Komisia odporúča v texte analýzy vplyvov deklarovať, že nateraz rozpočet verejnej správy neráta s príjmami plynúcimi z CBAM. Prípadný pokles príjmov z CBAM by teda nemal vplyv na rast deficitu oproti scenáru v rozpočte verejnej správy. Negatívny vplyv by existoval v porovnaní s NPC scenárom (ktorý však rozpočet verejnej správy plne nekopíruje).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color w:val="000000" w:themeColor="text1"/>
                <w:lang w:eastAsia="en-US"/>
              </w:rPr>
            </w:pPr>
          </w:p>
          <w:p w:rsidR="00D83840" w:rsidRPr="00D83840" w:rsidRDefault="00D83840" w:rsidP="00D83840">
            <w:pPr>
              <w:jc w:val="both"/>
              <w:rPr>
                <w:rFonts w:eastAsiaTheme="minorHAnsi"/>
                <w:b/>
                <w:bCs/>
                <w:i/>
                <w:iCs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b/>
                <w:bCs/>
                <w:i/>
                <w:iCs/>
                <w:color w:val="000000" w:themeColor="text1"/>
                <w:lang w:eastAsia="en-US"/>
              </w:rPr>
              <w:t>Stanovisko MŽP SR:</w:t>
            </w:r>
          </w:p>
          <w:p w:rsidR="00D83840" w:rsidRPr="00D83840" w:rsidRDefault="00D83840" w:rsidP="00D83840">
            <w:pPr>
              <w:jc w:val="both"/>
              <w:rPr>
                <w:rFonts w:eastAsiaTheme="minorHAnsi"/>
                <w:b/>
                <w:color w:val="000000" w:themeColor="text1"/>
                <w:lang w:eastAsia="en-US"/>
              </w:rPr>
            </w:pPr>
            <w:r w:rsidRPr="00D83840">
              <w:rPr>
                <w:rFonts w:eastAsiaTheme="minorHAnsi"/>
                <w:color w:val="000000" w:themeColor="text1"/>
                <w:lang w:eastAsia="en-US"/>
              </w:rPr>
              <w:t>Pripomienka bola zapracovaná do analýzy vplyvov na rozpočet verejnej správy v bodoch 2.1.1. a 2.2.4.</w:t>
            </w:r>
          </w:p>
        </w:tc>
      </w:tr>
    </w:tbl>
    <w:p w:rsidR="001D7ECF" w:rsidRPr="00D83840" w:rsidRDefault="001D7ECF" w:rsidP="00D83840">
      <w:pPr>
        <w:jc w:val="both"/>
        <w:rPr>
          <w:rFonts w:eastAsiaTheme="minorHAnsi"/>
          <w:color w:val="000000" w:themeColor="text1"/>
          <w:lang w:eastAsia="en-US"/>
        </w:rPr>
      </w:pPr>
    </w:p>
    <w:sectPr w:rsidR="001D7ECF" w:rsidRPr="00D83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696" w:rsidRDefault="00351696" w:rsidP="00B62148">
      <w:r>
        <w:separator/>
      </w:r>
    </w:p>
  </w:endnote>
  <w:endnote w:type="continuationSeparator" w:id="0">
    <w:p w:rsidR="00351696" w:rsidRDefault="00351696" w:rsidP="00B62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696" w:rsidRDefault="00351696" w:rsidP="00B62148">
      <w:r>
        <w:separator/>
      </w:r>
    </w:p>
  </w:footnote>
  <w:footnote w:type="continuationSeparator" w:id="0">
    <w:p w:rsidR="00351696" w:rsidRDefault="00351696" w:rsidP="00B62148">
      <w:r>
        <w:continuationSeparator/>
      </w:r>
    </w:p>
  </w:footnote>
  <w:footnote w:id="1">
    <w:p w:rsidR="00B62148" w:rsidRPr="006E06AD" w:rsidRDefault="00B62148" w:rsidP="00B62148">
      <w:pPr>
        <w:pStyle w:val="Textpoznmkypodiarou"/>
        <w:rPr>
          <w:rFonts w:ascii="Times New Roman" w:hAnsi="Times New Roman" w:cs="Times New Roman"/>
          <w:lang w:val="sk-SK"/>
        </w:rPr>
      </w:pPr>
      <w:r>
        <w:rPr>
          <w:rStyle w:val="Odkaznapoznmkupodiarou"/>
        </w:rPr>
        <w:footnoteRef/>
      </w:r>
      <w:r>
        <w:t xml:space="preserve"> </w:t>
      </w:r>
      <w:r w:rsidRPr="006E06AD">
        <w:rPr>
          <w:rFonts w:ascii="Times New Roman" w:hAnsi="Times New Roman" w:cs="Times New Roman"/>
          <w:lang w:val="sk-SK"/>
        </w:rPr>
        <w:t xml:space="preserve">Sprievodný dokument Európskej komisie (SWD) </w:t>
      </w:r>
      <w:hyperlink r:id="rId1" w:history="1">
        <w:r w:rsidRPr="006E06AD">
          <w:rPr>
            <w:rStyle w:val="Hypertextovprepojenie"/>
            <w:rFonts w:ascii="Times New Roman" w:hAnsi="Times New Roman" w:cs="Times New Roman"/>
            <w:lang w:val="sk-SK"/>
          </w:rPr>
          <w:t>https://www.slov-lex.sk/pravo-eu/navrhy-aktov-eu/47d56582-3463-4e56-be6d-c647dec87299</w:t>
        </w:r>
      </w:hyperlink>
      <w:r w:rsidRPr="006E06AD">
        <w:rPr>
          <w:rFonts w:ascii="Times New Roman" w:hAnsi="Times New Roman" w:cs="Times New Roman"/>
          <w:lang w:val="sk-SK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17A074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C9438CE"/>
    <w:multiLevelType w:val="hybridMultilevel"/>
    <w:tmpl w:val="13E83206"/>
    <w:lvl w:ilvl="0" w:tplc="86DADF1E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82AEF"/>
    <w:multiLevelType w:val="multilevel"/>
    <w:tmpl w:val="8F366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7B356CA"/>
    <w:multiLevelType w:val="multilevel"/>
    <w:tmpl w:val="9A66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56C1B95"/>
    <w:multiLevelType w:val="hybridMultilevel"/>
    <w:tmpl w:val="A54A973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72091EAF"/>
    <w:multiLevelType w:val="multilevel"/>
    <w:tmpl w:val="C04E2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6810EE7"/>
    <w:multiLevelType w:val="hybridMultilevel"/>
    <w:tmpl w:val="DD84C76E"/>
    <w:lvl w:ilvl="0" w:tplc="E86061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>
      <w:start w:val="1"/>
      <w:numFmt w:val="lowerLetter"/>
      <w:lvlText w:val="%2."/>
      <w:lvlJc w:val="left"/>
      <w:pPr>
        <w:ind w:left="1582" w:hanging="360"/>
      </w:pPr>
    </w:lvl>
    <w:lvl w:ilvl="2" w:tplc="041B001B">
      <w:start w:val="1"/>
      <w:numFmt w:val="lowerRoman"/>
      <w:lvlText w:val="%3."/>
      <w:lvlJc w:val="right"/>
      <w:pPr>
        <w:ind w:left="2302" w:hanging="180"/>
      </w:pPr>
    </w:lvl>
    <w:lvl w:ilvl="3" w:tplc="041B000F">
      <w:start w:val="1"/>
      <w:numFmt w:val="decimal"/>
      <w:lvlText w:val="%4."/>
      <w:lvlJc w:val="left"/>
      <w:pPr>
        <w:ind w:left="3022" w:hanging="360"/>
      </w:pPr>
    </w:lvl>
    <w:lvl w:ilvl="4" w:tplc="041B0019">
      <w:start w:val="1"/>
      <w:numFmt w:val="lowerLetter"/>
      <w:lvlText w:val="%5."/>
      <w:lvlJc w:val="left"/>
      <w:pPr>
        <w:ind w:left="3742" w:hanging="360"/>
      </w:pPr>
    </w:lvl>
    <w:lvl w:ilvl="5" w:tplc="041B001B">
      <w:start w:val="1"/>
      <w:numFmt w:val="lowerRoman"/>
      <w:lvlText w:val="%6."/>
      <w:lvlJc w:val="right"/>
      <w:pPr>
        <w:ind w:left="4462" w:hanging="180"/>
      </w:pPr>
    </w:lvl>
    <w:lvl w:ilvl="6" w:tplc="041B000F">
      <w:start w:val="1"/>
      <w:numFmt w:val="decimal"/>
      <w:lvlText w:val="%7."/>
      <w:lvlJc w:val="left"/>
      <w:pPr>
        <w:ind w:left="5182" w:hanging="360"/>
      </w:pPr>
    </w:lvl>
    <w:lvl w:ilvl="7" w:tplc="041B0019">
      <w:start w:val="1"/>
      <w:numFmt w:val="lowerLetter"/>
      <w:lvlText w:val="%8."/>
      <w:lvlJc w:val="left"/>
      <w:pPr>
        <w:ind w:left="5902" w:hanging="360"/>
      </w:pPr>
    </w:lvl>
    <w:lvl w:ilvl="8" w:tplc="041B001B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ECF"/>
    <w:rsid w:val="00013F85"/>
    <w:rsid w:val="000951D9"/>
    <w:rsid w:val="000A13EA"/>
    <w:rsid w:val="001A3FC3"/>
    <w:rsid w:val="001D7ECF"/>
    <w:rsid w:val="00232C17"/>
    <w:rsid w:val="002D444C"/>
    <w:rsid w:val="002E3565"/>
    <w:rsid w:val="00351696"/>
    <w:rsid w:val="003665F5"/>
    <w:rsid w:val="00387DBA"/>
    <w:rsid w:val="00392FE6"/>
    <w:rsid w:val="004C60F5"/>
    <w:rsid w:val="004F5816"/>
    <w:rsid w:val="005A424E"/>
    <w:rsid w:val="005B7687"/>
    <w:rsid w:val="005F6090"/>
    <w:rsid w:val="006E05F1"/>
    <w:rsid w:val="0070321A"/>
    <w:rsid w:val="00741020"/>
    <w:rsid w:val="007C2527"/>
    <w:rsid w:val="008A6865"/>
    <w:rsid w:val="0097775A"/>
    <w:rsid w:val="00A3300A"/>
    <w:rsid w:val="00A40363"/>
    <w:rsid w:val="00A643C5"/>
    <w:rsid w:val="00AC058F"/>
    <w:rsid w:val="00AD3045"/>
    <w:rsid w:val="00AD4E8E"/>
    <w:rsid w:val="00B21ACC"/>
    <w:rsid w:val="00B62148"/>
    <w:rsid w:val="00BC7859"/>
    <w:rsid w:val="00BC7B29"/>
    <w:rsid w:val="00C95DFE"/>
    <w:rsid w:val="00CF52CA"/>
    <w:rsid w:val="00D83840"/>
    <w:rsid w:val="00D94524"/>
    <w:rsid w:val="00DF17E0"/>
    <w:rsid w:val="00E0478A"/>
    <w:rsid w:val="00E64DC5"/>
    <w:rsid w:val="00E84AD9"/>
    <w:rsid w:val="00EE019F"/>
    <w:rsid w:val="00F53709"/>
    <w:rsid w:val="00F7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E81E2D-046A-42EA-B202-8DEF1210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D7ECF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1D7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1D7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D7E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D7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D7E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D7E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D7E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D7E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D7E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D7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1D7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D7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D7EC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D7EC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D7EC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D7EC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D7EC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D7EC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1D7E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1D7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D7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1D7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1D7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1D7ECF"/>
    <w:rPr>
      <w:i/>
      <w:iCs/>
      <w:color w:val="404040" w:themeColor="text1" w:themeTint="BF"/>
    </w:rPr>
  </w:style>
  <w:style w:type="paragraph" w:styleId="Odsekzoznamu">
    <w:name w:val="List Paragraph"/>
    <w:aliases w:val="Dot pt,No Spacing1,List Paragraph Char Char Char,Indicator Text,Numbered Para 1,List Paragraph à moi,Odsek zoznamu4,LISTA,List Paragraph1,Listaszerű bekezdés2,Listaszerű bekezdés3,Listaszerű bekezdés1,Bullet 1,Bullet Points,MAIN CONTENT,3"/>
    <w:basedOn w:val="Normlny"/>
    <w:link w:val="OdsekzoznamuChar"/>
    <w:uiPriority w:val="34"/>
    <w:qFormat/>
    <w:rsid w:val="001D7EC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1D7EC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1D7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1D7EC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1D7ECF"/>
    <w:rPr>
      <w:b/>
      <w:bCs/>
      <w:smallCaps/>
      <w:color w:val="0F4761" w:themeColor="accent1" w:themeShade="BF"/>
      <w:spacing w:val="5"/>
    </w:rPr>
  </w:style>
  <w:style w:type="paragraph" w:styleId="Bezriadkovania">
    <w:name w:val="No Spacing"/>
    <w:uiPriority w:val="1"/>
    <w:qFormat/>
    <w:rsid w:val="001D7EC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Vchodzie">
    <w:name w:val="Vchodzie"/>
    <w:rsid w:val="001D7ECF"/>
    <w:pPr>
      <w:autoSpaceDE w:val="0"/>
      <w:autoSpaceDN w:val="0"/>
      <w:adjustRightInd w:val="0"/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zh-CN"/>
      <w14:ligatures w14:val="none"/>
    </w:rPr>
  </w:style>
  <w:style w:type="paragraph" w:styleId="Normlnywebov">
    <w:name w:val="Normal (Web)"/>
    <w:basedOn w:val="Normlny"/>
    <w:uiPriority w:val="99"/>
    <w:unhideWhenUsed/>
    <w:rsid w:val="001D7ECF"/>
  </w:style>
  <w:style w:type="character" w:customStyle="1" w:styleId="OdsekzoznamuChar">
    <w:name w:val="Odsek zoznamu Char"/>
    <w:aliases w:val="Dot pt Char,No Spacing1 Char,List Paragraph Char Char Char Char,Indicator Text Char,Numbered Para 1 Char,List Paragraph à moi Char,Odsek zoznamu4 Char,LISTA Char,List Paragraph1 Char,Listaszerű bekezdés2 Char,Listaszerű bekezdés3 Char"/>
    <w:link w:val="Odsekzoznamu"/>
    <w:uiPriority w:val="34"/>
    <w:locked/>
    <w:rsid w:val="001D7ECF"/>
  </w:style>
  <w:style w:type="table" w:customStyle="1" w:styleId="Mriekatabuky1">
    <w:name w:val="Mriežka tabuľky1"/>
    <w:basedOn w:val="Normlnatabuka"/>
    <w:uiPriority w:val="59"/>
    <w:rsid w:val="001D7ECF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1">
    <w:name w:val="Mriežka tabuľky11"/>
    <w:basedOn w:val="Normlnatabuka"/>
    <w:uiPriority w:val="59"/>
    <w:rsid w:val="001D7EC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21AC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21ACC"/>
    <w:rPr>
      <w:rFonts w:ascii="Segoe UI" w:eastAsia="Times New Roman" w:hAnsi="Segoe UI" w:cs="Segoe UI"/>
      <w:kern w:val="0"/>
      <w:sz w:val="18"/>
      <w:szCs w:val="18"/>
      <w:lang w:eastAsia="sk-SK"/>
      <w14:ligatures w14:val="non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B62148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62148"/>
    <w:rPr>
      <w:kern w:val="0"/>
      <w:sz w:val="20"/>
      <w:szCs w:val="20"/>
      <w:lang w:val="en-US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B62148"/>
    <w:rPr>
      <w:shd w:val="clear" w:color="auto" w:fill="auto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B6214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lov-lex.sk/pravo-eu/navrhy-aktov-eu/47d56582-3463-4e56-be6d-c647dec87299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2885</Words>
  <Characters>16448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Mário Gnida - OZK</dc:creator>
  <cp:keywords/>
  <dc:description/>
  <cp:lastModifiedBy>Ivančová Dominika</cp:lastModifiedBy>
  <cp:revision>5</cp:revision>
  <dcterms:created xsi:type="dcterms:W3CDTF">2026-07-16T15:09:00Z</dcterms:created>
  <dcterms:modified xsi:type="dcterms:W3CDTF">2026-07-21T08:29:00Z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c882aea0-01c0-41fa-b21a-92a79f23d147</vt:lpwstr>
  </property>
</Properties>
</file>