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zákona, ktorým sa mení a dopĺňa zákon č. 523/2004 Z. z. o rozpočtových pravidlách verejnej správy a o zmene a doplnení niektorých zákonov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LP/2026/123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54</w:t>
      </w:r>
      <w:r w:rsidR="002E3CEC">
        <w:rPr>
          <w:rFonts w:ascii="Times New Roman" w:eastAsia="Times New Roman" w:hAnsi="Times New Roman" w:cs="Times New Roman"/>
          <w:sz w:val="24"/>
          <w:szCs w:val="24"/>
          <w:lang w:val="en-US"/>
        </w:rPr>
        <w:t>/25</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bodom 2, 5 a 6 – O:</w:t>
              <w:br/>
            </w:r>
            <w:r>
              <w:rPr>
                <w:b w:val="off"/>
                <w:color w:val="000000"/>
                <w:rFonts w:ascii="Times New Roman" w:hAnsi="Times New Roman" w:cs="Times New Roman" w:eastAsia="Times New Roman"/>
                <w:sz w:val="24"/>
              </w:rPr>
              <w:t>Slová „pripája bodkočiarka a tieto slová“ odporúčame nahradiť slovami „bodka nahrádza bodkočiarkou a pripájajú sa tieto slová“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4 – O:</w:t>
              <w:br/>
            </w:r>
            <w:r>
              <w:rPr>
                <w:b w:val="off"/>
                <w:color w:val="000000"/>
                <w:rFonts w:ascii="Times New Roman" w:hAnsi="Times New Roman" w:cs="Times New Roman" w:eastAsia="Times New Roman"/>
                <w:sz w:val="24"/>
              </w:rPr>
              <w:t>Slová „pripája čiarka a tieto slová“ odporúčame nahradiť slovami „bodka nahrádza čiarkou  a pripájajú sa tieto slová“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Navrhujeme doplniť nový novelizačný bod, ktorý znie:</w:t>
              <w:br/>
            </w:r>
            <w:r>
              <w:rPr>
                <w:b w:val="off"/>
                <w:color w:val="000000"/>
                <w:rFonts w:ascii="Times New Roman" w:hAnsi="Times New Roman" w:cs="Times New Roman" w:eastAsia="Times New Roman"/>
                <w:sz w:val="24"/>
              </w:rPr>
              <w:t>„V § 22 ods. 4 druhej vete sa za slovami „úhrad stravy“ slovo „alebo“ nahrádza čiarkou a na konci sa pripájajú tieto slová: „alebo o príjem prostriedkov zo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nadväznosti na skutočnosť, že zákon č. 523/2004 Z. z. o rozpočtových pravidlách verejnej správy a o zmene a doplnení niektorých zákonov v znení neskorších predpisov (ďalej len „zákon č. 523/2004 Z. z.“) prípad, ktorý nastal v súvislosti s novelou zákona č. 578/2004 Z. z. o poskytovateľoch zdravotnej starostlivosti, zdravotníckych pracovníkoch, stavovských organizáciách v zdravotníctve a o zmene a doplnení niektorých zákonov v znení neskorších predpisov účinnou od 1. marca 2026, explicitne neupravuje a nie je teda možné tento prípad subsumovať pod ustanovenie § 22 ods. 4 zákona č. 523/2004 Z. z., riešením je doplnenie príslušného ustanovenia zákona č. 523/2004 Z. z., s cieľom vymedziť, aby rozpočtová organizácia mohla sústreďovať príjmy od zdravotnej poisťovne aj na samostatnom účte a realizovať výdavky zo samostatného účtu na účel, na ktorý sú určené. Máme za to, že takýto postup je v súlade so zásadou právnej istoty, rešpektuje účelovosť poskytnutých prostriedkov a predchádza porušeniu finančnej disciplíny.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 xml:space="preserve">1.	V čl. I odporúčame znenie bodu 2 upraviť takto: „V § 6 ods. 7 prvej vete sa bodka na konci nahrádza bodkočiarkou a pripájajú sa  tieto slová:“ </w:t>
              <w:br/>
            </w:r>
            <w:r>
              <w:rPr>
                <w:b w:val="off"/>
                <w:color w:val="000000"/>
                <w:rFonts w:ascii="Times New Roman" w:hAnsi="Times New Roman" w:cs="Times New Roman" w:eastAsia="Times New Roman"/>
                <w:sz w:val="24"/>
              </w:rPr>
              <w:t>Obdobnú úpravu odporúčame aj v bodoch 4 a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čl. I bode 3</w:t>
              <w:br/>
            </w:r>
            <w:r>
              <w:rPr>
                <w:b w:val="off"/>
                <w:color w:val="000000"/>
                <w:rFonts w:ascii="Times New Roman" w:hAnsi="Times New Roman" w:cs="Times New Roman" w:eastAsia="Times New Roman"/>
                <w:sz w:val="24"/>
              </w:rPr>
              <w:t>2.	V čl. I bode 3 Dávame na zváženie doplnenie právnej úpravy s cieľom umožniť automatické úpravy limitu verejných výdavkov v informačných systémoch MF SR aj vo vzťahu k prostriedkom Európskej únie, prostriedkom štátneho rozpočtu určených na financovanie spoločných programov SR a EÚ a prostriedkov štátneho rozpočtu určených na financovanie účelov vyplývajúcich z medzinárodných zmlúv o poskytnutí grantu uzatvorených medzi Slovenskou republikou a inými štátmi, a to najmä vo vzťahu k prostriedkom pro rata.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3.	V čl. I bode 4 odporúčame zvážiť zosúladenie slovného spojenia „ako aj v čase a výške neisté výdavky“ so spojením, ktoré sa používa v § 10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4.	V čl. I bode 5 navrhujeme slová „sa považuje za porušenie“ nahradiť slovami „je porušením“.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5.	V čl. I bode 5 odporúčame vypustiť celý novelizačný bod, pretože ustanovenie upravuje jednu z mnohých povinností v zákone. Porušenie tejto povinnosti a jej sankcionovanie odporúčame upraviť v § 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6.	V čl. I bode 7 navrhujeme vyjadriť takto „V § 15 ods. 1 poslednej vete sa vypúšťa bodkočiarka a časť vety za bodkočiarkou.“.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7.	V čl. I bode 14 navrhujeme slovo „štvrtej“ nahradiť slovom „poslednej“.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 a 6</w:t>
              <w:br/>
            </w:r>
            <w:r>
              <w:rPr>
                <w:b w:val="off"/>
                <w:color w:val="000000"/>
                <w:rFonts w:ascii="Times New Roman" w:hAnsi="Times New Roman" w:cs="Times New Roman" w:eastAsia="Times New Roman"/>
                <w:sz w:val="24"/>
              </w:rPr>
              <w:t xml:space="preserve">Vzhľadom na navrhovanú úpravu § 6 ods. 8 a § 15 ods. 1, z dôvodu efektívneho a funkčného zavedenia navrhovaného opatrenia v informačnom systéme Ministerstva financií Slovenskej republiky navrhujeme zabezpečiť technickú pripravenosť vykonávania predmetných úprav rozpočtu v module MUR pre kapitolu Ministerstva obrany Slovenskej republiky, resp. zabezpečiť súčinnosť pri riešení prepojenia integrovaného informačného systému Ministerstva obrany Slovenskej republiky s informačným systémom Ministerstva financií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Predložená novela navrhuje realizáciu úpravy limitov verejných výdavkov/záväzných ukazovateľov subjektov verejnej správy bez vplyvu na celkový limit verejných výdavkov a limit verejných výdavkov štátneho rozpočtu vykonávať priamo v informačnom systéme Ministerstva financií Slovenskej republiky na úrovni správcu kapitoly bez schvaľovacieho vstupu Ministerstva financií Slovenskej republiky.  </w:t>
              <w:br/>
            </w:r>
            <w:r>
              <w:rPr>
                <w:b w:val="off"/>
                <w:color w:val="000000"/>
                <w:rFonts w:ascii="Times New Roman" w:hAnsi="Times New Roman" w:cs="Times New Roman" w:eastAsia="Times New Roman"/>
                <w:sz w:val="24"/>
              </w:rPr>
              <w:t>Kapitola Ministerstva obrany Slovenskej republiky vstupuje do informačného systému Ministerstva financií Slovenskej republiky (modul MUR) prostredníctvom integrovaného informačného systému Ministerstva obrany Slovenskej republiky. V nadväznosti na uvedené navrhujeme zohľadniť špecifiká kapitoly Ministerstva obrany Slovenskej republiky pri nastavovaní  informačného systému Ministerstva financií Slovenskej republiky tak, aby kapitole Ministerstva obrany Slovenskej republiky bolo umožnené realizovať predmetné rozpočtové opatrenia bez problémov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 čl. I bode 5 preformulovať navrhované doplnenie § 14 ods. 2 alebo ho vypustiť ako nadbytočné.</w:t>
              <w:br/>
            </w:r>
            <w:r>
              <w:rPr>
                <w:b w:val="off"/>
                <w:color w:val="000000"/>
                <w:rFonts w:ascii="Times New Roman" w:hAnsi="Times New Roman" w:cs="Times New Roman" w:eastAsia="Times New Roman"/>
                <w:sz w:val="24"/>
              </w:rPr>
              <w:t xml:space="preserve">Odôvodnenie: Ustanovenie § 14 ods. 2 ustanovuje, že ministerstvo financií vypracúva návrh rozpočtu verejnej správy v určenej štruktúre a v súčinnosti s príslušnými subjektmi verejnej správy a zároveň, že subjekty verejnej správy, ktorých výdavky sú súčasťou rozpočtu verejnej správy a na ktoré sa vzťahuje limit verejných výdavkov, zostavujú a realizujú svoj rozpočet </w:t>
              <w:br/>
            </w:r>
            <w:r>
              <w:rPr>
                <w:b w:val="off"/>
                <w:color w:val="000000"/>
                <w:rFonts w:ascii="Times New Roman" w:hAnsi="Times New Roman" w:cs="Times New Roman" w:eastAsia="Times New Roman"/>
                <w:sz w:val="24"/>
              </w:rPr>
              <w:t xml:space="preserve">v informačnom systéme ministerstva financií, spôsobom určeným ministerstvom financií </w:t>
              <w:br/>
            </w:r>
            <w:r>
              <w:rPr>
                <w:b w:val="off"/>
                <w:color w:val="000000"/>
                <w:rFonts w:ascii="Times New Roman" w:hAnsi="Times New Roman" w:cs="Times New Roman" w:eastAsia="Times New Roman"/>
                <w:sz w:val="24"/>
              </w:rPr>
              <w:t xml:space="preserve">a v ním určenom rozsahu a štruktúre. Zo znenia tohto ustanovenia je zrejmé, že príslušným subjektom bola uložená povinnosť konať určitým spôsobom a rovnako je zrejmé, že nedodržanie takého postupu je porušením zákona, ktorý túto povinnosť ustanovuje. Preto navrhované doplnenie § 14 ods. 2 možno považovať za nadbytočné.  Na precizovanie textu (ako odôvodňuje tento návrh predkladateľ v osobitnej časti dôvodovej správy k čl. I bodu 5) odporúčame prípadne odkázať na konkrétne ustanovenie predmetného zákona o sankciách </w:t>
              <w:br/>
            </w:r>
            <w:r>
              <w:rPr>
                <w:b w:val="off"/>
                <w:color w:val="000000"/>
                <w:rFonts w:ascii="Times New Roman" w:hAnsi="Times New Roman" w:cs="Times New Roman" w:eastAsia="Times New Roman"/>
                <w:sz w:val="24"/>
              </w:rPr>
              <w:t>za nedodržanie jeho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doplnenie príslušných ustanovení zákona tak, aby rozpočtová organizácia mohla sústreďovať na samostatnom účte aj príjmy od zdravotných poisťovní, ktoré sú účelovo určené na refundáciu výplaty stabilizačného príspevku pre zdravotné sestry, a zároveň aby z tohto účtu mohla realizovať výdavky výlučne na tento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súlade s ustanovením § 22 ods. 4 zákona č. 523/2004 Z. z. o rozpočtových pravidlách verejnej správy a o zmene a doplnení niektorých zákonov v znení neskorších predpisov rozpočtová organizácia sústreďuje všetky príjmy svojho rozpočtu, s výnimkou príjmov podľa odseku 3, na príjmovom účte a realizuje všetky svoje výdavky z výdavkového účtu. Len v taxatívne vymedzených prípadoch, ak tak ustanovuje osobitný zákon, ak to vyplýva z právne záväzných aktov Európskej únie, z medzinárodnej zmluvy, pri prijatí prostriedkov na základe darovacej zmluvy, na základe zmluvy o združení, pri prijatí prostriedkov súvisiacich so stravovaním vrátane úhrad stravy alebo pri prijatí prostriedkov formou dotácie alebo grantu, môže rozpočtová organizácia sústreďovať príjmy aj na samostatných účtoch a realizovať výdavky zo samostatných účtov. </w:t>
              <w:br/>
            </w:r>
            <w:r>
              <w:rPr>
                <w:b w:val="off"/>
                <w:color w:val="000000"/>
                <w:rFonts w:ascii="Times New Roman" w:hAnsi="Times New Roman" w:cs="Times New Roman" w:eastAsia="Times New Roman"/>
                <w:sz w:val="24"/>
              </w:rPr>
              <w:t xml:space="preserve">V nadväznosti na uvedené je potrebné konštatovať, že právna úprava v platnom a účinnom znení explicitne neupravuje nakladanie s finančnými prostriedkami prijatými od zdravotných poisťovní a ich následné použitie na refundáciu výplaty stabilizačného príspevku pre zdravotné sestry. Z uvedeného dôvodu nie je možné tieto prostriedky jednoznačne subsumovať pod existujúce výnimky ustanovené zákonom. </w:t>
              <w:br/>
            </w:r>
            <w:r>
              <w:rPr>
                <w:b w:val="off"/>
                <w:color w:val="000000"/>
                <w:rFonts w:ascii="Times New Roman" w:hAnsi="Times New Roman" w:cs="Times New Roman" w:eastAsia="Times New Roman"/>
                <w:sz w:val="24"/>
              </w:rPr>
              <w:t xml:space="preserve">Navrhovaným doplnením príslušných ustanovení zákona sa vytvorí právny rámec, ktorý umožní rozpočtovým organizáciám sústreďovať tieto účelovo určené príjmy na samostatných účtoch a realizovať z nich výdavky výlučne na stanovený účel.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Z predkladacej správy odporúčame vypustiť časť obsahujúcu zhrnutie vybraných vplyvov v súlade s doložkou vybraných vplyvov a časť obsahujúcu informáciu, že návrh zákona nie je predmetom vnútrokomunitárneho pripomienkového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 čl. 20 ods. 2 Legislatívnych pravidiel vlády majú byť predmetné informácie obsiahnuté vo všeobecnej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Z dôvodu zabezpečenia konzistentnosti materiálu odporúčame v súlade s doložkou vybraných vplyvov v dôvodovej správe v časti obsahujúcej zhrnutie vplyvov doplniť, že návrh zákona nebude mať vplyv na limit verejných výdavkov. Zároveň v súlade s čl. 20 ods. 2 Legislatívnych pravidiel vlády Slovenskej republiky odporúčame doplniť informáciu, že návrh nie je predmetom vnútrokomunitárneho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slovo „uvedeného v“ nahradiť slovom „podľa“.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slovo „uvedeného v“ nahradiť slovom „podľa“ a za slovo „dotknuté“ odporúčame vložiť slovo „ustanovenia“.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slová „ako aj v čase a výške neisté výdavky“ nahradiť slovami „ako aj výdavky neisté v čase alebo výške“. Ide o legislatívno-technickú pripomienku (spresnenie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 xml:space="preserve">Požadujeme ponechať ustanovenie § 17 ods. 4 v aktuálnom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Aktuálne znenie § 17 ods. 4 zákona umožňuje rozpočtovej organizácii prekročiť limit výdavkov z dôvodu dosiahnutia vyšších ako rozpočtovaných príjmov. </w:t>
              <w:br/>
            </w:r>
            <w:r>
              <w:rPr>
                <w:b w:val="off"/>
                <w:color w:val="000000"/>
                <w:rFonts w:ascii="Times New Roman" w:hAnsi="Times New Roman" w:cs="Times New Roman" w:eastAsia="Times New Roman"/>
                <w:sz w:val="24"/>
              </w:rPr>
              <w:t>Školy a školské zariadenia získavajú finančné prostriedky podľa § 17 ods. 4 zákona najmä od fyzických a iných právnických osôb. Ide najmä o nasledovné príjmy: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 prenájmu priestorov a zariadenia  v čase, keď sa nevyužívajú na výchovno-vzdelávací proces,</w:t>
              <w:br/>
            </w:r>
            <w:r>
              <w:rPr>
                <w:b w:val="off"/>
                <w:color w:val="000000"/>
                <w:rFonts w:ascii="Times New Roman" w:hAnsi="Times New Roman" w:cs="Times New Roman" w:eastAsia="Times New Roman"/>
                <w:sz w:val="24"/>
              </w:rPr>
              <w:t xml:space="preserve">-	príspevok zákonného zástupcu na čiastočnú úhradu výdavkov na pobyt dieťaťa v materskej škole, </w:t>
              <w:br/>
            </w:r>
            <w:r>
              <w:rPr>
                <w:b w:val="off"/>
                <w:color w:val="000000"/>
                <w:rFonts w:ascii="Times New Roman" w:hAnsi="Times New Roman" w:cs="Times New Roman" w:eastAsia="Times New Roman"/>
                <w:sz w:val="24"/>
              </w:rPr>
              <w:t>-	príspevok na čiastočnú úhradu výdavkov na štúdium v základnej umeleckej škole,</w:t>
              <w:br/>
            </w:r>
            <w:r>
              <w:rPr>
                <w:b w:val="off"/>
                <w:color w:val="000000"/>
                <w:rFonts w:ascii="Times New Roman" w:hAnsi="Times New Roman" w:cs="Times New Roman" w:eastAsia="Times New Roman"/>
                <w:sz w:val="24"/>
              </w:rPr>
              <w:t xml:space="preserve">-	úhrada nákladov na štúdium v jazykovej škole, </w:t>
              <w:br/>
            </w:r>
            <w:r>
              <w:rPr>
                <w:b w:val="off"/>
                <w:color w:val="000000"/>
                <w:rFonts w:ascii="Times New Roman" w:hAnsi="Times New Roman" w:cs="Times New Roman" w:eastAsia="Times New Roman"/>
                <w:sz w:val="24"/>
              </w:rPr>
              <w:t>-	príspevok na čiastočnú úhradu nákladov spojených s činnosťou školského klubu detí,</w:t>
              <w:br/>
            </w:r>
            <w:r>
              <w:rPr>
                <w:b w:val="off"/>
                <w:color w:val="000000"/>
                <w:rFonts w:ascii="Times New Roman" w:hAnsi="Times New Roman" w:cs="Times New Roman" w:eastAsia="Times New Roman"/>
                <w:sz w:val="24"/>
              </w:rPr>
              <w:t xml:space="preserve">-	príspevok na čiastočnú úhradu nákladov na činnosti centra voľného času, </w:t>
              <w:br/>
            </w:r>
            <w:r>
              <w:rPr>
                <w:b w:val="off"/>
                <w:color w:val="000000"/>
                <w:rFonts w:ascii="Times New Roman" w:hAnsi="Times New Roman" w:cs="Times New Roman" w:eastAsia="Times New Roman"/>
                <w:sz w:val="24"/>
              </w:rPr>
              <w:t xml:space="preserve">-	príspevok na čiastočnú úhradu nákladov spojených s ubytovaním v školskom internáte, </w:t>
              <w:br/>
            </w:r>
            <w:r>
              <w:rPr>
                <w:b w:val="off"/>
                <w:color w:val="000000"/>
                <w:rFonts w:ascii="Times New Roman" w:hAnsi="Times New Roman" w:cs="Times New Roman" w:eastAsia="Times New Roman"/>
                <w:sz w:val="24"/>
              </w:rPr>
              <w:t xml:space="preserve">-	úhrada nákladov za pobyt dieťaťa v špeciálnom výchovnom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finančné prostriedky umožňujú školám a školským zariadeniam použiť vlastné príjmy na financovanie prevádzky a pomáhajú tým znížiť vplyv na štátny rozpočet. Uvedené je prejavom hospodárneho nakladania s finančnými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sú získavané finančné prostriedky od ÚPSVaR SR ako príspevok v rámci aktívnej politiky trhu práce a tiež z poistného plnenia zo zmluvného poistenia alebo zo zákonného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zrušenie oprávnenia rozpočtovej organizácie prekročiť limit výdavkov z dôvodu dosiahnutia vyšších ako rozpočtovaných príjmov spôsobí v aplikačnej praxi komplikácie - až neriešiteľné situácie, ktoré budú mať negatívny vplyv na zabezpečenie štandardnej prevádzky škôl a školských zariadení, ale aj na štátny rozpočet vzhľadom na nemožnosť využitia viaczdrojového financovania, ako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škola alebo školské zariadenie nebude môcť príjem z prenájmu priestorov napr. telocvične použiť na úhradu energií, údržbu, prípadne na refundáciu prevádzkových nákladov, </w:t>
              <w:br/>
            </w:r>
            <w:r>
              <w:rPr>
                <w:b w:val="off"/>
                <w:color w:val="000000"/>
                <w:rFonts w:ascii="Times New Roman" w:hAnsi="Times New Roman" w:cs="Times New Roman" w:eastAsia="Times New Roman"/>
                <w:sz w:val="24"/>
              </w:rPr>
              <w:t xml:space="preserve">-	ak škola alebo školské zariadenie nebude môcť príspevky od zákonných zástupcov použiť napr. na nákup materiálu a pomôcok pre žiakov v školskom klube detí, nebude dodržaný účel, na ktorý zákonný zástupca poskytol finančné prostriedky a zároveň ich nebude možné použiť na skvalitnenie výchovno-vzdelávacieho procesu, </w:t>
              <w:br/>
            </w:r>
            <w:r>
              <w:rPr>
                <w:b w:val="off"/>
                <w:color w:val="000000"/>
                <w:rFonts w:ascii="Times New Roman" w:hAnsi="Times New Roman" w:cs="Times New Roman" w:eastAsia="Times New Roman"/>
                <w:sz w:val="24"/>
              </w:rPr>
              <w:t xml:space="preserve">-	reedukačné centrá prijímajú výživné od zákonných zástupcov, ktoré sa používajú na zabezpečenie potrieb detí umiestnených v týchto zariadeniach. Nie je možné dopredu objektívne rozpočtovať tieto finančné prostriedky z dôvodu výraznej fluktuácie týchto detí, </w:t>
              <w:br/>
            </w:r>
            <w:r>
              <w:rPr>
                <w:b w:val="off"/>
                <w:color w:val="000000"/>
                <w:rFonts w:ascii="Times New Roman" w:hAnsi="Times New Roman" w:cs="Times New Roman" w:eastAsia="Times New Roman"/>
                <w:sz w:val="24"/>
              </w:rPr>
              <w:t xml:space="preserve">-	pri riešení nepredvídaných udalostí, ktoré majú charakter škody, poisťovňa vyplatí poistné plnenie. Ak by škola alebo školské zariadenie nemalo „voľný“ limit, nebude môcť tieto zdroje použiť na okamžitú opravu resp. sa predĺži proces odstraňovania škôd, čo ohrozuje bezpečnosť detí, žiakov a zamestnancov a znemožňuje výchovno-vzdelávací proces.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uvedené nie je možné zrealizovať bez schválenia zvýšenia limitu príjmov a výdavkov podľa § 17 ods. 4 na roky 2027 až 2029 zo strany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 3</w:t>
              <w:br/>
            </w:r>
            <w:r>
              <w:rPr>
                <w:b w:val="off"/>
                <w:color w:val="000000"/>
                <w:rFonts w:ascii="Times New Roman" w:hAnsi="Times New Roman" w:cs="Times New Roman" w:eastAsia="Times New Roman"/>
                <w:sz w:val="24"/>
              </w:rPr>
              <w:t>Navrhujeme do návrhu zákona doplniť ustanovenie o povinnom zverejňovaní úprav limitov verejných výdavkov vykonávaných prostredníctvom informačného systému Ministerstva financií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umožňuje vykonávať presuny limitov verejných výdavkov bez schvaľovania vládou SR alebo ministrom financií SR. Napriek tomu, že ide o rozpočtovo neutrálne operácie, dochádza k zmene alokácie výdavkov medzi kapitolami a k čerpaniu rezerv. Nezverejnenie takýchto úprav môže mať negatívny vplyv na transparentnosť rozpočtového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Navrhujeme doplniť kvantitatívny prah (napr. max. percento z ročného limitu subjektu za mesiac/štvrťrok), ďalej zákaz reťazenia úprav s rovnakým účelom a povinné mesačné zverejňovanie súhrnu týchto úprav na portáli verejných financií (Rozpočet.sk).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Rozširuje sa priestor na presuny bez schválenia vládou/ministrom. Aj pri neutrálnej sume môžu presuny meniť alokácie a priority. Kvantitatívne limity a zverejňovanie zachovajú prevádzkovú flexibilitu a zároveň posilnia transparentnosť a kontrolu dodržiavania limitu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8</w:t>
              <w:br/>
            </w:r>
            <w:r>
              <w:rPr>
                <w:b w:val="off"/>
                <w:color w:val="000000"/>
                <w:rFonts w:ascii="Times New Roman" w:hAnsi="Times New Roman" w:cs="Times New Roman" w:eastAsia="Times New Roman"/>
                <w:sz w:val="24"/>
              </w:rPr>
              <w:t>Navrhujeme precizovať definíciu "neutrálneho vplyvu" voči limitu verejných výdavkov štátneho rozpočtu aj agregovanému limitu VS. Ďalej navrhujeme zaviesť ročný a kapitálový strop týchto presunov (napr. 0,5 % / 1 %) a štvrťročne informovať vládu a RRZ a zverejňovať súhrn úprav (kapitola – suma – dátum – účel).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Presuny medzi kapitolami majú politicko‑rozpočtový charakter. Stropy, pravidelné informovanie a zverejňovanie bránia obchádzaniu štandardných schvaľovacích mechanizmov a podporujú integritu limitu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Navrhujeme doplniť demonštratívny výpočet kategórií (napr. výdavky z rozsudkov ESĽP a iných právoplatných rozhodnutí, vplyvy legislatívnych zmien s neurčitým termínom účinnosti, mimoriadne udalosti), určiť metodiku odhadu a ročný objemový strop pre túto položku VPS, ako aj zaviesť ex post reporting čerpania.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bližšieho vymedzenia môže táto položka fungovať ako neadresná rezerva. Vymedzenie spolu s metodikou a reportingom zachová flexibilitu a zníži riziko netransparentného čerpania.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Navrhujeme upraviť, že rozsah, štruktúru, lehoty a náhradné postupy ustanoví osobitný predpis MF SR a zároveň navrhujeme doplniť výnimku pre objektívne technické prekážky a lehotu na nápravu, ako aj výslovne odkázať na primeranú aplikáciu § 32, t.j. pri § 14 ods. 2 výslovne uviesť odkaz na § 32 a doplniť zásadu primeranosti pri ukladaní pokút.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vysokú potenciálnu sankciu musí byť povinnosť ustanovená normatívne a s náhradným postupom pre prípad výpadkov IS, inak hrozí právna neistota a neprimerané postihy. Zamedzí sa neprimeraným sankciám pri marginálnych alebo neúmyselných porušeniach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Navrhujeme zachovať limitovanú možnosť prekročenia výdavkov len do výšky prijatého poistného plnenia či iných taxatívne vymedzených príjmov, po súhlase správcu kapitoly a s oznámením MF v IS a aby sa výdavky plne započítavali do limitu na agregovanej úrovni kapitoly. Ak sa prijme kompromisné znenie § 17 navrhujeme upraviť § 22 ods. 1 len v nevyhnutnom rozsahu. Ak sa § 17 odsek 4 vypustí, navrhujeme skontrolovať, aby nevznikli medzery v úprave presunov a krytia záväzkov, aby sa predišlo neúmyselným legislatívnym a aplikačným sporom.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Úplné zrušenie prekročenia výdavkov odstráni stabilizačný prvok pre RO pri mimoriadnych udalostiach a môže zvýšiť prevádzkový tlak a obchádzanie cez ad hoc presuny. Navrhovaný kompromis zachová disciplínu na úrovni kapitoly a riešiteľnosť ad hoc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ods. 12</w:t>
              <w:br/>
            </w:r>
            <w:r>
              <w:rPr>
                <w:b w:val="off"/>
                <w:color w:val="000000"/>
                <w:rFonts w:ascii="Times New Roman" w:hAnsi="Times New Roman" w:cs="Times New Roman" w:eastAsia="Times New Roman"/>
                <w:sz w:val="24"/>
              </w:rPr>
              <w:t>Navrhujeme namiesto predchádzajúceho súhlasu MF SR zaviesť povinné oznámenie, záväzný metodický rámec (ukazovatele zadlženosti a test konsolidovaného vplyvu na dlh VS a limit výdavkov) a možnosť MF SR vyžiadať stanovisko RRZ pri väčších transakciách.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Úplná liberalizácia môže zvýšiť podmienené záväzky a fiškálne riziká, najmä ak sú subjekty klasifikované vo verejnej správe. Oznámenie a metodika ponecháva autonómiu, no posilňuje dohľad nad rizikom.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Navrhujeme precizovať, že úpravy v IS sa vykonávajú pri zachovaní pravidiel pre EÚ zdroje/Plán obnovy a platobné agentúry, ako aj aby MF SR zverejnil štandardný postup vrátane lehôt a kontrolných bodov.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Administratívne zjednodušenie je žiaduce, no musí zostať kompatibilné s osobitnými pravidlami čerpania a transparentnosti EÚ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4 a 5</w:t>
              <w:br/>
            </w:r>
            <w:r>
              <w:rPr>
                <w:b w:val="off"/>
                <w:color w:val="000000"/>
                <w:rFonts w:ascii="Times New Roman" w:hAnsi="Times New Roman" w:cs="Times New Roman" w:eastAsia="Times New Roman"/>
                <w:sz w:val="24"/>
              </w:rPr>
              <w:t>Navrhujeme upraviť lehoty na rozhodnutie (napr. 10 pracovných dní), umožniť predbežné viazanie v odôvodnených prípadoch a zabezpečiť automatické evidovanie dôvodov/dátumov v IS pre auditnú stopu.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Zlepší sa operatívnosť riadenia rizík kapitoly a hotovostného riadenia a zároveň sa zvýši vysledovateľnosť rozhodnutí.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bod 3.</w:t>
              <w:br/>
            </w:r>
            <w:r>
              <w:rPr>
                <w:b w:val="off"/>
                <w:color w:val="000000"/>
                <w:rFonts w:ascii="Times New Roman" w:hAnsi="Times New Roman" w:cs="Times New Roman" w:eastAsia="Times New Roman"/>
                <w:sz w:val="24"/>
              </w:rPr>
              <w:t>K prílohe:</w:t>
              <w:br/>
            </w:r>
            <w:r>
              <w:rPr>
                <w:b w:val="off"/>
                <w:color w:val="000000"/>
                <w:rFonts w:ascii="Times New Roman" w:hAnsi="Times New Roman" w:cs="Times New Roman" w:eastAsia="Times New Roman"/>
                <w:sz w:val="24"/>
              </w:rPr>
              <w:t>Navrhujeme v prechodných ustanoveniach uložiť MF SR do 6 mesiacov od vyhlásenia povinnosť vydať/aktualizovať vykonávacie a metodické akty k strednodobému rámcu, reportingu a spolupráci s RRZ v súlade so smernicou Rady (EÚ) 2024/1265.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Formálne doplnenie smernice Rady (EÚ) 2024/1265 do prílohy podľa nášho názoru nestačí, preto odporúčame jej následnú implementáciu do vykonávacích a metodických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NKÚSR</w:t>
              <w:br/>
            </w:r>
            <w:r>
              <w:rPr>
                <w:b w:val="off"/>
                <w:color w:val="000000"/>
                <w:rFonts w:ascii="Times New Roman" w:hAnsi="Times New Roman" w:cs="Times New Roman" w:eastAsia="Times New Roman"/>
                <w:sz w:val="24"/>
              </w:rPr>
              <w:t>Najvyšší kontrolný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účinnosťou navrhovaného zákona odporúčame, aby MF SR vydal/aktualizoval vykonávacie predpisy k IS a metodiku, ďalej aby MF SR a RRZ aktualizovali metodiku limitu verejných výdavkov, ako aj aby MF SR zverejnil technickú špecifikáciu IS pre neutrálne presuny a reporting, a to napríklad do 30. 6. 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Zabezpečí sa implementačná pripravenosť a zníži sa riziko porušení ihneď po nadobudnutí účinnosti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obsahu predloženého materiálu</w:t>
              <w:br/>
            </w:r>
            <w:r>
              <w:rPr>
                <w:b w:val="off"/>
                <w:color w:val="000000"/>
                <w:rFonts w:ascii="Times New Roman" w:hAnsi="Times New Roman" w:cs="Times New Roman" w:eastAsia="Times New Roman"/>
                <w:sz w:val="24"/>
              </w:rPr>
              <w:t>Za účelom posúdenia zachovania úplnej transpozície so smernicou (EÚ) 2024/1265 žiadame predložiť čiastkovú tabuľku zhody, nakoľko transpozičné opatrenia, ktorými sú § 4, 15 a 18 sú predmetom novelizácie v čl. I bodoch 1, 6, 7 a 10 až 11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zmysle čl. 19 ods. 1 písm. b) Legislatívnych pravidiel vlády Slovenskej republiky žiadame do predkladacej správy doplniť odôvodnenie predloženia návrhu zákona do skráteného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zmysle čl. 20 ods. 2 Legislatívnych pravidiel vlády Slovenskej republiky žiadame vyjadrenie k vnútrokomunitárnemu pripomienkovému konaniu presunúť do všeobecnej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 (§ 4 ods. 3)</w:t>
              <w:br/>
            </w:r>
            <w:r>
              <w:rPr>
                <w:b w:val="off"/>
                <w:color w:val="000000"/>
                <w:rFonts w:ascii="Times New Roman" w:hAnsi="Times New Roman" w:cs="Times New Roman" w:eastAsia="Times New Roman"/>
                <w:sz w:val="24"/>
              </w:rPr>
              <w:t>V prípade, že by sa citovaná zmena týkala limitu verejných výdavkov určeného pre vyššie územné celky, vyššie územné celky požadujú zapracovať do navrhovanej úpravy zákona  povinnosť pre MFSR informovať ich o tejto zmene.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 (§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upravené v § 32 zákona, nakoľko z neho vyplývajúca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Zavedenie vysokých peňažných sankcií by mohlo byť vnímané ako neúmerné voči samotnému porušeniu, ktoré má prevažne technický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9 (§ 17 ods. 4)</w:t>
              <w:br/>
            </w:r>
            <w:r>
              <w:rPr>
                <w:b w:val="off"/>
                <w:color w:val="000000"/>
                <w:rFonts w:ascii="Times New Roman" w:hAnsi="Times New Roman" w:cs="Times New Roman" w:eastAsia="Times New Roman"/>
                <w:sz w:val="24"/>
              </w:rPr>
              <w:t>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 Doplnenie nového novelizačného bodu– Rozšírenie právneho základu pre poskytovanie preddavkov § 19</w:t>
              <w:br/>
            </w:r>
            <w:r>
              <w:rPr>
                <w:b w:val="off"/>
                <w:color w:val="000000"/>
                <w:rFonts w:ascii="Times New Roman" w:hAnsi="Times New Roman" w:cs="Times New Roman" w:eastAsia="Times New Roman"/>
                <w:sz w:val="24"/>
              </w:rPr>
              <w:t>Navrhujeme upraviť pôvodný text</w:t>
              <w:br/>
            </w:r>
            <w:r>
              <w:rPr>
                <w:b w:val="off"/>
                <w:color w:val="000000"/>
                <w:rFonts w:ascii="Times New Roman" w:hAnsi="Times New Roman" w:cs="Times New Roman" w:eastAsia="Times New Roman"/>
                <w:sz w:val="24"/>
              </w:rPr>
              <w:t>Pôvodná textácia: (8) Subjekt verejnej správy môže poskytovať preddavky, ak boli vopred v zmluve o dodávke výkonov a tovarov písomne dohodnuté, a to najviac na obdobie troch mesiacov v závislosti od vecného plnenia dodávok výkonov a tovarov; poskytovanie preddavkov subjektmi verejnej správy podľa osobitných predpisov 22a) týmto nie je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textácia: (8) Subjekt verejnej správy môže poskytovať preddavky, ak boli vopred písomne dohodnuté.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je preddavok poskytnutý na obdobie dlhšie ako tri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 Doplnenie nového novelizačného bodu– Rozšírenie výnimiek vysporiadania preddavkov</w:t>
              <w:br/>
            </w:r>
            <w:r>
              <w:rPr>
                <w:b w:val="off"/>
                <w:color w:val="000000"/>
                <w:rFonts w:ascii="Times New Roman" w:hAnsi="Times New Roman" w:cs="Times New Roman" w:eastAsia="Times New Roman"/>
                <w:sz w:val="24"/>
              </w:rPr>
              <w:t>Navrhujeme upraviť pôvodný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Pôvodná textácia: (10) Preddavky poskytnuté podľa odseku 8 musia byť finančne vysporiadané najneskôr do konca rozpočtového roka, v ktorom sa poskytli, s výnimkou preddavkov za dodávku tepla, vody, elektrickej energie, plynu, periodickej a neperiodickej tlače, na úhradu nájomného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textácia: (10) Preddavky poskytnuté podľa odseku 8 musia byť finančne vysporiadané najneskôr do konca rozpočtového roka, v ktorom sa poskytli, s výnimkou preddavkov za dodávku tepla, vody, elektrickej energie, plynu, periodickej a neperiodickej tlače, na úhradu nájomného, školenia, správnych poplatkov, leteniek, ubytovania, aktivity realizované v rámci výchovno-vzdelávacích procesov,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výnimiek aj preddavky poskytované na školenia, správne poplatky, ubytovanie, letenky a aktivity realizované v rámci výchovno-vzdelávacieho procesu. Dôvodom je aplikačná prax, podľa ktorej sú preddavky bežne súčasťou vyzadovane ešte pred poskytnutím plnenia. Správne poplatky sa musia často uhradiť ešte pred začatím konania alebo vybavením povolenia. Pri služobných cestách je nevyhnutné hradiť výdavky na ubytovanie a dopravu (letenky) vopred, často ešte pred začiatkom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ods. ods.3</w:t>
              <w:br/>
            </w:r>
            <w:r>
              <w:rPr>
                <w:b w:val="off"/>
                <w:color w:val="000000"/>
                <w:rFonts w:ascii="Times New Roman" w:hAnsi="Times New Roman" w:cs="Times New Roman" w:eastAsia="Times New Roman"/>
                <w:sz w:val="24"/>
              </w:rPr>
              <w:t>V prípade, že by sa citovaná zmena týkala limitu verejných výdavkov určeného pre vyššie územné celky, TSK požaduje zapracovať do navrhovanej úpravy zákona  povinnosť pre MFSR informovať vyššie územné celky o tejto úprave limitu.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upravená v § 32 zákona. Odôvodnenei: Navrhovaná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SR. Zavedenie vysokých peňažných sankcií by mohlo byť vnímané ako neúmerné voči samotnému porušeniu, ktoré má prevažne technický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Navrhujeme ods. 4 v §17 ponechať. Odôvodnenie: 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w:t>
              <w:br/>
            </w:r>
            <w:r>
              <w:rPr>
                <w:b w:val="off"/>
                <w:color w:val="000000"/>
                <w:rFonts w:ascii="Times New Roman" w:hAnsi="Times New Roman" w:cs="Times New Roman" w:eastAsia="Times New Roman"/>
                <w:sz w:val="24"/>
              </w:rPr>
              <w:t xml:space="preserve">Doplnenie nového novelizačného bodu: Navrhujeme úpravu ods. 8 v § 19 nasledovne:  (8)Subjekt verejnej správy môže poskytovať preddavky, ak boli vopred písomne dohodnuté.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je preddavok poskytnutý na obdobie dlhšie ako tri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w:t>
              <w:br/>
            </w:r>
            <w:r>
              <w:rPr>
                <w:b w:val="off"/>
                <w:color w:val="000000"/>
                <w:rFonts w:ascii="Times New Roman" w:hAnsi="Times New Roman" w:cs="Times New Roman" w:eastAsia="Times New Roman"/>
                <w:sz w:val="24"/>
              </w:rPr>
              <w:t>Doplnenie nového novelizačného bodu: Navrhujeme upraviť v §19 ods. 10 nasledovne: (10) Preddavky poskytnuté podľa odseku 8 musia byť finančne vysporiadané najneskôr do konca rozpočtového roka, v ktorom sa poskytli, s výnimkou preddavkov za dodávku tepla, vody, elektrickej energie, plynu, periodickej a neperiodickej tlače, na úhradu nájomného, školenia, správnych poplatkov, leteniek, ubytovania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okruh výnimiek aj o preddavky určené na školenia, správne poplatky, ubytovanie a letenky. Vychádzame pritom z aplikačnej praxe, v ktorej tieto preddavky predstavujú bežnú súčasť financovania činností subjektov verejnej správy a spravidla sa poskytujú ešte pred samotným plnením. Správne poplatky je navyše často potrebné uhradiť ešte pred začatím konania alebo pred vydaním príslušného povolenia. Rovnako pri služobných cestách je nevyhnutné zabezpečiť úhradu nákladov na ubytovanie a dopravu (letenky) vopred, teda ešte pred začiatkom realizácie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TSK</w:t>
              <w:br/>
            </w:r>
            <w:r>
              <w:rPr>
                <w:b w:val="off"/>
                <w:color w:val="000000"/>
                <w:rFonts w:ascii="Times New Roman" w:hAnsi="Times New Roman" w:cs="Times New Roman" w:eastAsia="Times New Roman"/>
                <w:sz w:val="24"/>
              </w:rPr>
              <w:t>Trenčiansky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§32 zákona</w:t>
              <w:br/>
            </w:r>
            <w:r>
              <w:rPr>
                <w:b w:val="off"/>
                <w:color w:val="000000"/>
                <w:rFonts w:ascii="Times New Roman" w:hAnsi="Times New Roman" w:cs="Times New Roman" w:eastAsia="Times New Roman"/>
                <w:sz w:val="24"/>
              </w:rPr>
              <w:t>Upraviť znenie § 32 zákona 523/2004 Z.z. v druhej vete. Odôvodnenie: Úrad vládneho auditu bol novelou zákona 357/2015 Z.z. o finančnej kontrole a audite a o zmene a doplnení niektorých zákonov s účinnosťou od 1.1.2026 zrušený.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 ods. 3</w:t>
              <w:br/>
            </w:r>
            <w:r>
              <w:rPr>
                <w:b w:val="off"/>
                <w:color w:val="000000"/>
                <w:rFonts w:ascii="Times New Roman" w:hAnsi="Times New Roman" w:cs="Times New Roman" w:eastAsia="Times New Roman"/>
                <w:sz w:val="24"/>
              </w:rPr>
              <w:t>V prípade, že by sa citovaná zmena týkala limitu verejných výdavkov určeného pre vyššie územné celky, vyššie územné celky požadujú zapracovať do navrhovanej úpravy zákona  povinnosť pre MFSR informovať ich o tejto zmene.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Navrhujeme vypustiť navrhované doplnenie textu alebo pre prípad takéhoto porušenia povinnosti nastaviť inú sankciu  ako je upravené v § 32 zákona, nakoľko z neho vyplývajúca  pokuta vo výške až 500 000 eur je neprimeraná a mohla  by spôsobiť neúmernú finančnú záťaž pre menšie subjekty verejnej správy, ktoré často čelia obmedzeným kapacitám pri spracovaní údajov. Tento krok by bol kontraproduktívny vzhľadom na cieľ zákona zabezpečiť jednotnú štruktúru rozpočtových údajov. Hlavným cieľom § 14 ods. 2 je zabezpečiť jednotné a správne vedenie rozpočtových údajov v informačnom systéme ministerstva financií. Zavedenie vysokých peňažných sankcií by mohlo byť vnímané ako neúmerné voči samotnému porušeniu, ktoré má prevažne technický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4</w:t>
              <w:br/>
            </w:r>
            <w:r>
              <w:rPr>
                <w:b w:val="off"/>
                <w:color w:val="000000"/>
                <w:rFonts w:ascii="Times New Roman" w:hAnsi="Times New Roman" w:cs="Times New Roman" w:eastAsia="Times New Roman"/>
                <w:sz w:val="24"/>
              </w:rPr>
              <w:t>Zrušenie možnosti prekročiť výdavky pri vyšších príjmoch skomplikuje bežný chod rozpočtových organizácií a znemožní im efektívne využívať viaczdrojové financovanie. Odstránenie tohto stabilizačného prvku navyše zvýši tlak na rozpočet pri mimoriadnych udalostiach. Navrhujeme uvedené ustanovenia ponechať pre rozpočtové organizácie zriadené vyšším územným celkom.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8</w:t>
              <w:br/>
            </w:r>
            <w:r>
              <w:rPr>
                <w:b w:val="off"/>
                <w:color w:val="000000"/>
                <w:rFonts w:ascii="Times New Roman" w:hAnsi="Times New Roman" w:cs="Times New Roman" w:eastAsia="Times New Roman"/>
                <w:sz w:val="24"/>
              </w:rPr>
              <w:t>Navrhujeme nasledovné znenie § 19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Subjekt verejnej správy môže poskytovať preddavky, ak boli vopred písomne dohodnuté.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právny základ pre poskytovanie preddavkov podľa § 19 ods. 8 aj o iný preukázateľný právny titul. V aplikačnej praxi existujú prípady, pri ktorých poskytovanie preddavkov nie je realizované na základe písomnej zmluvy, ale na základe iných právnych nástrojov (napr. objednávky). Súčasná právna úprava tak v niektorých prípadoch neprimerane obmedzuje flexibilitu subjektov verejnej správy. Navrhovaná úprava zachováva požiadavku právneho základu pre poskytnutie preddavku, pričom rozširuje jeho formy tak, aby zodpovedali reálnym potrebám aplikačnej praxe. Taktiež navrhujeme vypustiť obdobie vysporiadania poskytnutých preddavkov, nakoľko z aplikačnej praxe vyplývajú situácie, kedy by bolo potrebné preddavok poskytnúť na obdobie dlhšie ako tri mesiace.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w:t>
              <w:br/>
            </w:r>
            <w:r>
              <w:rPr>
                <w:b w:val="off"/>
                <w:color w:val="000000"/>
                <w:rFonts w:ascii="Times New Roman" w:hAnsi="Times New Roman" w:cs="Times New Roman" w:eastAsia="Times New Roman"/>
                <w:sz w:val="24"/>
              </w:rPr>
              <w:t>Navrhujeme rozšírenie výnimiek vysporiadania preddavkov doplnením ods.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Preddavky poskytnuté podľa odseku 8 musia byť finančne vysporiadané najneskôr do konca rozpočtového roka, v ktorom sa poskytli, s výnimkou preddavkov za dodávku tepla, vody, elektrickej energie, plynu, periodickej a neperiodickej tlače, na úhradu nájomného, školení, správnych poplatkov, leteniek, ubytovania, úhrady za aktivity v rámci výchovno-vzdelávacieho procesu a preddavkov na pohonné hmoty poskytované prostredníctvom platobných kariet, pri ktorých sa nevyžaduje ani splnenie podmienok podľa odseku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výnimiek aj preddavky poskytované na školenia, správne poplatky, ubytovanie, aktivity  v rámci výchovno-vzdelávacieho procesu (t.j. lyžiarske výcviky, školské výlety, školy v prírode a pod.)  a letenky. Dôvodom je aplikačná prax, podľa ktorej sú preddavky na takéto plnenia často požadované  ešte pred poskytnutím samotného plnenia. Rovnako  pri služobných cestách je nevyhnutné hradiť výdavky na ubytovanie a dopravu (letenky) vopred, často ešte pred začiatkom 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odst. 3</w:t>
              <w:br/>
            </w:r>
            <w:r>
              <w:rPr>
                <w:b w:val="off"/>
                <w:color w:val="000000"/>
                <w:rFonts w:ascii="Times New Roman" w:hAnsi="Times New Roman" w:cs="Times New Roman" w:eastAsia="Times New Roman"/>
                <w:sz w:val="24"/>
              </w:rPr>
              <w:t>Neisté výdavky vo Všeobecnej pokladničnej správe. Je tu vnímané určité riziko zneužitia, pretože podľa rozsahu formulácie by bolo možné rozpočtovať čokoľvek, čo je „neisté“. Odporúčame v tejto časti doplniť vetu: „Neisté výdavky je možné rozpočtovať len na základe rozhodnutia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 odst. 2</w:t>
              <w:br/>
            </w:r>
            <w:r>
              <w:rPr>
                <w:b w:val="off"/>
                <w:color w:val="000000"/>
                <w:rFonts w:ascii="Times New Roman" w:hAnsi="Times New Roman" w:cs="Times New Roman" w:eastAsia="Times New Roman"/>
                <w:sz w:val="24"/>
              </w:rPr>
              <w:t>Analytická evidencia nemá zďaleka takú silu ako samostatný účet, aj keď je flexibilnejšia. Ak je samostatný účet vnímaný ako príliš administratívne náročný, tak pre účely kontroly odporúčame aspoň raz ročne predložiť samostatný výkaz. Odporúčame doplniť vetu: „Príspevková organizácia je povinná raz ročne predložiť zriaďovateľovi a ministerstvu financií samostatný výkaz o príjmoch a výdavkoch spojených s podnikateľskou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odst.2</w:t>
              <w:br/>
            </w:r>
            <w:r>
              <w:rPr>
                <w:b w:val="off"/>
                <w:color w:val="000000"/>
                <w:rFonts w:ascii="Times New Roman" w:hAnsi="Times New Roman" w:cs="Times New Roman" w:eastAsia="Times New Roman"/>
                <w:sz w:val="24"/>
              </w:rPr>
              <w:t>Môže byť interpretované tak, že aj malé nedodržanie postupu by mohlo byť nedodržaním zákona. Odporúčame pridať formuláciu: „v prípade závažného porušenia“.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odst. 4</w:t>
              <w:br/>
            </w:r>
            <w:r>
              <w:rPr>
                <w:b w:val="off"/>
                <w:color w:val="000000"/>
                <w:rFonts w:ascii="Times New Roman" w:hAnsi="Times New Roman" w:cs="Times New Roman" w:eastAsia="Times New Roman"/>
                <w:sz w:val="24"/>
              </w:rPr>
              <w:t>Zrušenie výnimiek pre rozpočtové organizácie môže viesť k demotivácii pre získavanie vlastných príjmov – ktoré by nemohli využiť. Odporúčame zvážiť aspoň obmedzenú možnosť (uvedené v %). V tejto časti uplatniť formuláciu: „Rozpočtová organizácia môže prekročiť limit výdavkov maximálne o 20% z vlastných príjmov uvedených v §17, odst. 4, pokiaľ skutočne dosiahne tieto príjmy v danom roku.“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odst. 12</w:t>
              <w:br/>
            </w:r>
            <w:r>
              <w:rPr>
                <w:b w:val="off"/>
                <w:color w:val="000000"/>
                <w:rFonts w:ascii="Times New Roman" w:hAnsi="Times New Roman" w:cs="Times New Roman" w:eastAsia="Times New Roman"/>
                <w:sz w:val="24"/>
              </w:rPr>
              <w:t>Nemal by umožňovať zadlžovanie obcí a VÚC cez zakladanie obchodných spoločností – odporúčame ohlasovaciu povinnosť voči Ministerstvu financií. K tejto časti odporúčame formuláciu: „Obchodná spoločnosť je povinná do 30 dní od prijatia úveru oznámiť túto skutočnosť ministerstvu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