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39/2015 Z. z. o poisťovníctve a o zmene a doplnení niektorých zákonov v znení neskorších predpisov a ktorým sa mení a dopĺňa zákon č. 566/2001 Z. z. o cenných papieroch a investičných službách a o zmene a doplnení niektorých zákonov (zákon o cenných papieroch)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LP/2026/362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180/15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180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98</w:t>
      </w:r>
      <w:r w:rsidR="00754CB0">
        <w:rPr>
          <w:rFonts w:ascii="Times New Roman" w:eastAsia="Times New Roman" w:hAnsi="Times New Roman" w:cs="Times New Roman"/>
          <w:sz w:val="24"/>
          <w:szCs w:val="24"/>
        </w:rPr>
        <w:t>/9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15/</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67</w:t>
      </w:r>
      <w:r w:rsidR="004A48F0">
        <w:rPr>
          <w:rFonts w:ascii="Times New Roman" w:eastAsia="Times New Roman" w:hAnsi="Times New Roman" w:cs="Times New Roman"/>
          <w:sz w:val="24"/>
          <w:szCs w:val="24"/>
        </w:rPr>
        <w:t>/6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157 ods. 1</w:t>
              <w:br/>
            </w:r>
            <w:r>
              <w:rPr>
                <w:b w:val="off"/>
                <w:color w:val="000000"/>
                <w:rFonts w:ascii="Times New Roman" w:hAnsi="Times New Roman" w:cs="Times New Roman" w:eastAsia="Times New Roman"/>
                <w:sz w:val="24"/>
              </w:rPr>
              <w:t>Navrhujeme doplniť § 157 ods. 1 tak, aby po odobratí povolenia bolo možné vykonávať okrem činností nevyhnutných na splatenie pohľadávok a vyrovnanie záväzkov aj činnosti nevyhnutné na riadne vysporiadanie klientskych aktív a výkon práv s nimi súvisiacich.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obmedzuje činnosť obchodníka s cennými papiermi po odobratí povolenia len na činnosti smerujúce k splateniu pohľadávok a vyrovnaniu záväzkov. Takéto vymedzenie však nepokrýva všetky úkony, ktoré je potrebné vykonať vo vzťahu ku klientskym aktívam evidovaným v súvislosti s činnosťou účastníka/člena centrálneho depozitára.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158 ods. 2</w:t>
              <w:br/>
            </w:r>
            <w:r>
              <w:rPr>
                <w:b w:val="off"/>
                <w:color w:val="000000"/>
                <w:rFonts w:ascii="Times New Roman" w:hAnsi="Times New Roman" w:cs="Times New Roman" w:eastAsia="Times New Roman"/>
                <w:sz w:val="24"/>
              </w:rPr>
              <w:t xml:space="preserve">Navrhujeme slová „vrátenia klientskeho majetku klientom“ nahradiť slovami „riadneho vysporiadania aktív klientov, najmä ich vrátenia, prevodu alebo zabezpečenia ich ďalšej evidencie v súlade s týmto zákonom a osobitnými predpismi." </w:t>
              <w:br/>
            </w:r>
            <w:r>
              <w:rPr>
                <w:b w:val="off"/>
                <w:color w:val="000000"/>
                <w:rFonts w:ascii="Times New Roman" w:hAnsi="Times New Roman" w:cs="Times New Roman" w:eastAsia="Times New Roman"/>
                <w:sz w:val="24"/>
              </w:rPr>
              <w:t xml:space="preserve">Primerane je potrebné tento pojem upraviť aj v ďalších ustanoveniach, v ktorých je použitý, napr. § 158 ods. 9, kedy sa úprava formulácie primerane zohľadní aj pri rozsahu činnosti, ktorý je likvidátor oprávnený vykonávať.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Formulácia navrhovaná formulácia nepokrýva všetky spôsoby vysporiadania klientskych aktív. V prípade zaknihovaných cenných papierov nejde o fyzické odovzdanie majetku, ale o zabezpečenie riadneho výkonu práv prostredníctvom evidencie vedenej centrálnym depozitárom alebo jeho účastníkmi. Ochranu klienta preto nemožno zabezpečiť výlučne „vrátením“ majetku, ale aj vykonaním ďalších úkonov v evidencii, najmä presunom evidencie účastníka, prevodom klientskych aktív na iného poskytovateľa investičných služieb alebo vykonaním ďalších zápisov potrebných na zachovanie a výkon práv klienta (napr. registrácia, zmena alebo výmaz záložného práva či iných práv a obmedzení viažucich sa k cenným papierom). Z uvedeného dôvodu navrhujeme použiť širšiu formuláciu.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158 ods. 6</w:t>
              <w:br/>
            </w:r>
            <w:r>
              <w:rPr>
                <w:b w:val="off"/>
                <w:color w:val="000000"/>
                <w:rFonts w:ascii="Times New Roman" w:hAnsi="Times New Roman" w:cs="Times New Roman" w:eastAsia="Times New Roman"/>
                <w:sz w:val="24"/>
              </w:rPr>
              <w:t>Navrhujeme spresniť oprávnenia likvidátora tak, aby sa vzťahovali aj na zisťovanie klientskych aktív a práv s nimi súvisiacich potrebných na ich riadne vysporiadanie.</w:t>
              <w:br/>
            </w:r>
            <w:r>
              <w:rPr>
                <w:b w:val="off"/>
                <w:color w:val="000000"/>
                <w:rFonts w:ascii="Times New Roman" w:hAnsi="Times New Roman" w:cs="Times New Roman" w:eastAsia="Times New Roman"/>
                <w:sz w:val="24"/>
              </w:rPr>
              <w:t>Podľa navrhovaného § 158 ods. 2 je jedným z hlavných cieľov likvidácie vysporiadanie klientskych aktív. Oprávnenia likvidátora podľa odseku 6 sú však viazané len na zisťovanie majetku právnickej osoby, ktorej bolo odobraté povolenie na poskytovanie investičných služieb. Keďže klientsky majetok nie je majetkom obchodníka s cennými papiermi, je vhodné výslovne upraviť, že oprávnenia likvidátora sa vzťahujú aj na zisťovanie klientskeho majetku a klientskych aktív potrebné na ich riadne vysporiadanie.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čl. II § 158 ods. 6 bolo upravené v zmysle pripomienky MS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Navrhujeme doplniť prechodné ustanovenie, ktoré umožní primerané použitie nových ustanovení o likvidácii obchodníka s cennými papiermi aj na prípady obchodníkov, ktorým bolo povolenie na poskytovanie investičných služieb odobraté pred nadobudnutím účinnosti tohto zákona, ak ku dňu nadobudnutia jeho účinnosti nebolo riadne vysporiadanie klientskych aktív ukončené.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reaguje na praktické problémy vzniknuté po odobratí povolenia obchodníkom s cennými papiermi, pri ktorých zostali nevysporiadané klientske aktíva. Ak však navrhovaná právna úprava nebude obsahovať prechodné ustanovenia, nové mechanizmy ochrany klientov sa budú vzťahovať len na budúce prípady, zatiaľ čo existujúce problematické situácie zostanú naďalej nevyriešené.</w:t>
              <w:br/>
            </w:r>
            <w:r>
              <w:rPr>
                <w:b w:val="off"/>
                <w:color w:val="000000"/>
                <w:rFonts w:ascii="Times New Roman" w:hAnsi="Times New Roman" w:cs="Times New Roman" w:eastAsia="Times New Roman"/>
                <w:sz w:val="24"/>
              </w:rPr>
              <w:t>Z pohľadu ochrany klientov a právnej istoty je preto vhodné umožniť, aby sa nové pravidlá mohli primerane uplatniť aj na prípady, v ktorých bolo povolenie obchodníkovi s cennými papiermi odobraté pred účinnosťou zákona, avšak ku dňu jeho účinnosti naďalej existujú nevysporiadané klientske aktíva alebo iné neukončené úkony súvisiace s ich riadnym usporiadaním. Otázkou je tiež možná dodatočná likvidácia, ak obchodník už zanikol a aktíva klientov ostali nevysporiadané.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147</w:t>
              <w:br/>
            </w:r>
            <w:r>
              <w:rPr>
                <w:b w:val="off"/>
                <w:color w:val="000000"/>
                <w:rFonts w:ascii="Times New Roman" w:hAnsi="Times New Roman" w:cs="Times New Roman" w:eastAsia="Times New Roman"/>
                <w:sz w:val="24"/>
              </w:rPr>
              <w:t xml:space="preserve">Navrhujeme zvážiť doplnenie povinnosti Národnej banky Slovenska bezodkladne informovať Centrálny depozitár cenných papierov SR, a. s., o zavedení nútenej správy, ak je obchodník s cennými papiermi účastníkom centrálneho depozitára. </w:t>
              <w:br/>
            </w:r>
            <w:r>
              <w:rPr>
                <w:b w:val="off"/>
                <w:color w:val="000000"/>
                <w:rFonts w:ascii="Times New Roman" w:hAnsi="Times New Roman" w:cs="Times New Roman" w:eastAsia="Times New Roman"/>
                <w:sz w:val="24"/>
              </w:rPr>
              <w:t>Ak je obchodník s cennými papiermi účastníkom centrálneho depozitára, zriadenie nútenej správy a ustanovenie správcu má priamy vplyv na výkon jeho práv a povinností vo vzťahu k centrálnemu depozitáru. Včasné informovanie centrálneho depozitára umožní bezodkladne prijať opatrenia vo vzťahu k výkonu práv účastníka a k ochrane klientskych aktív.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Klientsky majetok môže byť evidovaný na rôznych účtoch cenných papierov u rôznych tuzemských aj zahraničných finančných inštitúcií. Dodatočná povinnosť informovať iba jeden subjekt ide nad rámec primeraných informačných povinností NBS.</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 147, § 149 ods. 3</w:t>
              <w:br/>
            </w:r>
            <w:r>
              <w:rPr>
                <w:b w:val="off"/>
                <w:color w:val="000000"/>
                <w:rFonts w:ascii="Times New Roman" w:hAnsi="Times New Roman" w:cs="Times New Roman" w:eastAsia="Times New Roman"/>
                <w:sz w:val="24"/>
              </w:rPr>
              <w:t>Navrhujeme zvážiť doplnenie alebo spresnenie oprávnení núteného správcu tak, aby bolo jednoznačné, že je oprávnený vykonávať všetky úkony nevyhnutné na ochranu klientskych aktív vrátane úkonov vo vzťahu k subjektom infraštruktúry finančného trhu.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Doterajšia úprava nútenej správy bola koncipovaná predovšetkým na stabilizáciu OCP. Novela však zavádza nový dôvod, ktorého účelom je ochrana klientov a ich aktív. Z navrhovanej úpravy však nie je jednoznačné, či rozsah oprávnení núteného správcu zodpovedá tomuto účelu a umožňuje mu vykonávať všetky úkony potrebné na riadne vysporiadanie klientskych aktív.</w:t>
              <w:br/>
            </w:r>
            <w:r>
              <w:rPr>
                <w:b w:val="off"/>
                <w:color w:val="000000"/>
                <w:rFonts w:ascii="Times New Roman" w:hAnsi="Times New Roman" w:cs="Times New Roman" w:eastAsia="Times New Roman"/>
                <w:sz w:val="24"/>
              </w:rPr>
              <w:t>V prípade obchodníka s cennými papiermi môže byť na ochranu klientov potrebné vykonávať aj úkony vo vzťahu k centrálnemu depozitáru, najmä podávať príkazy na vykonanie zápisov v evidencii alebo vykonať ďalšie úkony súvisiace s výkonom práv klientov. Z dôvodu právnej istoty odporúčame výslovne upraviť, že oprávnenia núteného správcu zahŕňajú aj tieto úkony.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148 je nútený správca oprávnený riadiť obchodníka s cennými papiermi, to znamená aj vykonávať všetky úkony nevyhnutné na ochranu klientskych aktív.</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73w</w:t>
              <w:br/>
            </w:r>
            <w:r>
              <w:rPr>
                <w:b w:val="off"/>
                <w:color w:val="000000"/>
                <w:rFonts w:ascii="Times New Roman" w:hAnsi="Times New Roman" w:cs="Times New Roman" w:eastAsia="Times New Roman"/>
                <w:sz w:val="24"/>
              </w:rPr>
              <w:t>Navrhujeme spresniť rozsah pôsobnosti § 73w minimálne v dôvodovej správe.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nie je jednoznačné, či sa povinnosti podľa § 73w vzťahujú aj na centrálny depozitár, ktorý je finančnou inštitúciou podľa zákona o cenných papieroch a vedie účty majiteľov. Povinnosti ustanovené v § 73w však vecne zodpovedajú činnosti poskytovateľov dlhodobého investičného sporenia, ktorí ponúkajú investičný produkt klientovi a vytvárajú jeho investičné portfólio.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7 ods. 11 zákona vylučuje centrálneho depozitára z poskytovania dlhodobého sporenia.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36 (§ 24 ods. 6) – Z:</w:t>
              <w:br/>
            </w:r>
            <w:r>
              <w:rPr>
                <w:b w:val="off"/>
                <w:color w:val="000000"/>
                <w:rFonts w:ascii="Times New Roman" w:hAnsi="Times New Roman" w:cs="Times New Roman" w:eastAsia="Times New Roman"/>
                <w:sz w:val="24"/>
              </w:rPr>
              <w:t>V § 24 ods. 6 navrhujeme uviesť znenie poznámky pod čiarou k odkazu 25a takto:</w:t>
              <w:br/>
            </w:r>
            <w:r>
              <w:rPr>
                <w:b w:val="off"/>
                <w:color w:val="000000"/>
                <w:rFonts w:ascii="Times New Roman" w:hAnsi="Times New Roman" w:cs="Times New Roman" w:eastAsia="Times New Roman"/>
                <w:sz w:val="24"/>
              </w:rPr>
              <w:t>„25a) § 12 ods. 4 písm. a) zákona č. 192/2023 Z. z. o registri trestov a o zmene a doplnení niektorých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na konci odseku 6 pripojiť túto vetu: „Údaje podľa prvej vety Národná banka Slovenska bezodkladne zašle v elektronickej podobe prostredníctvom elektronickej komunikácie Generálnej prokuratúre Slovenskej republiky na vydanie výpisu z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ustanovenia § 24 ods. 6 navrhujeme uviesť odkaz na konkrétne ustanovenie na úroveň písmena osobitného predpisu, ktoré stanovuje obsah žiadosti o výpis z registra trestov pre fyzickú osobu a zároveň upraviť spôsob elektronickej komunikácie v súlade so zákonom č. 192/2023 Z. z. o registri trestov a o zmene a doplnení niektorých zákonov.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179 [§ 148 ods. 5 písm. a)] – Z:</w:t>
              <w:br/>
            </w:r>
            <w:r>
              <w:rPr>
                <w:b w:val="off"/>
                <w:color w:val="000000"/>
                <w:rFonts w:ascii="Times New Roman" w:hAnsi="Times New Roman" w:cs="Times New Roman" w:eastAsia="Times New Roman"/>
                <w:sz w:val="24"/>
              </w:rPr>
              <w:t>V § 148 v súvislosti s návrhom nového odseku 5 písm. a) žiadame upraviť poskytovanie údajov za účelom preukazovania bezúhonnosti (dôveryhodnosti) a spôsob vyžiadania si výpisu z registra trestov prostredníctvom elektronickej komunikácie aj vo vzťahu k právnickým osobám.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34 (§ 24 ods. 4) – O:</w:t>
              <w:br/>
            </w:r>
            <w:r>
              <w:rPr>
                <w:b w:val="off"/>
                <w:color w:val="000000"/>
                <w:rFonts w:ascii="Times New Roman" w:hAnsi="Times New Roman" w:cs="Times New Roman" w:eastAsia="Times New Roman"/>
                <w:sz w:val="24"/>
              </w:rPr>
              <w:t>V § 24 ods. 4 písm. a) navrhujeme znenie poznámky pod čiarou k odkazu 23 uviesť takto:</w:t>
              <w:br/>
            </w:r>
            <w:r>
              <w:rPr>
                <w:b w:val="off"/>
                <w:color w:val="000000"/>
                <w:rFonts w:ascii="Times New Roman" w:hAnsi="Times New Roman" w:cs="Times New Roman" w:eastAsia="Times New Roman"/>
                <w:sz w:val="24"/>
              </w:rPr>
              <w:t xml:space="preserve"> „23)	§ 12 zákona č. 192/2023 Z. z. o registri trestov a o zmene a doplnení niektorých predpisov.“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39/2015 Z. z. o poisťovníctve a o zmene a doplnení niektorých zákonov v znení neskorších predpisov v poznámke pod čiarou odkazuje na ustanovenia zákona č. 330/2007 Z. z. o registri trestov a o zmene a doplnení niektorých zákonov v znení neskorších predpisov, ktorý bol zrušený.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22 v § 14 ods. 5 navrhujeme slová „Ak bola Národná banka Slovenska požiadaná príslušným orgánom dohľadu iného členského štátu“ nahradiť slovami „Ak príslušný orgán dohľadu iného členského štátu požiadal Národnú banka Slovenska“.</w:t>
              <w:br/>
            </w:r>
            <w:r>
              <w:rPr>
                <w:b w:val="off"/>
                <w:color w:val="000000"/>
                <w:rFonts w:ascii="Times New Roman" w:hAnsi="Times New Roman" w:cs="Times New Roman" w:eastAsia="Times New Roman"/>
                <w:sz w:val="24"/>
              </w:rPr>
              <w:t xml:space="preserve">2.	V čl. I bode 27 v § 21b ods. 8 odporúčame vypustiť slovo „žiadosti“ pred slovom „takejto“. </w:t>
              <w:br/>
            </w:r>
            <w:r>
              <w:rPr>
                <w:b w:val="off"/>
                <w:color w:val="000000"/>
                <w:rFonts w:ascii="Times New Roman" w:hAnsi="Times New Roman" w:cs="Times New Roman" w:eastAsia="Times New Roman"/>
                <w:sz w:val="24"/>
              </w:rPr>
              <w:t>3.	V čl. I bode 29 navrhujeme upraviť znenie bodu takto: „V § 23 ods. 2 tretej vete sa na konci bodka nahrádza čiarkou a pripájajú sa  tieto slová:“.</w:t>
              <w:br/>
            </w:r>
            <w:r>
              <w:rPr>
                <w:b w:val="off"/>
                <w:color w:val="000000"/>
                <w:rFonts w:ascii="Times New Roman" w:hAnsi="Times New Roman" w:cs="Times New Roman" w:eastAsia="Times New Roman"/>
                <w:sz w:val="24"/>
              </w:rPr>
              <w:t>4.	V čl. I bode 48 odporúčame vložiť slovo „na“ pred slová „konci pripája táto veta“.</w:t>
              <w:br/>
            </w:r>
            <w:r>
              <w:rPr>
                <w:b w:val="off"/>
                <w:color w:val="000000"/>
                <w:rFonts w:ascii="Times New Roman" w:hAnsi="Times New Roman" w:cs="Times New Roman" w:eastAsia="Times New Roman"/>
                <w:sz w:val="24"/>
              </w:rPr>
              <w:t>5.	V čl. I bode 50 v § 26a ods. 5 navrhujeme slová „Ustanovenia odsekov“ nahradiť slovom „Odseky“.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Pripomienky uvedené v bodoch 3 a 5 z dôvodu zaužívanej legislatívnej praxe a v súlade s legislatívnymi pravidlami vlády SR ponechávame v pôvodne navrhovanom znení. Ostatné pripomienky sú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navrhujeme zjednotiť formálne vyjadrenie vnútorného odkazu v bodoch 75 - § 70b ods. 1 písm. b) štvrtom bode a písm. c) šiestom bode s bodom 116 - § 82a  ods. 1 písm. b) tretím bodom.</w:t>
              <w:br/>
            </w:r>
            <w:r>
              <w:rPr>
                <w:b w:val="off"/>
                <w:color w:val="000000"/>
                <w:rFonts w:ascii="Times New Roman" w:hAnsi="Times New Roman" w:cs="Times New Roman" w:eastAsia="Times New Roman"/>
                <w:sz w:val="24"/>
              </w:rPr>
              <w:t>7.	V čl. I bode 127  - § 94 ods. 7 navrhujeme slová „Ustanovenie odseku“ nahradiť slovom „Odsek“; pripomienka platí primerane aj pre bod 229 - § 203 ods. 11.</w:t>
              <w:br/>
            </w:r>
            <w:r>
              <w:rPr>
                <w:b w:val="off"/>
                <w:color w:val="000000"/>
                <w:rFonts w:ascii="Times New Roman" w:hAnsi="Times New Roman" w:cs="Times New Roman" w:eastAsia="Times New Roman"/>
                <w:sz w:val="24"/>
              </w:rPr>
              <w:t>8.	V čl. I bode 234 navrhujeme vložiť „§“ pred číslo „204“.</w:t>
              <w:br/>
            </w:r>
            <w:r>
              <w:rPr>
                <w:b w:val="off"/>
                <w:color w:val="000000"/>
                <w:rFonts w:ascii="Times New Roman" w:hAnsi="Times New Roman" w:cs="Times New Roman" w:eastAsia="Times New Roman"/>
                <w:sz w:val="24"/>
              </w:rPr>
              <w:t>9.	V čl. I bode 235 odporúčame slová „ktorý znie“ nahradiť slovami „ktorý vrátane nadpisu znie“.</w:t>
              <w:br/>
            </w:r>
            <w:r>
              <w:rPr>
                <w:b w:val="off"/>
                <w:color w:val="000000"/>
                <w:rFonts w:ascii="Times New Roman" w:hAnsi="Times New Roman" w:cs="Times New Roman" w:eastAsia="Times New Roman"/>
                <w:sz w:val="24"/>
              </w:rPr>
              <w:t>10.	V čl. I bode 236 navrhujeme text §-u upraviť takto: „Zrušuje sa opatrenie Národnej banky Slovenska č. 6/2015 o solventnosti pre poisťovne, na ktoré sa neuplatňuje osobitný režim, a pre zaisťovne, pobočky zahraničných poisťovní a pobočky zahraničných zaisťovní (oznámenie č. 182/2015 Z. z.) v znení opatrenia č. 8/2022 (oznámenie č. 387/2022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 uvedenú v bode 7 z dôvodu zaužívanej legislatívnej praxe a v súlade s legislatívnymi pravidlami vlády SR ponechávame v pôvodne navrhovanom znení. Ostatné pripomienky sú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11.	V čl. II odporúčame upraviť znenie novelizačného bodu 1 takto: „V poznámke pod čiarou k odkazu 42a sa slová „Zákon č. 371/2014 Z. z.“ nahrádzajú slovami „Napríklad zákon č. 371/2014 Z. z.“.“.</w:t>
              <w:br/>
            </w:r>
            <w:r>
              <w:rPr>
                <w:b w:val="off"/>
                <w:color w:val="000000"/>
                <w:rFonts w:ascii="Times New Roman" w:hAnsi="Times New Roman" w:cs="Times New Roman" w:eastAsia="Times New Roman"/>
                <w:sz w:val="24"/>
              </w:rPr>
              <w:t>12.	V čl. II bode 6 a 9 odporúčame vypustiť slová „prvej vete“. Obdobne aj v bode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vyznačiť v doložke vybraných vplyvov v bode 9. uplatňovanie mechanizmu znižovania byrokracie a nákladov a dopracovať Analýzu vplyvov na podnikateľské prostredie.</w:t>
              <w:br/>
            </w:r>
            <w:r>
              <w:rPr>
                <w:b w:val="off"/>
                <w:color w:val="000000"/>
                <w:rFonts w:ascii="Times New Roman" w:hAnsi="Times New Roman" w:cs="Times New Roman" w:eastAsia="Times New Roman"/>
                <w:sz w:val="24"/>
              </w:rPr>
              <w:t>Odôvodnenie: Návrh zákona odstraňuje náklad, na ktorý sa vzťahuje mechanizmus znižovania byrokracie a nákladov. Pozitívne vplyvy uvedené v časti 3.4 je potrebné presunúť do časti 3.1 alebo doplniť riadne zdôvodnenie nemožnosti ich kvantifikácie, keďže podľa Jednotnej metodiky na posudzovanie vybraných vplyvov majú byť identifikované vplyvy na podnikateľské prostredie, vrátane pozitívnych, popísané a pokiaľ je to možné aj kvantifikované. Zároveň je potrebné upraviť lokalizáciu regulácie č. 21 vzhľadom na to, že § 77 ods. 22 nie je predmetom tabuľky zhody návrhu právneho predpisu s právom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1. bod, § 3 písm. d)</w:t>
              <w:br/>
            </w:r>
            <w:r>
              <w:rPr>
                <w:b w:val="off"/>
                <w:color w:val="000000"/>
                <w:rFonts w:ascii="Times New Roman" w:hAnsi="Times New Roman" w:cs="Times New Roman" w:eastAsia="Times New Roman"/>
                <w:sz w:val="24"/>
              </w:rPr>
              <w:t>Odporúčame text „alebo na území susediacich štátov“ preformulovať nasledovne: „alebo na území štátov susediacich so Slovenskou republikou“.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27</w:t>
              <w:br/>
            </w:r>
            <w:r>
              <w:rPr>
                <w:b w:val="off"/>
                <w:color w:val="000000"/>
                <w:rFonts w:ascii="Times New Roman" w:hAnsi="Times New Roman" w:cs="Times New Roman" w:eastAsia="Times New Roman"/>
                <w:sz w:val="24"/>
              </w:rPr>
              <w:t>V navrhovanom znení § 21b ods. 8 navrhujeme z dôvodu duplicity vypustiť slová „takejto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48</w:t>
              <w:br/>
            </w:r>
            <w:r>
              <w:rPr>
                <w:b w:val="off"/>
                <w:color w:val="000000"/>
                <w:rFonts w:ascii="Times New Roman" w:hAnsi="Times New Roman" w:cs="Times New Roman" w:eastAsia="Times New Roman"/>
                <w:sz w:val="24"/>
              </w:rPr>
              <w:t>Navrhujeme za slová „V § 26 ods. 8 sa“ vložiť slovo „na“.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49</w:t>
              <w:br/>
            </w:r>
            <w:r>
              <w:rPr>
                <w:b w:val="off"/>
                <w:color w:val="000000"/>
                <w:rFonts w:ascii="Times New Roman" w:hAnsi="Times New Roman" w:cs="Times New Roman" w:eastAsia="Times New Roman"/>
                <w:sz w:val="24"/>
              </w:rPr>
              <w:t>V úvodnej vete § 26 ods. 14 navrhujeme slová „poisťovni alebo zaisťovni“ nahradiť slovami „poisťovne alebo zaisťovne“.</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51</w:t>
              <w:br/>
            </w:r>
            <w:r>
              <w:rPr>
                <w:b w:val="off"/>
                <w:color w:val="000000"/>
                <w:rFonts w:ascii="Times New Roman" w:hAnsi="Times New Roman" w:cs="Times New Roman" w:eastAsia="Times New Roman"/>
                <w:sz w:val="24"/>
              </w:rPr>
              <w:t>V poznámke pod čiarou k odkazu 25e odporúčame slová „(Ú. v. EÚ L 320, 29.11.2008)“ nahradiť slovami „(Ú. v. EÚ L 237, 26.9.2023)“.</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57</w:t>
              <w:br/>
            </w:r>
            <w:r>
              <w:rPr>
                <w:b w:val="off"/>
                <w:color w:val="000000"/>
                <w:rFonts w:ascii="Times New Roman" w:hAnsi="Times New Roman" w:cs="Times New Roman" w:eastAsia="Times New Roman"/>
                <w:sz w:val="24"/>
              </w:rPr>
              <w:t>Odporúčame vložiť bodku na konci odseku 5.</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59</w:t>
              <w:br/>
            </w:r>
            <w:r>
              <w:rPr>
                <w:b w:val="off"/>
                <w:color w:val="000000"/>
                <w:rFonts w:ascii="Times New Roman" w:hAnsi="Times New Roman" w:cs="Times New Roman" w:eastAsia="Times New Roman"/>
                <w:sz w:val="24"/>
              </w:rPr>
              <w:t>V úvodnej vete § 42 ods. 3 navrhujeme slová „poisťovňu alebo zaisťovňa“ nahradiť slovami „poisťovňu alebo zaisťovňu“.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129</w:t>
              <w:br/>
            </w:r>
            <w:r>
              <w:rPr>
                <w:b w:val="off"/>
                <w:color w:val="000000"/>
                <w:rFonts w:ascii="Times New Roman" w:hAnsi="Times New Roman" w:cs="Times New Roman" w:eastAsia="Times New Roman"/>
                <w:sz w:val="24"/>
              </w:rPr>
              <w:t>Navrhujeme v úvodnej vete slovo „písmena“ nahradiť slovom „písmená“.</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190. (§ 154 ods. 1) návrhu zákona</w:t>
              <w:br/>
            </w:r>
            <w:r>
              <w:rPr>
                <w:b w:val="off"/>
                <w:color w:val="000000"/>
                <w:rFonts w:ascii="Times New Roman" w:hAnsi="Times New Roman" w:cs="Times New Roman" w:eastAsia="Times New Roman"/>
                <w:sz w:val="24"/>
              </w:rPr>
              <w:t xml:space="preserve">V rozsahu úpravy ustanovenia § 154 ods. 1 trváme na vypustení alebo úprave prvej vety ustanovenia z dôvodu jej duplicity so znením § 29 zákona č. 29/2026 Z. z. o obchodnom registri a o zmene a doplnení niektorých zákonov (zákon o obchodnom registri) v znení zákona č. 73/2026 Z. z. (ďalej len „zákon o obchodnom registri“). Zákon o obchodnom registri síce predpokladá (v § 22), že tzv. ďalšie zapisované údaje môžu byť určené aj osobitným predpisom, toto však nie je táto situácia, nakoľko pre ňu zákon o obchodnom registri v ustanovení § 29 definuje výslovný rozsah zapisovaných údajov, ktorý je identický s tým uvádzaným v § 154 ods. 1 prvá veta. </w:t>
              <w:br/>
            </w:r>
            <w:r>
              <w:rPr>
                <w:b w:val="off"/>
                <w:color w:val="000000"/>
                <w:rFonts w:ascii="Times New Roman" w:hAnsi="Times New Roman" w:cs="Times New Roman" w:eastAsia="Times New Roman"/>
                <w:sz w:val="24"/>
              </w:rPr>
              <w:t>V súvislosti s novou treťou vetou ustanovenia § 154 ods. 1 si dovoľujeme uviesť, že aj keď rozumieme príčinám pre definovanie osobitnej lehoty pre registráciu, s takouto úpravou nesúhlasíme, nakoľko nerešpektuje skutočnosť, že to nie je zákon č. 39/2015 Z. z., ktorého predmetom regulácie sú otázky úpravy konaní vo veciach obchodného registra, ale zákon o obchodnom registri, ktorý už predmetnú otázku všeobecne normuje vo svojom § 48 ods. 1. V tomto rozsahu je nová tretia veta § 154 ods. 1  nadbytočná a trváme na jej vypustení z návrhu zákona. Uvedená pripomienka sa vzťahuje rovnako aj na čl. II, bod 22. (§ 154 ods. 1) návrhu zákona.</w:t>
              <w:br/>
            </w:r>
            <w:r>
              <w:rPr>
                <w:b w:val="off"/>
                <w:color w:val="000000"/>
                <w:rFonts w:ascii="Times New Roman" w:hAnsi="Times New Roman" w:cs="Times New Roman" w:eastAsia="Times New Roman"/>
                <w:sz w:val="24"/>
              </w:rPr>
              <w:t>V závere žiadame o aktualizáciu odkazov uvádzaných v poznámke pod čiarou, a to vzhľadom na prijatie nového zákona o obchodnom registri, v súvislosti s pripomienkovaným ustanovením § 154 najmä odkaz 80 v poznámke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198. (§ 159 ods. 5) návrhu zákona</w:t>
              <w:br/>
            </w:r>
            <w:r>
              <w:rPr>
                <w:b w:val="off"/>
                <w:color w:val="000000"/>
                <w:rFonts w:ascii="Times New Roman" w:hAnsi="Times New Roman" w:cs="Times New Roman" w:eastAsia="Times New Roman"/>
                <w:sz w:val="24"/>
              </w:rPr>
              <w:t>V rozsahu § 159 ods. 5  druhá veta si dovoľujeme uviesť, že aj keď rozumieme príčinám pre definovanie osobitnej lehoty pre registráciu, s takouto úpravou nesúhlasíme, nakoľko nerešpektuje skutočnosť, že to nie je zákon č. 39/2015 Z. z., ktorého predmetom regulácie sú otázky úpravy konaní vo veciach obchodného registra, ale zákon o obchodnom registri, ktorý už predmetnú otázku pre zápis údajov v registrácii všeobecne normuje vo svojom § 48 ods. 1. V tomto rozsahu je druhá veta § 159 ods. 5  nadbytočná a trváme na jej vypustení z návrhu zákona. Žiadame tiež o aktualizáciu odkazov uvádzaných v poznámke pod čiarou, a to vzhľadom na prijatie nového zákona o obchodnom registri, v súvislosti s pripomienkovaným ustanovením § 159 najmä používaný odkaz 80 v poznámke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201. (§ 160a ods. 9 tretia veta) návrhu zákona</w:t>
              <w:br/>
            </w:r>
            <w:r>
              <w:rPr>
                <w:b w:val="off"/>
                <w:color w:val="000000"/>
                <w:rFonts w:ascii="Times New Roman" w:hAnsi="Times New Roman" w:cs="Times New Roman" w:eastAsia="Times New Roman"/>
                <w:sz w:val="24"/>
              </w:rPr>
              <w:t>V rozsahu § 160a ods. 9 tretia veta s poukazom na skôr uplatnenú zásadnú pripomienku k čl. I, bodu 190. (§ 154 ods. 1) a bodu 198. (§ 159 ods. 5) trváme na vypustení tejto vety z ustanovenia. Uvedenú pripomienku uplatňujeme rovnako vo vzťahu k čl. II., bodu 25. (§ 157 ods. 6 druhá veta) a bodu 26. (§ 157a ods. 9 tretia veta)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nad rámec návrhu zákona</w:t>
              <w:br/>
            </w:r>
            <w:r>
              <w:rPr>
                <w:b w:val="off"/>
                <w:color w:val="000000"/>
                <w:rFonts w:ascii="Times New Roman" w:hAnsi="Times New Roman" w:cs="Times New Roman" w:eastAsia="Times New Roman"/>
                <w:sz w:val="24"/>
              </w:rPr>
              <w:t>Nad rámec zmien navrhovaných v čl. II návrhu zákona, zásadne žiadame do čl. II vložiť nový novelizačný bod 23. v nasledovnom znení:</w:t>
              <w:br/>
            </w:r>
            <w:r>
              <w:rPr>
                <w:b w:val="off"/>
                <w:color w:val="000000"/>
                <w:rFonts w:ascii="Times New Roman" w:hAnsi="Times New Roman" w:cs="Times New Roman" w:eastAsia="Times New Roman"/>
                <w:sz w:val="24"/>
              </w:rPr>
              <w:t xml:space="preserve">„23. V § 154 sa vypúšťa odsek 2. </w:t>
              <w:br/>
            </w:r>
            <w:r>
              <w:rPr>
                <w:b w:val="off"/>
                <w:color w:val="000000"/>
                <w:rFonts w:ascii="Times New Roman" w:hAnsi="Times New Roman" w:cs="Times New Roman" w:eastAsia="Times New Roman"/>
                <w:sz w:val="24"/>
              </w:rPr>
              <w:t>Doterajšie odseky 3 a 4 sa označujú ako odseky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sa primerane prečísľujú.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s poukazom na duplicitu úpravy § 154 ods. 2 zákona o cenných papieroch so znením § 29 zákona o obchodnom registri. Zákon o obchodnom registri síce predpokladá (v § 22), že tzv. ďalšie zapisované údaje môžu byť určené aj osobitným predpisom, situácia podľa § 154 ods. 2 však nie je situáciou, kedy bolo potrebné v osobitnom predpise normovať rozsah zapisovaných údajov, nakoľko pre ňu zákon o obchodnom registri v ustanovení § 29 definuje výslovný rozsah zapisovaných údajov, ktorý je identický s tým uvádzaným v § 154 ods. 2 zákona o cenných papieroch.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Predkladateľ v návrhu zákona v čl. I zásadným spôsobom prepracováva právnu úpravu likvidácie poisťovne (zaisťovne) a v čl. II zas likvidáciu obchodníka s cennými papiermi. V zásade osobitná právna úprava uvedených otázok ako taká je opodstatnená osobitnou povahou a predmetom činnosti týchto regulovaných a dohliadaných subjektov, čo nám ako gestorovi všeobecného predpisu regulujúceho predmetnú oblasť v tejto súvislosti vadí je, že predkladateľ tak nerobí konzistentne a dokonca abstrahuje obsahovo významnú časť úpravy odkazom na použitie úpravy zákona č. 7/2005 Z. z. o konkurze a reštrukturalizácii a o zmene a doplnení niektorých zákonov v znení neskorších predpisov [napr. čl. I, bod 202. (§ 161 ods. 7), čl. II, bod 27. (§ 158 ods. 6)], čo nie je z dôvodov určitosti a zrozumiteľnosti normy podľa nášho názoru ideálne riešenie. Koncepčne nejednotná právna úprava len vo vzťahu k niektorým takto osobitne regulovaným a dohliadaným subjektom (kde aktuálne vyvstala potreba z aplikačnej praxe) má za následok, že právna úprava sa stáva neprehľadnou a fragmentovanou. Uvedené môže v praxi spôsobovať problémy, najmä pokiaľ sa v osobitnej právnej úprave, ktorá má ambíciu daný proces výslovne a podrobne regulovať, opomenie úprava niektorej súvisiacej otázky, prípadne, ak sa predkladateľ dostatočne nevysporiada so všetkými jej aspektmi a väzbou na všeobecný predpis (§ 761 ods. 4 Obchodného zákonníka) alebo procesné pravidlá (Civilný mimosporový poriadok). V tejto súvislosti sa javí ako odôvodnené prehodnotiť tento prístup do budúcna a zvážiť iné možnosti regulácie, ktoré prichádzajú do úvahy. Ako najpraktickejšia a najvhodnejšia sa nám javí komplexná osobitná úprava nútenej správy a likvidácie regulovaných subjektov v osobitnom právnom predpise, nakoľko úprava týchto inštitútov je zastúpená vo všetkých osobitných predpisoch regulujúcich dané subjekty a zároveň aj z predloženej novely je zrejmé, že je záujmom predkladateľa túto podrobne regulovať a nastaviť v nej zásadné odklony od všeobecného rámca a vo vybraných prvkoch ju pripodobniť konkurznej úprave. Rozsiahlosť a komplexnosť navrhovaných „odklonov“ od všeobecnej úpravy likvidácie v Obchodnom zákonníku pritom odôvodnene vyvoláva otázku o existencii potreby „odpojenia“ úpravy likvidácie poisťovní (zaisťovní) spod subsidiárnej aplikácie príslušných ustanovení Obchodného zákonníka, teda zmene konceptu § 761 ods. 4.  Rovnako je na hlbšiu diskusiu a prehodnotenie aj regulácia otázky profesionalizácie výkonu funkcie núteného správcu a likvidátora v týchto osobitných subjektoch, ktorá by umožnila jednotnú reguláciu podmienok kladených na výkon tejto funkcie, úpravu jeho ustanovovania do funkcie (kde v návrhu zákona absentuje prvok náhodného výberu a jeho transparentnosti) a zadefinovania povahy vzťahu núteného správcu a likvidátora k spoločnosti v nútenej správe alebo v likvidácii s jednoznačným vymedzením rozsahu jeho kompetencií a riešenie nadväzujúcich otázok výkonu efektívneho dohľadu nad jeho činnosťou a jeho prípadnej disciplinárnej zodpovednosti.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Vytýkané nekonzistencie v odkazoch na Obchodný zákonník a ďalšie relevantné predpisy, vrátane otázky subsidiarity Obchodného zákonníka boli odstránené. Účelom návrhu zákona je aj zosúladenie predmetnej oblasti likvidácie naprieč finančným trhom (najmä so zákonom č. 483/2001 Z. z. o bankách), preto sa pri niektorých otázkach pristupovalo rovnako ako už v iných platných predpisoch v rámci finančného trhu. Samostatná, resp. osobitná úprava likvidácie a nútenej správy pre subjekty finančného trhu a s tým súvisiaca profesionalizácia nútených správcov a likvidátorov týchto subjektov je želaný stav, ktorý si však vyžaduje rozsiahlejšiu diskusiu naprieč celým finančným sektorom a v budúcnosti sa ňou MF SR má v pláne podrobnejšie zaoberať.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179. (§ 148 ods. 6) návrhu zákona</w:t>
              <w:br/>
            </w:r>
            <w:r>
              <w:rPr>
                <w:b w:val="off"/>
                <w:color w:val="000000"/>
                <w:rFonts w:ascii="Times New Roman" w:hAnsi="Times New Roman" w:cs="Times New Roman" w:eastAsia="Times New Roman"/>
                <w:sz w:val="24"/>
              </w:rPr>
              <w:t>V predmetnom ustanovení predkladateľ normuje okruh subjektov, z ktorých môže Národná banka Slovenska ustanoviť núteného správcu a v dôsledku odkazu v § 160a ods. 5 aj likvidátora poisťovne (zaisťovne). Rozumieme skutočnosti, že vzhľadom na špecifický charakter činnosti spoločnosti si výkon tejto funkcie vyžaduje aj osobitné požiadavky kladené na odbornosť a dôveryhodnosť, je však pre nás z návrhu zákona menej zrozumiteľné ako budú podmienky primeranej odbornej spôsobilosti a dôveryhodnosti (ako aj prípadné podmienky vylúčenia z funkcie) zohľadnené a zabezpečené pri ustanovovaní núteného správcu alebo likvidátora najmä pri prvých dvoch kategóriách subjektov podľa § 148 ods. 6 písm. a) a b) Národnou bankou Slovenska, resp. na základe akých kritérií bude Národná banka Slovenska vykonávať výber v konkrétnom prípade. Preto sa javí ako nejasné a vágne pomerne široko koncipované diskrečné oprávnenie Národnej banky Slovenska pri výbere a ustanovení konkrétneho subjektu do funkcie núteného správcu alebo likvidátora a pri výbere chýbajúci prvok náhodnosti, ktorý je inak prítomný pri ustanovovaní likvidátora (po nútenom zrušení) alebo správcu v konkurznom konaní súdom, teda v procesoch svojou povahou porovnateľných regulovanej situácii, kedy sa pôsobnosť likvidátora alebo správcu odvodzuje od rozhodnutia súdu, nie vnútro-korporačného aktu. Uvedené má nevyhnutne podľa nášho názoru implikácie na podmienky a rozsah dohľadu vykonávaného nad ich činnosťou ako aj na rozsah ich zodpovednosti a možnosti prípadného disciplinárneho postihu. Ak totiž predkladateľ v čl. I, bode 186. návrhu zákona (§ 151 ods. 1) vypustením vybraných slov sleduje (podľa odôvodnenia) záujem na podriadení otázky úpravy zodpovednosti za škodu statusovým právnym predpisom, dovoľujeme si upozorniť, že podľa nášho názoru nie je tak jednoznačné, že v dôsledku navrhnutej zmeny ustanovenia § 151 ods. 1 sa otázka zodpovednosti núteného správcu za škodu, bude „automaticky“ spravovať príslušnými statusovými právnymi predpismi. Táto činnosť (rozumej výkon nútenej správy) nie je príslušnými statusovými predpismi zohľadňovaná a definovaná ako „výkon činnosti“ podľa týchto predpisov a ani keď bude Národná banka Slovenska pri ustanovovaní do funkcie voliť spomedzi osôb podľa § 148 ods. 6, tak ich podľa nášho názoru nebude do funkcie ustanovovať ako „profesionálov“ podľa týchto statusových predpisov (preto pri porušení povinností pri nútenej správe nebudú môcť byť disciplinárne stíhaní podľa osobitných statusových predpisov), nakoľko sa tak môže stať len v osobitnom konaní (špeciálny správca), pri výkone osobitne zadefinovaného predmetu činnosti – štatutárneho auditu (štatutárny audítor), do ktorého výkon nútenej správy (likvidácie) nespadá alebo len pri poskytovaní právnych služieb klientovi (advokát), kde je nejasné kto je klientom (Národná banka Slovenka uzavierajúca s advokátom zmluvu alebo poisťovňa). Pôsobí totiž rozporuplne pokiaľ návrh zákona na jednej strane zveruje Národnej banke Slovenska ustanovovaciu právomoc, no na druhej strane vzťah núteného správcu (likvidátora) pri výkone činnosti, ako aj úpravu otázky odmeňovania, podriaďuje zmluvnému režimu (§ 151 ods. 1) a „odvodzuje pôvod“ a rozsah jeho pôsobnosti jej prechodom od orgánu - predstavenstva spoločnosti (§ v § 149 ods. 1) a nie rozhodnutia Národnej banky Slovenska. O to viac pôsobia tieto prvky rozporuplne v prípade likvidácie, ktorej nevyhnutne predchádza nútené zrušenie poisťovne (zaisťovne). V tejto súvislosti by sme privítali pokiaľ by predkladateľ prehodnotil a zvážil tieto aspekty a prípadne aj návrh na komplexné a koncepčné riešenie týchto procesov pre všetky regulované subjekty v osobitnom predpise, nakoľko dielčie úpravy vedú k fragmentácii a v drvivej väčšine prípadov sa zákonite vytvárajú medzery, resp. slabé miesta v budúcnosti spôsobilé priniesť nové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otázke skupiny subjektov, ktoré môžu byť vymenované za núteného správcu a požiadavky na profesijné poistenie týchto subjektov sa len precizuje aktuálne platné znenie zákona, pričom sa odstraňuje rozpornosť v zmluvných náležitostiach a aplikuje aktuálne platné profesijné obmedzenia aj na fyzické osoby. Samostatná, resp. osobitná úprava likvidácie a nútenej správy pre subjekty finančného trhu a s tým súvisiaca profesionalizácia nútených správcov a likvidátorov týchto subjektov je želaný stav, ktorý si však vyžaduje rozsiahlejšiu diskusiu naprieč celým finančným sektorom a v budúcnosti sa ňou MF SR má v pláne podrobnejšie zaoberať.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179. (148 ods. 7 písm. f)) návrhu zákona</w:t>
              <w:br/>
            </w:r>
            <w:r>
              <w:rPr>
                <w:b w:val="off"/>
                <w:color w:val="000000"/>
                <w:rFonts w:ascii="Times New Roman" w:hAnsi="Times New Roman" w:cs="Times New Roman" w:eastAsia="Times New Roman"/>
                <w:sz w:val="24"/>
              </w:rPr>
              <w:t>Odporúčame predkladateľovi v § 148 ods. 7 písm. f) slovo „likvidáciu“ nahradiť slovami „nútenú správu“. Predmetné ustanovenia je systematicky ako aj vecne venované úprave otázok nútenej správy. Skutočnosť, že sa bude na podklade § 160a ods. 5 rovnako aplikovať aj na ustanovovanie likvidátora, nemá mať na textáciu žiaden vplyv. Zároveň odporúčame predkladateľovi v záujme právnej istoty bližšie špecifikovať rozhodnú skutočnosť, od ktorej sa má v danom prípade spätne počítať lehota piatich rokov. Domnievame sa, že predkladateľ má záujem ako rozhodnú skutočnosť normovať podanie návrhu na zápis osoby núteného správcu do obchodného registra vzhľadom na použitie slov „pred podaním návrhu na likvidáciu“. V tejto súvislosti upozorňujeme na nedostatok spočívajúci v skutočnosti, že až do momentu podania návrhu na zápis núteného správcu do obchodného registra nie je možné s určitosťou ustáliť rozhodný čas piatich rokov, vo väzbe naň regulátor nebude vedieť s určitosťou vyhodnotiť, či daná osoba má alebo nemá v zmysle tohto ustanovenia osobitný vzťah  k poisťovni (zaisťovni) podľa § 148 ods. 4 písm. d), a teda či má alebo nemá byť vylúčená z výkonu funkcie (činnosti). Podľa nášho názoru nie je daná rozhodná skutočnosť vhodne zvolená, naviac malo by ísť o takú skutočnosť, o ktorej bude informácia dostupná verejne, nie len Národnej banke Slovenska ako subjektu zo zákona oprávnenému na podanie návrhu na zápis do obchodného registra. Aj osoba možného budúceho núteného správcu (vzhľadom na zmluvnú povahu vzťahu a prípadne dojednané zmluvné sankcie) by mala mať možnosť sama vyhodnotiť, či je alebo nie je vylúčená z výkonu funkcie (činnosti) podľa § 148 ods. 4 písm. d) z dôvodu existencie osobitného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183. (149 ods. 1) návrhu zákona</w:t>
              <w:br/>
            </w:r>
            <w:r>
              <w:rPr>
                <w:b w:val="off"/>
                <w:color w:val="000000"/>
                <w:rFonts w:ascii="Times New Roman" w:hAnsi="Times New Roman" w:cs="Times New Roman" w:eastAsia="Times New Roman"/>
                <w:sz w:val="24"/>
              </w:rPr>
              <w:t xml:space="preserve">Odporúčame predkladateľovi preformulovať znenie ustanovenia § 149 ods. 1 prvá veta, nakoľko pri orgánoch (či už kolektívnych alebo individuálnych) obchodnej spoločnosti všeobecne môžeme hovoriť o výkone ich pôsobnosti, ale nie o výkone funkcie. O výkone funkcie sa v obchodnoprávnej teórii hovorí vo vzťahu k jednotlivým členom kolektívnych riadiacich alebo kontrolných orgánov obchodných spoločností. Javí sa preto ako potrebné, ak to korešponduje so zámerom predkladateľa, za slovo „všetkých“ vložiť slovo „členov“. Zároveň vo vzťahu k vedúcim zamestnancom je zrejmé už z použitého pojmu „zamestnanec“, že s vysokou pravdepodobnosťou v ich prípade rovnako nie je možné hovoriť o „výkone funkcie“ vo význame, v ktorom sa tento v práve obchodných spoločností štandardne spája s osobami menovanými do funkcie najvyšším orgánom spoločnosti, do ktorého pôsobnosti zákon, zakladateľský úkon alebo stanovy túto voľbu zveruje. Vedúci zamestnanci štandardne vykonávajú závislú činnosť (prácu) v individuálnom pracovnoprávnom vzťahu k poisťovni. V neposlednom rade odporúčame slová „ruší sa prokúra“ nahradiť slovami „prokúra zaniká“, čím sa sleduje záujem na priblížení textácie ustanovenia súčasnému § 75b ods. 2 Obchodného zákonníka. </w:t>
              <w:br/>
            </w:r>
            <w:r>
              <w:rPr>
                <w:b w:val="off"/>
                <w:color w:val="000000"/>
                <w:rFonts w:ascii="Times New Roman" w:hAnsi="Times New Roman" w:cs="Times New Roman" w:eastAsia="Times New Roman"/>
                <w:sz w:val="24"/>
              </w:rPr>
              <w:t>V rozsahu § 149 ods. 1 druhá až šiesta veta, je možné rozumieť dôvodom pre „pozastavenie“, resp. „prechod“ výkonu pôsobnosti predstavenstva v situácii zavedenej nútenej správy poisťovne na ustanoveného núteného správcu, ale nerozumieme a sú nám z predloženého materiálu neznáme dôvody, ktoré predkladateľa vedú k normovaniu „prechodu“ pôsobnosti dozornej rady poisťovne na núteného správcu. Uvedomujeme si, že uvedené pravidlo je už v existujúcej právnej úprave zakotvené, no to samo o sebe ešte neznamená, že bolo nevyhnutne zvolené správne. Dochádza tým k neželanej kumulácii navzájom sa vylučujúcich pôsobností, čo by bolo teoreticky akceptovateľné v situácii, keby príslušná osobitná právna úprava podrobne a dôkladne upravovala dohľad regulátora nad činnosťou (výkonom funkcie) núteného správcu, teda čiastočne kompenzovala absenciu efektívneho interného systému kontroly, čo však nie je tento prípad. Nútený správca je teda v zmysle navrhovanej právnej úpravy viazaný „len“ obmedzeniami uvedenými v rozhodnutí o zavedení nútenej správy (ktoré však nie je možné v prípade potreby efektívne meniť alebo dopĺňať) alebo v zmluve o výkone funkcie (ktorú je možné ako dvojstranný právnych úkon meniť len v prípade dosiahnutia konsenzu). Prakticky sa tak limitujú v prípade výhrad alebo nespokojnosti s výkonom funkcie núteného správcu možnosti regulátora len na jeho odvolanie, čo nepovažujeme za praktický a efektívny prístup. Rovnako sú limitované aj možnosti postihu za porušenie jeho povinností pri výkone nútenej správy „len“ na zmluvné sankčné mechanizmy. Naviac ako potencionálny problém sa javí posledná veta ustanovenia v znení „Pri výkone pôsobnosti predstavenstva a dozornej rady sa na núteného správcu nevzťahuje osobitný predpis.73)“. Má teda dôjsť k prechodu pôsobnosti predstavenstva a dozornej rady na núteného správcu, ale výkon tejto prenesenej pôsobnosti ako aj jej rozsah a ďalšie súvisiace otázky nie je možné odvodzovať z ustanovení Obchodného zákonníka, rovnako ani zodpovednosť za jej prípadné porušenia. V takej situácii sa nám javí ako nanajvýš potrebné ju komplexne zadefinovať a upraviť priamo v zákone č. 39/2015 Z. z. o poisťovníctve a o zmene a doplnení niektorých zákonov v znení neskorších predpisov (ďalej len „zákon č. 39/2015 Z. z.), inak je rozsah pôsobnosti nejasný a neurčitý.</w:t>
              <w:br/>
            </w:r>
            <w:r>
              <w:rPr>
                <w:b w:val="off"/>
                <w:color w:val="000000"/>
                <w:rFonts w:ascii="Times New Roman" w:hAnsi="Times New Roman" w:cs="Times New Roman" w:eastAsia="Times New Roman"/>
                <w:sz w:val="24"/>
              </w:rPr>
              <w:t xml:space="preserve">V rozsahu § 149 ods. 1 štvrtá veta, ktorá sa uvádza v znení „Tým nie je dotknuté právo predstavenstva podať opravné prostriedky alebo žalobu proti rozhodnutiu o zavedení nútenej správy.“ odporúčame predkladateľovi v ustanovení § 149 ods.  1 radiť ako novú tretiu vetu a prípadne ju odporúčame  formulovať ako časť druhej vety za bodkočiarkou, a to vzhľadom na použitie príslovkového určenia „tým“, ktoré bežne odkazuje na predchádzajúce ustanovenia, resp. vety, čo v tomto prípade vecne nie celkom nadväzuje na znenie aktuálnej tretej vety ustanovenia. Uvedenou úpravou sa dosiahne lepšia vnútorná nadväznosť ustanovení a zároveň jednoznačná väzba na úpravu otázky „zostatkovej“ pôsobnosti predstavenstva (nie na pozastavenie plynutia funkčného obdobia). </w:t>
              <w:br/>
            </w:r>
            <w:r>
              <w:rPr>
                <w:b w:val="off"/>
                <w:color w:val="000000"/>
                <w:rFonts w:ascii="Times New Roman" w:hAnsi="Times New Roman" w:cs="Times New Roman" w:eastAsia="Times New Roman"/>
                <w:sz w:val="24"/>
              </w:rPr>
              <w:t>V závere odporúčame predkladateľovi opraviť nesprávne uvádzanú citáciu ustanovení Obchodného zákonníka v odkaze 73 v poznámke pod čiarou.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v zmysle uvedenej pripomienky do veľkej miery vyprecizovaný. Zároveň však uvádzame, že prejdením pôsobnosti dozornej rady na núteného správcu nezaniká predmetný subjekt ako subjekt dohľadu Národnej banky Slovenska, ktorá ho v priebehu nútenej správy monitoruje so zvýšeným dôrazom a je zároveň v pravidelnej komunikácií s núteným správcom. Rovnako nie je jediným nástrojom na nápravu nepriaznivého stavu odvolanie núteného správcu alebo jeho zástupcu (resp. zmluvné sankčné mechanizmy) – Národná banka Slovenska môže týmto osobám rovnako uložiť sankciu (pokutu) na základe § 139 ods. 6 písm. a) zákona o poisťovníctve resp. § 144 ods. 7 zákona o cenných papieroch a investičných službách a tým docieliť primeranú nápravu bez potreby jeho odvolania.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197. (§ 158 ods. 5) návrhu zákona</w:t>
              <w:br/>
            </w:r>
            <w:r>
              <w:rPr>
                <w:b w:val="off"/>
                <w:color w:val="000000"/>
                <w:rFonts w:ascii="Times New Roman" w:hAnsi="Times New Roman" w:cs="Times New Roman" w:eastAsia="Times New Roman"/>
                <w:sz w:val="24"/>
              </w:rPr>
              <w:t>Odporúčame predkladateľovi slová „začatia likvidácie poisťovne alebo zaisťovne podľa § 161“ nahradiť slovami „vstupu poisťovne alebo zaisťovne do likvidácie podľa § 159 ods. 2“. Rozhodným momentom, ku ktorému sa začína proces likvidácie totiž vzhľadom na definované účinky rozhodnutia o odobratí povolenia v § 159 ods. 2, má byť moment právoplatnosti rozhodnutia o odobratí povolenia, nie deň zápisu likvidátora do obchodného registra. Zápis likvidácie v obchodnom registri teda z podstaty úpravy bude môcť mať „len“ deklaratórne účinky a ako dátum začatia likvidácie v obchodnom registri bude nevyhnutne uvádzať práve deň právoplatnosti rozhodnutia o odobratí povolenia, nie deň jej zápisu.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198. (§ 159) návrhu zákona</w:t>
              <w:br/>
            </w:r>
            <w:r>
              <w:rPr>
                <w:b w:val="off"/>
                <w:color w:val="000000"/>
                <w:rFonts w:ascii="Times New Roman" w:hAnsi="Times New Roman" w:cs="Times New Roman" w:eastAsia="Times New Roman"/>
                <w:sz w:val="24"/>
              </w:rPr>
              <w:t>V súvislosti so znením ustanovenia § 159 ods. 2 a 5 v spojení s § 160 ods. 3 (novelizačný bod 200.) si dovoľujeme predkladateľa upozorniť, že v situácii zrušenia poisťovne, resp. zaisťovne z osobitného dôvodu spočívajúceho v odobratí povolenia na vykonávanie poisťovacej (zaisťovacej) činnosti, nie je podľa nášho názoru správne normovať oprávnenie Národnej banky Slovenska ako oprávnenie na „vymenovanie“ likvidátora, ale toto by vzhľadom na obchodnoprávnu teóriu malo byť normované ako oprávnenie na „ustanovenie“ likvidátora, keďže v teórii sa rozlišujú rôzne spôsoby ustanovenia do funkcie a menovanie, resp. vymenovanie ako jeden zo spôsobov nevyhnutne predpokladá voľbu a vnútro-korporačný akt (t. j. prejav vôle príslušného orgánu spoločnosti, do ktorého pôsobnosti zákon, zakladateľský akt alebo stanovy danú otázku zverujú), čo nie je tento prípad. Uvedená pripomienka sa vzťahuje rovnako aj na čl. II, bod 2. (§ 60 ods. 3)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200. (§ 160 ods. 3) návrhu zákona</w:t>
              <w:br/>
            </w:r>
            <w:r>
              <w:rPr>
                <w:b w:val="off"/>
                <w:color w:val="000000"/>
                <w:rFonts w:ascii="Times New Roman" w:hAnsi="Times New Roman" w:cs="Times New Roman" w:eastAsia="Times New Roman"/>
                <w:sz w:val="24"/>
              </w:rPr>
              <w:t xml:space="preserve">Predkladateľ si v navrhovanom ustanovení kladie za cieľ, aby aj pri „všeobecných“ dôvodoch núteného zrušenia poisťovne (zaisťovne) rozhodnutím súdu podľa § 68b Obchodného zákonníka (teda nielen pri osobitnom dôvode zrušenia v dôsledku rozhodnutia o odobratí povolenia podľa § 158 a nového § 159) bola právomoc ustanoviť likvidátora zverená Národnej banke Slovenska a nie príslušnému orgánu spoločnosti, resp. pri jeho „neaktivite“ súdu (tak ako je tomu všeobecne na podklade § 71 Obchodného zákonníka pri absencii osobitnej zákonnej úpravy). </w:t>
              <w:br/>
            </w:r>
            <w:r>
              <w:rPr>
                <w:b w:val="off"/>
                <w:color w:val="000000"/>
                <w:rFonts w:ascii="Times New Roman" w:hAnsi="Times New Roman" w:cs="Times New Roman" w:eastAsia="Times New Roman"/>
                <w:sz w:val="24"/>
              </w:rPr>
              <w:t xml:space="preserve">V prvom rade zo znenia normy a jej jazykovo-štylistického vyjadrenia nie je výslovne zrejmé, že jej sledovaným cieľom je len regulácia prípadov núteného zrušenia poisťovne (zaisťovne) súdom, tak ako to predkladateľ bližšie v osobitnej časti dôvodovej správy ozrejmuje. Navrhované znenie podľa nášho názoru bez nevyhnutného spresnenia postihuje aj prípady dobrovoľného zrušenia poisťovne (zaisťovne) s likvidáciou (rozhodnutím príslušného orgánu poisťovne), pričom pre takýto odklon a obmedzenie autonómie vôle v prípade dobrovoľného zrušenia poisťovne (zaisťovne) nevidíme žiadne relevantné dôvody. Keďže v osobitnej časti dôvodovej správy predkladateľ výslovne uvádza, že je úmyslom regulovať len otázku núteného zrušenia a naň nadväzujúcej likvidácie, odporúčame v rozsahu navrhovanej hypotézy ustanovenia túto spresniť napr. použitím predvetia „(3) Ak bola poisťovňa alebo zaisťovňa zrušená rozhodnutím súdu podľa osobitného zákonaX)“ so zavedením nového odkazu v poznámke pod čiarou na § 68b Obchodného zákonníka. Zároveň odporúčame predkladateľovi vysporiadať sa v návrhu ustanovenia aj s otázkou, čo sa má stať v prípade, ak poisťovňa (zaisťovňa) nepožiada Národnú banku Slovenska o ustanovenie likvidátora (čo je v praxi veľmi realistický scenár) alebo síce požiada a Národná banka Slovenska likvidátora ustanoví, no nedôjde k podaniu návrhu na zápis likvidátora do obchodného registra včas, a to vo väzbe na § 71 ods. 2 Obchodného zákonníka v spojení s § 309f Civilného mimosporového poriadku (teda pred zverejnením oznámenia o predpoklade úpadku a pred naň nadväzujúcim rozhodnutím súdu o výmaze spoločnosti z obchodného registra). </w:t>
              <w:br/>
            </w:r>
            <w:r>
              <w:rPr>
                <w:b w:val="off"/>
                <w:color w:val="000000"/>
                <w:rFonts w:ascii="Times New Roman" w:hAnsi="Times New Roman" w:cs="Times New Roman" w:eastAsia="Times New Roman"/>
                <w:sz w:val="24"/>
              </w:rPr>
              <w:t>Našou snahovou pri formulovaní uvedených výhrad je eliminácia situácií, kedy by v databáze obchodného registra boli vedené formálne zrušené subjekty, ktoré sú nekontaktné a nemáme pri nich v zákonnej úprave (či už všeobecnej alebo osobitnej) vytvorený proces pre ich konečný výmaz z obchodného registra, prípadne eliminácia situácii, kedy by z príslušnej právnej úpravy nebolo jasné či je alebo nie je vylúčený postup podľa § 309f až 309i Civilného mimosporového poriadku. Ak teda predkladateľ má záujem osobitne upraviť likvidáciu vrátane otázky ustanovovania likvidátora pri osobitne regulovaných subjektoch, čo v zásade možné je, tak je potrebné, aby tak predkladateľ urobil dôsledne a predmetné otázky reguloval vo svojej celistvosti. Pokiaľ sa z celého systému všeobecnej regulácie vyjmú len dielčie otázky a zvyšok zostane neregulovaný, resp. o zvyšku osobitný zákon mlčí, vzniká pochybnosť, či v takom prípade má dôjsť (na podklade ustanovenia § 761 ods. 4 Obchodného zákonníka) k subsidiárnej aplikácii ustanovení Obchodného zákonníka (napr. § 71 ods. 2), resp. v akom rozsahu, ani aký dopad má táto osobitná úprava na aplikáciu súvisiacich ustanovení Civilného mimosporového poriadku (najmä § 309f a nasl.). Odporúčame preto predkladateľovi vysporiadať sa v návrhu zákona s predmetnými otázkami.</w:t>
              <w:br/>
            </w:r>
            <w:r>
              <w:rPr>
                <w:b w:val="off"/>
                <w:color w:val="000000"/>
                <w:rFonts w:ascii="Times New Roman" w:hAnsi="Times New Roman" w:cs="Times New Roman" w:eastAsia="Times New Roman"/>
                <w:sz w:val="24"/>
              </w:rPr>
              <w:t>Uvedenú pripomienku uplatňujeme rovnako vo vzťahu k čl. II., bodu 2. (§ 60 ods. 3) v spojení s bodom 26. (§ 157a ods. 10)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bol v zmysle uvedenej pripomienky do veľkej miery vyprecizovaný. V zmysle príslušných sektorových zákonov nie je štandardne prípustné dobrovoľné zrušenie regulovaného subjektu rozhodnutím príslušného štatutárneho orgánu (napr. § 218 ObZ), keďže predmetný subjekt potrebuje na dobrovoľný odchod z trhu predchádzajúci súhlas Národnej banky Slovenska na vrátenie povolenia (§ 77 ods. 1 písm. d) zákona o poisťovníctve resp. § 70 ods. 1 písm. e) zákona o cenných papieroch a investičných službách). Pre vylúčenie pochybností bol do návrhu zákonu doplnený explicitný zákaz takéhoto postupu pokiaľ má predmetná právnická osoba platné povolenie na výkon regulovanej činnosti (či už poisťovacej alebo investičnej), ktorý už prakticky vyplýva aj z aktuálne platného znenia dotknutých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201. a 202. (§ 160a a 161) návrhu zákona – všeobecná pripomienka</w:t>
              <w:br/>
            </w:r>
            <w:r>
              <w:rPr>
                <w:b w:val="off"/>
                <w:color w:val="000000"/>
                <w:rFonts w:ascii="Times New Roman" w:hAnsi="Times New Roman" w:cs="Times New Roman" w:eastAsia="Times New Roman"/>
                <w:sz w:val="24"/>
              </w:rPr>
              <w:t xml:space="preserve">Rozumieme dôvodom, ktoré predkladateľa vedú k takejto osobitnej právnej úprave, dovoľujeme si však uviesť, že jednotlivé ustanovenia nie sú podľa nášho názoru správne systematicky usporiadané tak, aby na seba logicky nadväzovali a rovnako obsah úpravy ustanovenia § 160a nie úplne zodpovedá použitému nadpisu pod paragrafom („Vymenovanie likvidátora“), keďže reguluje aj dielčie otázky náležitého výkonu funkcie likvidátora (prvok odbornosti ako aj lojality) a jeho odvolanie. Odporúčame predkladateľovi prehodnotiť systematické radenie ustanovení, ako vhodnejšie sa javí úpravu § 160a zaradiť až za § 161 a prípadne ju rozčleniť do viacerých samostatných paragrafov. Odhliadnuc od skôr uvedených návrhov na systematické úpravy, to, čo je však z nášho pohľadu podstatné, je koncepčné prehodnotenie konštrukcie týchto ustanovení. Rozumieme dôvodom, prečo predkladateľ navrhuje zásadné prepracovanie a zmenu ustanovení o likvidácii, odporúčame však túto normovať všeobecne, tzn. nielen vo väzbe na odobratie povolenia, nakoľko takto úprava pôsobí neprimerane kazuisticky a zužujúco, pričom z dotknutých ustanovení (§ 160 ods. 3, § 160a ods. 9 a 10 ako aj § 161 ods. 12) je zrejmé, že je úmyslom predkladateľa túto úpravu aplikovať aj na prípady likvidácie poisťovne (zaisťovne) nadväzujúce na iné dôvody núteného zrušenia ako odobratie povolenia na vykonávanie činnosti podľa § 158 v spojení s § 159. Uvedené by pomohlo vyriešiť a odstrániť nejasnosti ohľadom toho, či sa uvedená právna úprava má vzťahovať aj na prípady dobrovoľného zrušenia spoločnosti. Ak totiž ustanovenia o likvidácii (§ 160a ods. 10 a §  161 ods. 12) používajú odkaz na § 160 ods. 1 písm. a), ktorý všeobecne normuje, že k zániku povolenia dochádza aj v situáciách zrušenia poisťovne (zaisťovne) z iného dôvodu ako odobratím povolenia, nevyhnutne to vedie k záveru, že aj pri iných dôvodoch núteného zrušenia avšak aj pri dobrovoľnom zrušení, sa má aplikovať táto osobitná právna úprava, čo nie celkom korešponduje so zámerom predkladateľa vysloveným v osobitnej časti dôvodovej správy, kde sa uvádza zámer regulovať „len“ prípady núteného zrušenia súdom (§ 68b Obchodného zákonníka). </w:t>
              <w:br/>
            </w:r>
            <w:r>
              <w:rPr>
                <w:b w:val="off"/>
                <w:color w:val="000000"/>
                <w:rFonts w:ascii="Times New Roman" w:hAnsi="Times New Roman" w:cs="Times New Roman" w:eastAsia="Times New Roman"/>
                <w:sz w:val="24"/>
              </w:rPr>
              <w:t xml:space="preserve">V neposlednom rade naša ďalšia významná výhrada spočíva v skutočnosti, že tieto prípady núteného zrušenia poisťovne (zaisťovne) budú vyňaté spod aplikácie § 769 ods. 2 Obchodného zákonníka (a teda všetky zverejnenia, ku ktorým dochádza v rámci procesu likvidácie, sa budú realizovať mimo insolvenčného registra), keďže likvidátora nebude ustanovovať súd, ale Národná banka Slovenska. Aj keby existovali dôvody pre takýto odklon, o čom máme pochybnosti, je podľa nášho názoru potrebné v osobitnej úprave zákona č. 39/2015 Z. z. vyriešiť predmetnú otázku výslovne. </w:t>
              <w:br/>
            </w:r>
            <w:r>
              <w:rPr>
                <w:b w:val="off"/>
                <w:color w:val="000000"/>
                <w:rFonts w:ascii="Times New Roman" w:hAnsi="Times New Roman" w:cs="Times New Roman" w:eastAsia="Times New Roman"/>
                <w:sz w:val="24"/>
              </w:rPr>
              <w:t>Uvedenú pripomienku uplatňujeme rovnako vo vzťahu k čl. II., bodu 26. a 27. (§ 157a a 158)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bol v zmysle uvedenej pripomienky do veľkej miery vyprecizovaný. V zmysle príslušných sektorových zákonov nie je štandardne prípustné dobrovoľné zrušenie regulovaného subjektu rozhodnutím príslušného štatutárneho orgánu (napr. § 218 ObZ), keďže predmetný subjekt potrebuje na dobrovoľný odchod z trhu predchádzajúci súhlas Národnej banky Slovenska na vrátenie povolenia (§ 77 ods. 1 písm. d) zákona č. 39/2015 Z. z. o poisťovníctve a o zmene a doplnení niektorých zákonov, resp. § 70 ods. 1 písm. e) zákona č. 566/2001 Z. z. o cenných papieroch a investičných službách a o zmene a doplnení niektorých zákonov (zákon o cenných papieroch)). Návrhom zákona sa zjednocuje prístup k ustanovovaniu likvidátora v rámci finančného trhu a na to nadväzujúcich procesov v rámci procesu likvidácie, a to vrátane zverejňovania údajov o tomto procese (viď zákon č. 483/2001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201. (§ 160a ods. 1) návrhu zákona</w:t>
              <w:br/>
            </w:r>
            <w:r>
              <w:rPr>
                <w:b w:val="off"/>
                <w:color w:val="000000"/>
                <w:rFonts w:ascii="Times New Roman" w:hAnsi="Times New Roman" w:cs="Times New Roman" w:eastAsia="Times New Roman"/>
                <w:sz w:val="24"/>
              </w:rPr>
              <w:t xml:space="preserve">Tak ako skôr uvádzame v pripomienke k čl. I, bodu 198. (§ 159), chceme predkladateľa upozorniť, že v situácii zrušenia poisťovne, resp. zaisťovne z osobitného dôvodu spočívajúceho v odobratí povolenia na vykonávanie poisťovacej (zaisťovacej) činnosti, nie je podľa nášho názoru správne normovať oprávnenie Národnej banky Slovenska ako oprávnenie na „vymenovanie“ likvidátora, ale toto by vzhľadom na obchodnoprávnu teóriu malo byť normované ako oprávnenie na „ustanovenie“ likvidátora, keďže v teórii sa rozlišujú rôzne spôsoby ustanovenia do funkcie a menovanie, resp. vymenovanie ako jeden zo spôsobov nevyhnutne predpokladá voľbu a vnútro-korporačný akt (t. j. prejav vôle príslušného orgánu spoločnosti, do ktorého pôsobnosti zákon, zakladateľský akt alebo stanovy danú otázku zverujú), čo nezodpovedá situácii regulovanej predmetným ustanovením.  </w:t>
              <w:br/>
            </w:r>
            <w:r>
              <w:rPr>
                <w:b w:val="off"/>
                <w:color w:val="000000"/>
                <w:rFonts w:ascii="Times New Roman" w:hAnsi="Times New Roman" w:cs="Times New Roman" w:eastAsia="Times New Roman"/>
                <w:sz w:val="24"/>
              </w:rPr>
              <w:t>Uvedenú pripomienku uplatňujeme rovnako vo vzťahu k čl. II., bodu 26. (§ 157a ods. 1)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201. (§ 160a ods. 2 a 3) návrhu zákona</w:t>
              <w:br/>
            </w:r>
            <w:r>
              <w:rPr>
                <w:b w:val="off"/>
                <w:color w:val="000000"/>
                <w:rFonts w:ascii="Times New Roman" w:hAnsi="Times New Roman" w:cs="Times New Roman" w:eastAsia="Times New Roman"/>
                <w:sz w:val="24"/>
              </w:rPr>
              <w:t>Z osobitnej časti dôvodovej správy nie sú zrejmé dôvody, ktoré predkladateľa vedú v § 160a ods. 2 druhej vete k normovaniu, že „osvedčením o vymenovaní likvidátora je originál dokladu o vymenovaní vydaný Národnou bankou Slovenska“. Ak je dôvodom potreba zabezpečiť „zápisový podklad“, tak týmto by podľa nášho názoru malo byť už samotné rozhodnutie o odobratí povolenia, ktoré by malo vo svojom druhom výroku ustanoviť likvidátora (tak ako to vyplýva z použitia slova „súčasne“ v znení § 160a ods. 1, ktoré de facto vedie ku koncentrácii dotknutých výrokov do jedného individuálneho (s)právneho aktu  –  rozhodnutia Národnej banky Slovenska o odobratí povolenia). Ustanovený likvidátor by sa po zápise zmeny zapisovaných údajov v obchodnom registri mal v kontakte s tretími stranami preukazovať „už len“ výpisom z obchodného registra, nevidíme teda ako nevyhnutne potrebné osobitne normovať vydanie osvedčenia o vymenovaní (ustanovení) do funkcie.</w:t>
              <w:br/>
            </w:r>
            <w:r>
              <w:rPr>
                <w:b w:val="off"/>
                <w:color w:val="000000"/>
                <w:rFonts w:ascii="Times New Roman" w:hAnsi="Times New Roman" w:cs="Times New Roman" w:eastAsia="Times New Roman"/>
                <w:sz w:val="24"/>
              </w:rPr>
              <w:t>V rozsahu úpravy § 160a ods. 2 si dovoľujeme upozorniť, že pri porovnaní tejto k všeobecnej regulácii, kedy likvidátora po nútenom zrušení a zložení preddavku na likvidáciu ustanovuje súd, je otázka zmluvného usporiadania práv a povinností likvidátora, výšky jeho odmeny a jej splatnosti a náhrady nákladov spojených s likvidáciou na širšiu odbornú diskusiu. Podľa nášho názoru je diskutabilné, či v danom koncepte je vhodné a správne normovať, že Národná banka Slovenska ako orgán verejnej moci, ktorého výkon právomocí v zásade viedol k zrušeniu poisťovne, má abstrahovať pôsobnosť príslušného orgánu poisťovne, do pôsobnosti ktorého spadá schválenie a uzatvorenie „zmluvy o výkone činnosti“ (funkcie) likvidátora. Rozumieme tomu, že likvidácia takýchto osobitne regulovaných subjektov má svoje špecifiká, avšak vidíme v danej úprave významné riziká. Štandardne je otázka stanovenia odmeny likvidátora za výkon funkcie a náhrada výdavkov v situácii, keď tento bol ustanovený súdom (po predchádzajúcom nútenom zrušení spoločnosti) regulovaná vykonávacou vyhláškou k Obchodnému zákonníku (vyhláška MS SR  č. 193/2020 Z. z., ktorou sa vykonávajú niektoré ustanovenia Obchodného zákonníka o likvidácii), a to práve s poukazom na absenciu jednej zo zmluvných strán (spoločnosť), ktorej vôľa by mohla byť zmluvne formálne zachytená. Rieši sa tak prvok neexistujúcej dohody o výške odmeny, no v neposlednom rade aj objektívne absentujúca kontrola zo strany reziduálnych vlastníkov (akcionárov) likvidovanej spoločnosti nad výkonom funkcie likvidátora. Ustanovenie § 160a ods. 1 v spojení s § 160a ods. 4 a 9 a úprava „uzavretia zmluvy o výkone činnosti“ s ustanoveným likvidátorom tak opodstatnene vyvoláva dojem, že Národná banka Slovenska tým na seba nevyhnutne preberá aj súvisiacu zodpovednosť za efektívny a aktívny výkon kontroly nad činnosťou likvidátora, a to nielen voči reziduálnym vlastníkom (bývalým akcionárom), ale aj tretím osobám (klientom, veriteľom, zamestnancom atď.). S ohľadom na skôr uvedené pôsobí úprava § 160a nevyvážene.</w:t>
              <w:br/>
            </w:r>
            <w:r>
              <w:rPr>
                <w:b w:val="off"/>
                <w:color w:val="000000"/>
                <w:rFonts w:ascii="Times New Roman" w:hAnsi="Times New Roman" w:cs="Times New Roman" w:eastAsia="Times New Roman"/>
                <w:sz w:val="24"/>
              </w:rPr>
              <w:t>Uvedenú pripomienku uplatňujeme rovnako vo vzťahu k čl. II., bodu 26. (§ 157a ods. 2 a 3)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zosúlaďuje likvidáciu regulovaných subjektov naprieč celým finančným trhom (viď zákon č. 483/2001 Z. z.). Účelom dohľadu nad finančným trhom je aj ochrana práv finančných spotrebiteľov, preto Národná banka Slovenska má v prípade likvidácie regulovaného subjektu relatívne silné oprávnenia spočívajúce v ustanovovaní likvidátora a v určovaní jeho odmeny. Na druhej strane sú uvedené oprávnenia preklopené aj do jej zodpovednosti, keďže má ako jediná právo likvidátora odvolať (navrhovaný § 161a ods. 8) a tiež nad ním v otázke priebehu likvidácie vykonáva dohľad (navrhovaný § 161 ods. 8). Aktuálna vyhláška MS SR  č. 193/2020 Z. z., ktorou sa vykonávajú niektoré ustanovenia Obchodného zákonníka o likvidácii je z pohľadu likvidácie regulovaných osôb v zásade nepoužiteľná, keďže úlohou likvidátora je najmä zistenie aktuálneho stavu predmetného subjektu a tiež s ohľadom na skutočnosť, že vstupom regulovaných subjektov do likvidácie štandardne zmluvy o finančných službách nezanikajú, a likvidátor tak musí v obmedzenej miere zabezpečiť aj výkon zostatkovej regulovanej činnosti (viď § 159 ods. 1, resp. § 189 ods. 2 zákona č. 39/2015 Z. z., § 157 ods. 1 zákona č. 566/2001 Z. z.), ako je napr. likvidácia poistných udalostí. Samostatná, resp. osobitná úprava odmeňovania likvidátora regulovaného subjektu je želaný stav, ktorý je aktuálne nad rámec predkladanej novely. Samostatná, resp. osobitná úprava likvidácie a nútenej správy pre subjekty finančného trhu a s tým súvisiaca profesionalizácia nútených správcov a likvidátorov týchto subjektov je želaný stav, ktorý si však vyžaduje rozsiahlejšiu diskusiu naprieč celým finančným sektorom a v budúcnosti sa ňou MF SR má v pláne podrobnejšie zaoberať.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201. (§ 160a ods. 4) návrhu zákona</w:t>
              <w:br/>
            </w:r>
            <w:r>
              <w:rPr>
                <w:b w:val="off"/>
                <w:color w:val="000000"/>
                <w:rFonts w:ascii="Times New Roman" w:hAnsi="Times New Roman" w:cs="Times New Roman" w:eastAsia="Times New Roman"/>
                <w:sz w:val="24"/>
              </w:rPr>
              <w:t>V rozsahu § 160a ods. 4 druhá veta odporúčame prekladateľovi za slová „vylúčená z výkonu“ vložiť slovo „funkcie“ a slovo „likvidácie“ nahradiť slovom „likvidátora“.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201. (§ 160a ods. 9 posledná veta) návrhu zákona</w:t>
              <w:br/>
            </w:r>
            <w:r>
              <w:rPr>
                <w:b w:val="off"/>
                <w:color w:val="000000"/>
                <w:rFonts w:ascii="Times New Roman" w:hAnsi="Times New Roman" w:cs="Times New Roman" w:eastAsia="Times New Roman"/>
                <w:sz w:val="24"/>
              </w:rPr>
              <w:t>V rozsahu § 160a ods. 9 posledná veta odporúčame predkladateľovi predmetnú úpravu normovať po vzore skorších ustanovení (pozri napr. § 154 ods. 1, § 159 ods. 5), teda nie samostatnou vetou, ale ako  časť druhej vety za bodkočiarkou. Zároveň chceme uviesť, že vzhľadom na v ustanovení § 159 ods. 2 osobitne definované účinky právoplatného rozhodnutia Národnej banky Slovenska o odobratí povolenia na vykonávanie poisťovacej (zaisťovacej) činnosti, zápis likvidátora do obchodného registra nebude mať účinky vstupu spoločnosti do likvidácie tak ako ich všeobecne s týmto zápisom spája Obchodný zákonník (§ 70 ods. 3). Z uvedeného dôvodu by sa posledná veta ustanovenia nemala normovať slovami „pri zápise vstupu poisťovne alebo zaisťovne do likvidácie“, nakoľko to pôsobí mätúco.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202. (§ 161) návrhu zákona</w:t>
              <w:br/>
            </w:r>
            <w:r>
              <w:rPr>
                <w:b w:val="off"/>
                <w:color w:val="000000"/>
                <w:rFonts w:ascii="Times New Roman" w:hAnsi="Times New Roman" w:cs="Times New Roman" w:eastAsia="Times New Roman"/>
                <w:sz w:val="24"/>
              </w:rPr>
              <w:t>V prvom rade chceme uviesť, že rozumieme snahe predkladateľa o vyjasnenie vzťahu všeobecnej úpravy procesu likvidácie podľa Obchodného zákonníka a osobitej úpravy procesu likvidácie podľa zákona č. 39/2015 Z. z. v § 161 ods. 1 a túto v zásade podporujeme. Je však v tejto súvislosti potrebné upozorniť, že § 161 ods. 1 sa javí ako nadbytočný s poukazom na § 761 ods. 4 Obchodného zákonníka. Ustanovenie § 761 ods. 4 Obchodného zákonníka totiž stavia vzťah oboch predpisov v otázke tejto úpravy do roviny, že Obchodný zákonník v situácii, ak osobitný predpis nereguluje konkrétnu otázku odlišne od všeobecnej úpravy alebo o nej mlčí, vypĺňa všetky „prázdne miesta“. Ustanovenie § 161 ods. 1 teda pôsobí ako odraz § 761 ods. 4 Obchodného zákonníka, čo nie je vzhľadom na duplicitu pravidla v zásade želateľné. Podľa nášho názoru by v ustanovení § 161 ods. 1 mal predkladateľ (ak je to jeho zámerom) vyjadriť pravý opak, t. j. uviesť výpočet tých všeobecných ustanovení Obchodného zákonníka, ktoré by sa na proces likvidácie mali aplikovať práve z dôvodu, že osobitná úprava o nich mlčí, avšak z podstaty úpravy predkladateľ nechce, aby sa na proces likvidácie poisťovne (zaisťovne) použili (ako príklad uvádzame napr. § 71 ods. 2 Obchodného zákonníka). Vylúčené zo subsidiárnej aplikácie totiž sú (budú) všetky tie ustanovenia všeobecnej úpravy, kde v osobitnej úprave existuje ich „dvojička“, ako aj tie ustanovenia, ktorých aplikáciu predkladateľ v osobitnej úprave výslovne vylúči; zvyšné ustanovenia všeobecnej úpravy, o ktorých osobitná úprava mlčí, sa budú aplikovať na princípe vzťahu definovanému v § 761 ods. 4 Obchodného zákonníka. Uvedenú pripomienku uplatňujeme rovnako vo vzťahu k čl. II., bodu 27. (§ 158 ods. 1) návrhu zákona.</w:t>
              <w:br/>
            </w:r>
            <w:r>
              <w:rPr>
                <w:b w:val="off"/>
                <w:color w:val="000000"/>
                <w:rFonts w:ascii="Times New Roman" w:hAnsi="Times New Roman" w:cs="Times New Roman" w:eastAsia="Times New Roman"/>
                <w:sz w:val="24"/>
              </w:rPr>
              <w:t>V rozsahu § 161 ods. 7 v spojení s § 161 ods. 3 návrhu zákona pôsobí ustanovenie rozporuplno. Dá sa rozumieť potrebe normovania uvedeného pravidla o „osobitných oprávneniach“ likvidátora pri zisťovaní majetku, toto však aj s poukazom na naše výhrady formulované skôr vo všeobecnej pripomienke k § 160a a 161 návrhu zákona, neupravuje oprávnenia likvidátora priamo a výslovne, ale odkazom na konkurznú právnu úpravu, ktorá je však aj vzhľadom na fakt, že je určená pre druhovo iný typ procesu, budovaná na iných východiskových princípoch. Takéto približovanie úpravy likvidácie konkurznej úprave nemusí nevyhnutne viesť k želaným a zamýšľaným následkom, nakoľko sa z jedného uceleného komplexu noriem odkazom „preberá“ len regulácia dielčej otázky, ktorá bez ďalšieho nemusí byť schopná v kontexte inej osobitnej úpravy samostatne efektívne fungovať.</w:t>
              <w:br/>
            </w:r>
            <w:r>
              <w:rPr>
                <w:b w:val="off"/>
                <w:color w:val="000000"/>
                <w:rFonts w:ascii="Times New Roman" w:hAnsi="Times New Roman" w:cs="Times New Roman" w:eastAsia="Times New Roman"/>
                <w:sz w:val="24"/>
              </w:rPr>
              <w:t>Uvedenú pripomienku uplatňujeme rovnako vo vzťahu k čl. II,  bodu 27. (§ 158 ods. 6)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225. návrhu zákona (§ 188 ods. 6)</w:t>
              <w:br/>
            </w:r>
            <w:r>
              <w:rPr>
                <w:b w:val="off"/>
                <w:color w:val="000000"/>
                <w:rFonts w:ascii="Times New Roman" w:hAnsi="Times New Roman" w:cs="Times New Roman" w:eastAsia="Times New Roman"/>
                <w:sz w:val="24"/>
              </w:rPr>
              <w:t>Odporúčame predkladateľovi na konci pripojiť nasledujúce spresňujúce slová „s jednostupňovým systémom správy a riadenia“. Zároveň dávame na zváženie, a to v závislosti od kontextu jednotlivých ustanovení zákona č. 39/2015 Z. z. týkajúcich sa členov predstavenstva, ktoré sa majú v dôsledku § 188 ods. 6 rovnako aplikovať na správnu radu poisťovne, doplnenie legálnej definície aj o výkonného riaditeľa, resp. výkonných riaditeľov, ktorých môže správna rada poveriť výkonom obchodného vedenia poisťovne zriadenej vo forme európskej spoločnosti. Napríklad, ak teda zákon č. 39/2015 Z. z. kladie na členov predstavenstva poisťovne (zaisťovne) isté požiadavky na odbornosť, kvalifikáciu alebo dôveryhodnosť, je na mieste vyhodnotiť v akom rozsahu by sa tieto mali rovnako aplikovať aj na ustanoveného výkonného riaditeľa.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Postavenie výkonného riaditeľa resp. generálneho riaditeľa vo vzťahu k navrhovanej úprave § 188 ods. 6 nie je potrebné, nakoľko táto pozícia je zahrnutá už vo vymedzení pojmov v § 5 písm. al) piaty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226. návrhu zákona (§ 189 ods. 2)</w:t>
              <w:br/>
            </w:r>
            <w:r>
              <w:rPr>
                <w:b w:val="off"/>
                <w:color w:val="000000"/>
                <w:rFonts w:ascii="Times New Roman" w:hAnsi="Times New Roman" w:cs="Times New Roman" w:eastAsia="Times New Roman"/>
                <w:sz w:val="24"/>
              </w:rPr>
              <w:t>V rozsahu úpravy § 189 ods. 2 druhá veta sa javí ako vhodnejšie jej zapracovanie do ustanovení o likvidácii, a to najmä s poukazom na skutočnosť, že prevod poistného (zaistného) kmeňa je už v predloženom návrhu zákona v procese likvidácie predpokladaný v ustanovení § 161 ods. 4, a to nielen vo vzťahu k „právnickej osobe, ktorej bolo odobraté povolenie“, ale aj vo vzťahu k právnickej osobe, ktorej povolenie zaniklo podľa § 160 ods. 1 písm. a) (§ 161 ods. 12), ale aj s poukazom na úpravu účinkov rozhodnutia o odobratí povolenia v § 159 ods. 2, kedy právoplatnosťou takéhoto rozhodnutia spoločnosť automaticky vstupuje do likvidácie. Z úpravy je zrejmé, že prípadný prevod poistného (zaistného) kmeňa sa v tomto prípade bude uskutočňovať počas procesu likvidácie.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legislatívneho procesu na portáli Slov-lex</w:t>
              <w:br/>
            </w:r>
            <w:r>
              <w:rPr>
                <w:b w:val="off"/>
                <w:color w:val="000000"/>
                <w:rFonts w:ascii="Times New Roman" w:hAnsi="Times New Roman" w:cs="Times New Roman" w:eastAsia="Times New Roman"/>
                <w:sz w:val="24"/>
              </w:rPr>
              <w:t>Odporúčame predkladateľovi na portáli Slov-lex upraviť v metadátach o príslušnom legislatívnom procese názov materiálu tak, aby z neho vyplývalo, že ide o „návrh“ zákona, nie o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3 (§ 73w ods. 2 a 3)</w:t>
              <w:br/>
            </w:r>
            <w:r>
              <w:rPr>
                <w:b w:val="off"/>
                <w:color w:val="000000"/>
                <w:rFonts w:ascii="Times New Roman" w:hAnsi="Times New Roman" w:cs="Times New Roman" w:eastAsia="Times New Roman"/>
                <w:sz w:val="24"/>
              </w:rPr>
              <w:t>Žiadame z § 73w vypustiť odsek 2,  odsek 3 označiť ako odsek 2 a vypustiť z neho slová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odsek 2 a slová za bodkočiarkou v odseku 3 sú nadbytočné, pričom navyše vytvárajú interpretačnú neistotu a môžu vyvolať mylný dojem, že na dlhodobé investičné sporenie sa uplatňujú osobitné pravidlá o nákladoch a poplatkoch mimo rámca MiFID 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Žiadame do čl. II doplniť novelizačný bod upravujúci prechodné ustanovenie k úpravám účinným od 30. januára 2027, ktorý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došlo k odobratiu povolenia na poskytovanie investičných služieb alebo k zániku povolenia podľa § 60 ods. 1 písm. a)  pred 30. januárom 2027 a príslušný súd do 1. marca 2027 nerozhodol o návrhu Národnej banky Slovenska na zrušenie a likvidáciu dotknutej právnickej osoby a o návrhu na vymenovanie likvidátora, uplynutím tejto lehoty sa dotknutá právnická osoba zrušuje a vstupuje do likvidácie; likvidátora vymenuje Národná banka Slovenska postupom podľa § 157a a na likvidáciu sa použijú ustanovenia § 158.“.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možných začatých konaní je nevyhnutné upraviť prechodné ustanovenia k novým ustanoveniam o likvidácii a vymenovávaní likvidátora rovnako ako v čl.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zákona</w:t>
              <w:br/>
            </w:r>
            <w:r>
              <w:rPr>
                <w:b w:val="off"/>
                <w:color w:val="000000"/>
                <w:rFonts w:ascii="Times New Roman" w:hAnsi="Times New Roman" w:cs="Times New Roman" w:eastAsia="Times New Roman"/>
                <w:sz w:val="24"/>
              </w:rPr>
              <w:t xml:space="preserve">Odporúčame návrh zákona predložiť do vnútrokomunitárneho pripomienkového konania a túto informáciu uviesť vo všeobecnej časti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predloženom návrhu zákona sa na viacerých miestach menia alebo rozširujú kompetencie Národnej banky Slovenska, napríklad:</w:t>
              <w:br/>
            </w:r>
            <w:r>
              <w:rPr>
                <w:b w:val="off"/>
                <w:color w:val="000000"/>
                <w:rFonts w:ascii="Times New Roman" w:hAnsi="Times New Roman" w:cs="Times New Roman" w:eastAsia="Times New Roman"/>
                <w:sz w:val="24"/>
              </w:rPr>
              <w:t xml:space="preserve">•	Čl. I novelizačný bod 201, 202, 235 - nový § 160a a § 161, § 205d ods. 9 a 10 a nadväzujúce (napríklad novelizačný bod 200 - § 160 nový odsek 3),  </w:t>
              <w:br/>
            </w:r>
            <w:r>
              <w:rPr>
                <w:b w:val="off"/>
                <w:color w:val="000000"/>
                <w:rFonts w:ascii="Times New Roman" w:hAnsi="Times New Roman" w:cs="Times New Roman" w:eastAsia="Times New Roman"/>
                <w:sz w:val="24"/>
              </w:rPr>
              <w:t xml:space="preserve">•	Čl. II novelizačný bod 5 - § 147 nový odsek 3 a novelizačný bod 16 - § 149 ods. 2 druhá veta, </w:t>
              <w:br/>
            </w:r>
            <w:r>
              <w:rPr>
                <w:b w:val="off"/>
                <w:color w:val="000000"/>
                <w:rFonts w:ascii="Times New Roman" w:hAnsi="Times New Roman" w:cs="Times New Roman" w:eastAsia="Times New Roman"/>
                <w:sz w:val="24"/>
              </w:rPr>
              <w:t>•	Čl. II novelizačný bod 26 - nový § 157a a nadväzujúce (napríklad novelizačný bod 2 - § 60 nový odsek 3 a novelizačný bod 27 - § 158).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Zvlášť pokiaľ ide o prenesenie právomoci vymenovať a odvolať likvidátora výlučne na Národnú banku Slovenska (mimo bežného režimu súdnych menovaní), súlad takéhoto mechanizmu s právom EÚ vyplýva z bodu 1 výroku rozsudku Súdneho dvora EÚ vo veci C 427/19. Navrhuje sa, aby likvidátora vyberala a menovala samotná Národná banka Slovenska namiesto súdneho mechanizmu prostredníctvom náhodného výberu zo správcov. Vzťah medzi Národnou bankou Slovenska a likvidátorom sa upraví v zmluve o výkone činnosti, ktorá podrobnejšie vymedzí najmä jeho práva a povinnosti, výšku jeho odmeny a jej splatnosť a náhrad nákladov spojených s likvidáciou. Mechanizmus menovania likvidátora je ponechaný  na vnútroštátne právo, t. j. uvedená úprava predstavuje neharmonizovanú úpravu, ktorou sa zároveň ukladá nová úloha Národnej banke Slovenska. Zároveň sa v zmysle Čl. II bod 5 dopĺňajú dôvody, kedy má Národná banka Slovenska možnosť zaviesť nútenú správu. Taktiež sa bodom 16 zavádza povinnosť vyžiadať si súhlas Národnej banky Slovenska, ak chce správca zvolávať valné zhromaždenie spoločnosti. Vzhľadom na uvedené a na základe Čl. 2 ods. 1 tretej odrážky rozhodnutia 98/415/ES, podľa ktorého sa orgány členských štátov poradia s ECB o akomkoľvek návrhu právneho predpisu, ak sa týka národných centrálnych bánk, odporúčame tento návrh predložiť na konzultáciu ECB.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ustanovenia zákona sa nepovažujú za nové kompetencie NBS, nakoľko uvedená úprava je už obsiahnutá v platnom znení zákona, ide len o jej detailnejšie upresnenie a zjednotenie s právnou úpravou s ostatnými zákonmi na finančnom trhu (napr. zákon o bankách).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5 písm. al) šiesty bod)</w:t>
              <w:br/>
            </w:r>
            <w:r>
              <w:rPr>
                <w:b w:val="off"/>
                <w:color w:val="000000"/>
                <w:rFonts w:ascii="Times New Roman" w:hAnsi="Times New Roman" w:cs="Times New Roman" w:eastAsia="Times New Roman"/>
                <w:sz w:val="24"/>
              </w:rPr>
              <w:t>Odporúčame vypustiť šiesty bod z § 5 písm. 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úprava už je pokrytá bodom 225, ktorým sa dopĺňa do § 188 odsek 6, v spojení § 5 písm. al) prvý a druhý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5 písm. ao)</w:t>
              <w:br/>
            </w:r>
            <w:r>
              <w:rPr>
                <w:b w:val="off"/>
                <w:color w:val="000000"/>
                <w:rFonts w:ascii="Times New Roman" w:hAnsi="Times New Roman" w:cs="Times New Roman" w:eastAsia="Times New Roman"/>
                <w:sz w:val="24"/>
              </w:rPr>
              <w:t>Odporúčame v § 5 písm. ao) za slová „§ 125 písm. d),“ vložiť slová „dôchodková správcovská spoločnosť, doplnková dôchodková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definície regulovanej spoločnosti doplniť v súlade so smernicou aj dôchodkové spoločnosti, ktoré majú sídlo v členskom štáte, keďže navrhovaná definícia zahŕňala len dôchodkové spoločnosti mimo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5 písm. ap)</w:t>
              <w:br/>
            </w:r>
            <w:r>
              <w:rPr>
                <w:b w:val="off"/>
                <w:color w:val="000000"/>
                <w:rFonts w:ascii="Times New Roman" w:hAnsi="Times New Roman" w:cs="Times New Roman" w:eastAsia="Times New Roman"/>
                <w:sz w:val="24"/>
              </w:rPr>
              <w:t>Odporúčame v § 5 písm. ap) slová „§ 23 ods. 13“ nahradiť slovami „§ 23 ods. 7 a 13“,  slová „§ 33 ods. 1, 12 a 15“ nahradiť slovami „§ 33 ods. 12“ a slová „§ 79 ods. 2“ nahradiť slovami „79a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21a až 21c) a § 75 ods. 1</w:t>
              <w:br/>
            </w:r>
            <w:r>
              <w:rPr>
                <w:b w:val="off"/>
                <w:color w:val="000000"/>
                <w:rFonts w:ascii="Times New Roman" w:hAnsi="Times New Roman" w:cs="Times New Roman" w:eastAsia="Times New Roman"/>
                <w:sz w:val="24"/>
              </w:rPr>
              <w:t xml:space="preserve">Odporúčame v § 21a až 21c a § 75 ods. 1 slová „na základe práva usadiť sa“ nahradiť slovami „prostredníctvom pobočky“.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používanej terminológie.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21a ods. 2)</w:t>
              <w:br/>
            </w:r>
            <w:r>
              <w:rPr>
                <w:b w:val="off"/>
                <w:color w:val="000000"/>
                <w:rFonts w:ascii="Times New Roman" w:hAnsi="Times New Roman" w:cs="Times New Roman" w:eastAsia="Times New Roman"/>
                <w:sz w:val="24"/>
              </w:rPr>
              <w:t>Odporúčame v § 21a upraviť situácie, pri ktorých vznikne rozpor medzi Národnou bankou Slovenska a orgánom dohľadu hostiteľského členského štátu v záveroch týkajúcich sa významných cezhraničných činností poisťovne alebo zaisťovne, a to tak, aby do vyriešenia takýchto vzniknutých rozporov EIOPA, Národná banka Slovenska nebola povinná poskytovať spoluprácu podľa § 21b.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dikcie ustanovenia § 21b ods. 1 navrhovanej právnej úpravy vyplýva, že „Pri významných cezhraničných činnostiach poisťovne alebo zaisťovne Národná banka Slovenska spolupracuje s príslušným orgánom dohľadu hostiteľského členského štátu s cieľom posúdiť, či poisťovňa alebo zaisťovňa jasne chápe riziká, ktorým čelí alebo môže čeliť v hostiteľskom členskom štáte, a či ich zodpovedne riadi.“. Z navrhovaného znenia § 21a ods. 1 písm. b) vyplýva alternatívny spôsob určenia významných cezhraničných činností a to, že orgánom dohľadu hostiteľského členského štátu, ak ich z hľadiska trhu hostiteľského členského štátu považuje za relevantné. Z tohto dôvodu môže nastať rozpor medzi Národnou bankou Slovenska a orgánom dohľadu hostiteľského členského štátu o správnosti záverov hostiteľského členského štátu týkajúcich sa významných cezhraničných činností (orgány dohľadu hostiteľských členských štátov nemajú stanovené objektívne kritériá pre určenie významných cezhraničných činností, pričom budú vychádzať zo svojho subjektívneho hodnotenia). V takom prípade má Národná banka Slovenska oprávnenie pri nezhode týkajúcej sa relevantnosti činnosti vykonávaných na základe práva usadiť sa alebo slobody poskytovať služby požiadať EIOPA o pomoc. Z návrhu zákona však nie je zrejmé, či Národná banka Slovenska v prípade, ak požiada EIOPA o pomoc, je povinná v súlade s § 21b a § 21c návrhu spolupracovať s príslušným orgánom dohľadu hostiteľského členského štátu. Z tohto dôvodu navrhujeme, aby zákon explicitne riešil aj túto problematickú situáciu.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bode 66 smernice (EÚ) 2025/2 v čl. 152aa ods.2 je splnomocnenie pre orgán EIOPA vypracovať návrh regulačných technických predpisov s cieľom upresniť podmienky a kritériá, ktoré sa majú použiť pri určovaní, ktoré poisťovne alebo zaisťovne sú relevantné, pokiaľ ide o trh hostiteľského členského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21b ods.2, ods. 5 písm. b) a ods. 8)</w:t>
              <w:br/>
            </w:r>
            <w:r>
              <w:rPr>
                <w:b w:val="off"/>
                <w:color w:val="000000"/>
                <w:rFonts w:ascii="Times New Roman" w:hAnsi="Times New Roman" w:cs="Times New Roman" w:eastAsia="Times New Roman"/>
                <w:sz w:val="24"/>
              </w:rPr>
              <w:t xml:space="preserve">Odporúčame v § 21b ods. 2 za slová „činností vykonávaných“ vložiť slová „poisťovňou alebo zaisťovňou“, v § 21b ods. 5 písm. b) slovo „oprávnených“ nahradiť slovom „použiteľných“ a v § 21b ods. 8 slová „danej poisťovne alebo zaisťovne“ nahradiť slovami „v danej poisťovni alebo zaisťovni“.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doplnenie v § 21 b ods. 2 navrhujeme pre jasnú deklaráciu, že sa jedná o kompetenciu Národnej banky Slovenska ako domovského orgánu dohľadu (čl. 152aa ods. 4). Návrh k § 21b ods. 5 písm. b) smeruje k zosúladeniu používanej terminológie a návrh k § 21b ods. 8 je legislatívno-technickou úpravou.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21c ods.5)</w:t>
              <w:br/>
            </w:r>
            <w:r>
              <w:rPr>
                <w:b w:val="off"/>
                <w:color w:val="000000"/>
                <w:rFonts w:ascii="Times New Roman" w:hAnsi="Times New Roman" w:cs="Times New Roman" w:eastAsia="Times New Roman"/>
                <w:sz w:val="24"/>
              </w:rPr>
              <w:t xml:space="preserve">Odporúčame v § 21c ods. 5 slová „poisťovne alebo zaisťovne“ nahradiť slovami „poisťovne z iného členského štátu alebo zaisťovne z iného členského štátu“ a za slová „cezhraničné činnosti“ doplniť slová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Jedná sa o kompetenciu Národnej banky Slovenska ako hostiteľského orgánu dohľadu, preto sa predmetná kompetencia vzťahuje na subjekty, ktoré vykonávajú na území Slovenskej republiky činnosť na základe práva usadiť sa alebo práva slobodného poskytovania služieb.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44 (§ 25 ods.14 až 19)</w:t>
              <w:br/>
            </w:r>
            <w:r>
              <w:rPr>
                <w:b w:val="off"/>
                <w:color w:val="000000"/>
                <w:rFonts w:ascii="Times New Roman" w:hAnsi="Times New Roman" w:cs="Times New Roman" w:eastAsia="Times New Roman"/>
                <w:sz w:val="24"/>
              </w:rPr>
              <w:t xml:space="preserve">Odporúčame do § 25 ods. 14 až 19 precíznejšie zapracovať výnimku pre malú a menej zložitú spoločnosť s ohľadom na posudzovanie rizík ohrozujúcich udržateľnosť v strednodobom a dlhodobom horizonte.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text upraviť tak, aby došlo k správnej transpozícii čl. 29 ods. 3 Smernice EP a Rady (EÚ) 2025/2 z 27. novembra 2024, ktorou sa mení smernica 2009/138/ES, pokiaľ ide o proporcionalitu, kvalitu dohľadu, predkladanie informácií, opatrenia týkajúce sa dlhodobých záruk, makroprudenciálne nástroje, riziká ohrozujúce udržateľnosť a dohľad nad skupinou a cezhraničný dohľad, a ktorou sa menia smernice 2002/87/ES a 2013/34.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text je upravený v súlade so smernicou (EÚ) 2025/2.</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 (§ 26 ods.14)</w:t>
              <w:br/>
            </w:r>
            <w:r>
              <w:rPr>
                <w:b w:val="off"/>
                <w:color w:val="000000"/>
                <w:rFonts w:ascii="Times New Roman" w:hAnsi="Times New Roman" w:cs="Times New Roman" w:eastAsia="Times New Roman"/>
                <w:sz w:val="24"/>
              </w:rPr>
              <w:t>V § 26 ods. 14 odporúčame slová „poisťovni alebo zaisťovni“ nahradiť slovami „poisťovne alebo zaisťovne“.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 (§ 29 ods. 1 písm. a) až c) a e)</w:t>
              <w:br/>
            </w:r>
            <w:r>
              <w:rPr>
                <w:b w:val="off"/>
                <w:color w:val="000000"/>
                <w:rFonts w:ascii="Times New Roman" w:hAnsi="Times New Roman" w:cs="Times New Roman" w:eastAsia="Times New Roman"/>
                <w:sz w:val="24"/>
              </w:rPr>
              <w:t>Odporúčame v § 29 ods. 1 písm. a) až c) a e) za slovo „poistných“ vložiť slová „a zaistných“.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Aktuárska funkcia by mala koordinovať a validovať aj výpočet zaistných zmlúv.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52 (§ 33 ods. 3)</w:t>
              <w:br/>
            </w:r>
            <w:r>
              <w:rPr>
                <w:b w:val="off"/>
                <w:color w:val="000000"/>
                <w:rFonts w:ascii="Times New Roman" w:hAnsi="Times New Roman" w:cs="Times New Roman" w:eastAsia="Times New Roman"/>
                <w:sz w:val="24"/>
              </w:rPr>
              <w:t>Odporúčame v § 33 ods. 3 slová „portfólia pasív a vyhradených aktív“ nahradiť slovami „portfólia poistných záväzkov alebo zaistných záväzkov a vyhradeného portfólia aktív“.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terminológie používanej v § 40.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52 (§ 33 ods. 8)</w:t>
              <w:br/>
            </w:r>
            <w:r>
              <w:rPr>
                <w:b w:val="off"/>
                <w:color w:val="000000"/>
                <w:rFonts w:ascii="Times New Roman" w:hAnsi="Times New Roman" w:cs="Times New Roman" w:eastAsia="Times New Roman"/>
                <w:sz w:val="24"/>
              </w:rPr>
              <w:t>Odporúčame ustanovenie upraviť tak, aby z neho bolo jednoznačne zrejmé, že poisťovne a zaisťovne predkladajú správu o solventnosti raz ročne a malé a menej zložité spoločnosti ju predkladajú podľa odseku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odseku 8 pôsobí zmätočne, pričom z neho nie je zrejmé čo znamenajú slová „menej často“ a zároveň či sa slová „18 týždňov“ vzťahujú na slová „menej často“ alebo na slovo „každoročne“, a teda či sa správa predkladaná každoročne predkladá „do 18 týždňov po skončení účtovného obdobia“ alebo ak sa nepredkladá každoročne, tak sa predkladá do 18 týždňov.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54 (§ 37a ods. 1, 4 a 5)</w:t>
              <w:br/>
            </w:r>
            <w:r>
              <w:rPr>
                <w:b w:val="off"/>
                <w:color w:val="000000"/>
                <w:rFonts w:ascii="Times New Roman" w:hAnsi="Times New Roman" w:cs="Times New Roman" w:eastAsia="Times New Roman"/>
                <w:sz w:val="24"/>
              </w:rPr>
              <w:t>Odporúčame v § 37a ods. 1 za slová „a súčasne“ vložiť slovo „v“ a v § 37a ods. 4 a 5 slová „likvidátor poisťovne“ nahradiť slovami „likvidátor“.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a zosúladenie terminológie.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56 (§ 38 ods. 10)</w:t>
              <w:br/>
            </w:r>
            <w:r>
              <w:rPr>
                <w:b w:val="off"/>
                <w:color w:val="000000"/>
                <w:rFonts w:ascii="Times New Roman" w:hAnsi="Times New Roman" w:cs="Times New Roman" w:eastAsia="Times New Roman"/>
                <w:sz w:val="24"/>
              </w:rPr>
              <w:t>Odporúčame v § 38 ods. 10 slová „pri životných záväzkoch s opciami a zárukami“ nahradiť slovami „pri zmluvách životného poistenia s finančnými opciami a zárukami“.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používanou terminológiou.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59 a 65 (§ 42 ods. 5 a § 59 ods. 6)</w:t>
              <w:br/>
            </w:r>
            <w:r>
              <w:rPr>
                <w:b w:val="off"/>
                <w:color w:val="000000"/>
                <w:rFonts w:ascii="Times New Roman" w:hAnsi="Times New Roman" w:cs="Times New Roman" w:eastAsia="Times New Roman"/>
                <w:sz w:val="24"/>
              </w:rPr>
              <w:t>Odporúčame v § 42 ods. 5 a § 59 ods. 6 slová „poisťovňa a zaisťovňa“ nahradiť slovami „poisťovňa alebo zaisťovňa“.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a zosúladenie terminológie.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62 (§ 49a ods. 9 písm. d)</w:t>
              <w:br/>
            </w:r>
            <w:r>
              <w:rPr>
                <w:b w:val="off"/>
                <w:color w:val="000000"/>
                <w:rFonts w:ascii="Times New Roman" w:hAnsi="Times New Roman" w:cs="Times New Roman" w:eastAsia="Times New Roman"/>
                <w:sz w:val="24"/>
              </w:rPr>
              <w:t xml:space="preserve">Odporúčame v § 49a ods. 9 písm. d) slová „riziko kreditného rozpätia“ nahradiť slovami „riziko úverového rozpätia“.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používanou terminológiou.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63 (§ 52 ods. 3)</w:t>
              <w:br/>
            </w:r>
            <w:r>
              <w:rPr>
                <w:b w:val="off"/>
                <w:color w:val="000000"/>
                <w:rFonts w:ascii="Times New Roman" w:hAnsi="Times New Roman" w:cs="Times New Roman" w:eastAsia="Times New Roman"/>
                <w:sz w:val="24"/>
              </w:rPr>
              <w:t>Odporúčame v § 52 ods. 3 vypustiť slová „pričom odsek 1 týmto nie je dotknutý,“.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Malá a menej zložitá spoločnosť môže použiť zjednodušený výpočet kapitálovej požiadavky bez ohľadu na splnenie podmienok podľa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64 (§ 54 ods. 8)</w:t>
              <w:br/>
            </w:r>
            <w:r>
              <w:rPr>
                <w:b w:val="off"/>
                <w:color w:val="000000"/>
                <w:rFonts w:ascii="Times New Roman" w:hAnsi="Times New Roman" w:cs="Times New Roman" w:eastAsia="Times New Roman"/>
                <w:sz w:val="24"/>
              </w:rPr>
              <w:t>Odporúčame v § 54 ods. 8 slovo „správ“ nahradiť slovom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používanou terminológiou.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 64 ods. 1)</w:t>
              <w:br/>
            </w:r>
            <w:r>
              <w:rPr>
                <w:b w:val="off"/>
                <w:color w:val="000000"/>
                <w:rFonts w:ascii="Times New Roman" w:hAnsi="Times New Roman" w:cs="Times New Roman" w:eastAsia="Times New Roman"/>
                <w:sz w:val="24"/>
              </w:rPr>
              <w:t>Odporúčame v § 64 ods. 1 slová „2 až 9“ nahradiť slovami „2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novelizačný bod 66, ktorým sa do § 64 dopĺňajú odseky 10 až 12 navrhujeme upraviť aj vnútorný odkaz v § 64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68 (§ 70 ods. 1 písm. h)</w:t>
              <w:br/>
            </w:r>
            <w:r>
              <w:rPr>
                <w:b w:val="off"/>
                <w:color w:val="000000"/>
                <w:rFonts w:ascii="Times New Roman" w:hAnsi="Times New Roman" w:cs="Times New Roman" w:eastAsia="Times New Roman"/>
                <w:sz w:val="24"/>
              </w:rPr>
              <w:t>Odporúčame v § 70 ods. 1 písm. h) vypustiť slová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bodom 70 a s § 37b zákona č. 186/2009 Z. z. o finančnom sprostredkovaní  a o zmene a doplnení niektorých zákonov v znení neskorších predpisov, ktorý vylučuje poistenie veľkých rizík ako také (vrátane písm. c)) z povinnosti predkladať IPID dokument. Na základe uvedeného tak nemá zmysel zachovanie povinnosti jeho tvorby pre uvedené prípady.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75 (§ 70e ods. 1)</w:t>
              <w:br/>
            </w:r>
            <w:r>
              <w:rPr>
                <w:b w:val="off"/>
                <w:color w:val="000000"/>
                <w:rFonts w:ascii="Times New Roman" w:hAnsi="Times New Roman" w:cs="Times New Roman" w:eastAsia="Times New Roman"/>
                <w:sz w:val="24"/>
              </w:rPr>
              <w:t>Odporúčame v § 70 ods. 1 vypustiť slová „§ 26a ods. 5,“ „§ 33 ods. 1, 12 a 15,“ a slová „§ 79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opatrenia proporcionality sa nevzťahujú na poisťovňu alebo zaisťovňu, ktorá nie je klasifikovaná ako malá a menej zložitá spoločnosť.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75 (§ 70f ods. 1)</w:t>
              <w:br/>
            </w:r>
            <w:r>
              <w:rPr>
                <w:b w:val="off"/>
                <w:color w:val="000000"/>
                <w:rFonts w:ascii="Times New Roman" w:hAnsi="Times New Roman" w:cs="Times New Roman" w:eastAsia="Times New Roman"/>
                <w:sz w:val="24"/>
              </w:rPr>
              <w:t>Odporúčame v § 70f ods. 1 slová „informovať o opatreniach v oblasti proporcionality” nahradiť slovami „informovať podľa § 79 ods. 11 o opatreniach používaných v oblasti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spôsob a obsah informácie, ktorá sa má Národná banka Slovenska predložiť.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75 (§ 70f ods. 2)</w:t>
              <w:br/>
            </w:r>
            <w:r>
              <w:rPr>
                <w:b w:val="off"/>
                <w:color w:val="000000"/>
                <w:rFonts w:ascii="Times New Roman" w:hAnsi="Times New Roman" w:cs="Times New Roman" w:eastAsia="Times New Roman"/>
                <w:sz w:val="24"/>
              </w:rPr>
              <w:t>Odporúčame v § 70f ods. 2 slová „Ak poisťovňa alebo zaisťovňa plánuje zmeniť zoznam opatrení v oblasti proporcionality, ktoré sa majú použiť” nahradiť slovami „Ak malá a menej zložitá spoločnosť plánuje zmeniť zoznam opatrení v oblasti proporcionality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precizovanie textu v nadväznosti na odsek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Text bol upravený v súlade s bodom 13 smernice 2025/2 (čl. 29e).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77 (§ 72 ods. 4 písm. c)</w:t>
              <w:br/>
            </w:r>
            <w:r>
              <w:rPr>
                <w:b w:val="off"/>
                <w:color w:val="000000"/>
                <w:rFonts w:ascii="Times New Roman" w:hAnsi="Times New Roman" w:cs="Times New Roman" w:eastAsia="Times New Roman"/>
                <w:sz w:val="24"/>
              </w:rPr>
              <w:t>Odporúčame novelizačný bod 77 vypustiť a navrhovanú úpravu premietnuť do § 79 ods. 26 písm. i) a zároveň nad rámec predmetného návrhu odporúčame zvážiť vypustenie celého písmena c) v § 72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smeruje k povinnosti Národnej banky Slovenska získať súhlas orgánu, ktorý jej predmetnú informáciu poskytol, pričom § 72 ods. 1 a 3, na ktoré upravovaný odsek 4 nadväzuje, upravujú otázku mlčanlivosti pre zamestnancov dohliadaných subjektov, resp. iné osoby, ktoré v ich mene konajú (likvidátor, správca a pod.). Informácie, ktoré môže Národná banka Slovenska podľa predmetného ustanovenia zdieľať, tak nemajú pôvod od príslušných orgánov ale spravidla od fyzických osôb, ktoré vykonávajú činnosti v dohliadanom subjekte. Na základe uvedeného považujeme za vhodné predmetné ustanovenie presunúť do § 79 ods. 26, kde je spôsob získania informácie, s ktorou Národná banka Slovenska pracuje definovaný širšie a zároveň už má osobitnú úpravu aj pre informácie pre správcu dane v písmene i). Zároveň dávame na zváženie vypustenie písmena c) z § 72 ods. 4, keďže upravuje výnimky z mlčanlivosti Národnej banky Slovenska týkajúce sa informácií získaných podľa § 72 ods. 3 písm. a). Subjekty, voči ktorým je Národná banka Slovenska zbavená mlčanlivosti sú už upravené v § 79 ods. 26, pričom sa jedná o celkovo širšie oprávnenie, čo sa týka počtu subjektov aj zdroju poskytovaných informácií. Uvedené ustanovenie sa preto javí ako duplicitné.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87 (§ 77 ods. 2 písm. p)</w:t>
              <w:br/>
            </w:r>
            <w:r>
              <w:rPr>
                <w:b w:val="off"/>
                <w:color w:val="000000"/>
                <w:rFonts w:ascii="Times New Roman" w:hAnsi="Times New Roman" w:cs="Times New Roman" w:eastAsia="Times New Roman"/>
                <w:sz w:val="24"/>
              </w:rPr>
              <w:t>Odporúčame v § 77 ods. 2 písm. p) za slová „až 5“ vložiť slová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navrhujeme na základe bodu 232 (§ 204 ods. 9 až 12) kde v § 204 ods. 9 sa ustanovujú osobitné podmienky pre udelenie predchádzajúceho súhlasu po 30. januári 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171 (§ 145a ods. 4)</w:t>
              <w:br/>
            </w:r>
            <w:r>
              <w:rPr>
                <w:b w:val="off"/>
                <w:color w:val="000000"/>
                <w:rFonts w:ascii="Times New Roman" w:hAnsi="Times New Roman" w:cs="Times New Roman" w:eastAsia="Times New Roman"/>
                <w:sz w:val="24"/>
              </w:rPr>
              <w:t>Odporúčame v § 145a ods. 4 za slovo „spoločnosť“ vložiť slová „a poisťovňa alebo zaisťovňa“.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text zosúladiť aj s § 70e.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172 (§ 147 ods. 1)</w:t>
              <w:br/>
            </w:r>
            <w:r>
              <w:rPr>
                <w:b w:val="off"/>
                <w:color w:val="000000"/>
                <w:rFonts w:ascii="Times New Roman" w:hAnsi="Times New Roman" w:cs="Times New Roman" w:eastAsia="Times New Roman"/>
                <w:sz w:val="24"/>
              </w:rPr>
              <w:t>Odporúčame novelizačný bod 172 vypustiť, a teda zvážiť zachovanie pojmového ukotvenia nútenej správy ako reorganizačného a reštrukturalizačného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Charakteristika nútenej správy ako reštrukturalizačného a reorganizačného opatrenia môže mať význam v rámci uznania resp. adaptácie cezhraničných účinkov tohto procesu. Nepriamo to plynie aj z § 147 ods. 6 zákona. Výslovná charakteristika plní voči zahraničným orgánom dohľadu signalizačnú funkciu. Vymedzenie nútenej správy ako reorganizačného opatrenia má aj bezprostrednú väzbu na § 176 ods. 3 zákona č. 7/2005 Z. z., podľa ktorého sa reštrukturalizácia finančnej inštitúcie uskutočňuje v rámci nútenej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190 (§ 154 ods.1)</w:t>
              <w:br/>
            </w:r>
            <w:r>
              <w:rPr>
                <w:b w:val="off"/>
                <w:color w:val="000000"/>
                <w:rFonts w:ascii="Times New Roman" w:hAnsi="Times New Roman" w:cs="Times New Roman" w:eastAsia="Times New Roman"/>
                <w:sz w:val="24"/>
              </w:rPr>
              <w:t>Odporúčame § 154 ods. 1 upraviť takto: „Návrh na zápis nútenej správy do obchodného registra73) podáva Národná banka Slovenska; pri zápise tejto skutočnosti sa nepoužije ustanovenie osobitného predpisu.80) Registrový súd vykoná zápis uvedených skutočností v lehote dvoch pracovných dní od doručenia návrhu Národnej banky Slovenska.“.  Zároveň odporúčame aktualizovať poznámku pod čiarou k odkazu 80.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154 ods. 1 obsahuje v prvej vete duplicitné ustanovenie o rozsahu údajov zapisovaných do Obchodného registra, ktoré sú už obsiahnuté v zákone č. 29/2026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na základe pripomienky MS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197 (§ 158 ods. 5)</w:t>
              <w:br/>
            </w:r>
            <w:r>
              <w:rPr>
                <w:b w:val="off"/>
                <w:color w:val="000000"/>
                <w:rFonts w:ascii="Times New Roman" w:hAnsi="Times New Roman" w:cs="Times New Roman" w:eastAsia="Times New Roman"/>
                <w:sz w:val="24"/>
              </w:rPr>
              <w:t>Odporúčame novelizačný bod 197 vypustiť, a teda nedopĺňať odsek 5 do § 158.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 159 ods. 2 sa právnická osoba zrušuje a vstupuje do likvidácie súčasne s nadobudnutím právoplatnosti rozhodnutia o odobratí povolenia, a v tejto súvislosti sa odsek 5 javí ako nadbytočný.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bodu 66 smernice (EÚ) 2025/2.</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201 (§ 160a ods. 3)</w:t>
              <w:br/>
            </w:r>
            <w:r>
              <w:rPr>
                <w:b w:val="off"/>
                <w:color w:val="000000"/>
                <w:rFonts w:ascii="Times New Roman" w:hAnsi="Times New Roman" w:cs="Times New Roman" w:eastAsia="Times New Roman"/>
                <w:sz w:val="24"/>
              </w:rPr>
              <w:t>Odporúčame z § 160a ods. 3 vypustiť  prvú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Duplicita s navrhovaným odsekom 2, v zmysle ktorého je otázka výšky odmeny likvidátora predmetom zmluvy o výkone činnosti uzatvorenej Národnou bankou Slovenska a likvidátorom.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201 (§ 160a ods. 4)</w:t>
              <w:br/>
            </w:r>
            <w:r>
              <w:rPr>
                <w:b w:val="off"/>
                <w:color w:val="000000"/>
                <w:rFonts w:ascii="Times New Roman" w:hAnsi="Times New Roman" w:cs="Times New Roman" w:eastAsia="Times New Roman"/>
                <w:sz w:val="24"/>
              </w:rPr>
              <w:t>Odporúčame v § 160a ods. 4 doriešiť zákonné prekážky poskytovania informácií, ktoré boli získané z výkonu dohľadu zo strany Národnej banky Slovenska k osobám, ktoré sa zúčastnia prerokovania podmienok vymenovania za likvidátora a k procesu vedenia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povahy veci je zrejme, že v procese prerokovania podmienok vymenovania likvidátora a procesu likvidácie s vybranými osobami, ktoré by mohli byť vymenované za likvidátora, bude zo strany Národnej banky Slovenska nevyhnutné  poskytnúť v nevyhnutnej miere aj informácie, ktoré boli získané z výkonu dohľadu, čo je v rozpore s § 79 upravujúcim oprávnenia Národnej banky Slovenska vo vzťahu k použitiu takýchto informácií, preto je potrebné upraviť otázku výnimky z mlčanlivosti Národnej banky Slovenska (podobne ako v § 79 ods. 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201 (§ 160a ods. 6)</w:t>
              <w:br/>
            </w:r>
            <w:r>
              <w:rPr>
                <w:b w:val="off"/>
                <w:color w:val="000000"/>
                <w:rFonts w:ascii="Times New Roman" w:hAnsi="Times New Roman" w:cs="Times New Roman" w:eastAsia="Times New Roman"/>
                <w:sz w:val="24"/>
              </w:rPr>
              <w:t xml:space="preserve">Odporúčame § 160a ods. 6 upraviť takto: „V súvislosti s likvidáciou je likvidátor oprávnený v záujme urýchleného riešenia závažných problémov v poisťovni alebo zaisťovni pribrať odborných poradcov. Odborným poradcom môže byť len osoba, ktorá je odborne spôsobilá. Na odbornú spôsobilosť odborného poradcu sa primerane vzťahuje </w:t>
              <w:br/>
            </w:r>
            <w:r>
              <w:rPr>
                <w:b w:val="off"/>
                <w:color w:val="000000"/>
                <w:rFonts w:ascii="Times New Roman" w:hAnsi="Times New Roman" w:cs="Times New Roman" w:eastAsia="Times New Roman"/>
                <w:sz w:val="24"/>
              </w:rPr>
              <w:t>§ 24. Odborným poradcom nemôže byť osoba, ktorá podľa § 148 ods. 4 a 5 nemôže byť núteným správcom. O pribratí odborného poradcu likvidátor bezodkladne informuje Národnú banku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neviazať pribratie odborného poradcu na „predchádzajúci súhlas“ Národnej banky Slovenska, ktorý je v zmysle zákona viazaný na špecifické úkony poisťovní v zmysle § 77. Problematika pribratia odborných poradcov je z povahy veci vecou zmluvnej dohody medzi Národnou bankou Slovenska a vymenovaným likvidátorom v zmysle § 160a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202 (§ 161 ods. 4)</w:t>
              <w:br/>
            </w:r>
            <w:r>
              <w:rPr>
                <w:b w:val="off"/>
                <w:color w:val="000000"/>
                <w:rFonts w:ascii="Times New Roman" w:hAnsi="Times New Roman" w:cs="Times New Roman" w:eastAsia="Times New Roman"/>
                <w:sz w:val="24"/>
              </w:rPr>
              <w:t>Odporúčame § 161 ods. 4 upraviť takto: „Ak k zániku poistných zmlúv nedôjde skôr, poistné zmluvy zanikajú uplynutím 24 mesiacov od vstupu do likvidácie; to neplatí, ak v lehote 24 mesiacov od vstupu do likvidácie dôjde k prevodu poistného kmeňa, a to vo vzťahu k tým poistným zmluvám, ktoré sú predmetom tohto prevodu. Na prevod poistného kmeňa alebo jeho časti v rámci likvidácie je potrebný predchádzajúci súhlas Národnej banky Slovenska podľa § 77, o ktorý je v mene právnickej osoby, ktorej bolo odobraté povolenie na vykonávanie poisťovacej činnosti alebo povolenie na vykonávanie zaisťovacej činnosti oprávnený požiadať likvidátor.“.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doplniť podmienku možného skoršieho zániku poistných zmlúv, v inom prípade by všetky poistné zmluvy zo zákona zanikali až uplynutím lehoty 24 mesiacov od začiatku likvidácie, resp. zákonom by dochádzalo k predĺženiu ich platnosti. Súčasne navrhujeme z dôvodu zjednodušenia textácie návrhu viazať uplynutie tejto lehoty na vstup do likvidácie namiesto nadobudnutia právoplatnosti rozhodnutia o odobratí povolenia na vykonávania poisťovacej činnosti, doplnenie odkazu na § 77 pri predchádzajúcom súhlase Národnej banky Slovenska s prevodom poistného kmeňa  a z dôvodu terminologickej jednoty návrhu zákona nahradenie pojmu „poisťovňa v likvidácií“ pojmom „právnickej osoby, ktorej bolo odobraté povolenie na vykonávanie poisťovacej činnosti alebo povolenie na vykonávanie zaisťovacej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202 (§ 161 ods. 5)</w:t>
              <w:br/>
            </w:r>
            <w:r>
              <w:rPr>
                <w:b w:val="off"/>
                <w:color w:val="000000"/>
                <w:rFonts w:ascii="Times New Roman" w:hAnsi="Times New Roman" w:cs="Times New Roman" w:eastAsia="Times New Roman"/>
                <w:sz w:val="24"/>
              </w:rPr>
              <w:t>Odporúčame v § 161 ods. 5 slová „nadobudnutia právoplatnosti rozhodnutia o odobratí povolenia na vykonávanie poisťovacej činnosti alebo rozhodnutia o odobratí povolenia na vykonávanie zaisťovacej činnosti“ nahradiť slovami „vstupu do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zjednodušenie textácie návrhu, a síce uplynutie lehoty naviazať na vstup do likvidácie namiesto nadobudnutia právoplatnosti rozhodnutia o odobratí povolenia na vykonávania poisťovacej činnosti, rovnako ako v odseku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235 (§ 205d ods. 9)</w:t>
              <w:br/>
            </w:r>
            <w:r>
              <w:rPr>
                <w:b w:val="off"/>
                <w:color w:val="000000"/>
                <w:rFonts w:ascii="Times New Roman" w:hAnsi="Times New Roman" w:cs="Times New Roman" w:eastAsia="Times New Roman"/>
                <w:sz w:val="24"/>
              </w:rPr>
              <w:t>Odporúčame v § 205d ods. 9 slová „o odobratiu“ nahradiť slovami „k odobratiu“ a za slová „podľa § 160a“ vložiť slová „ods. 2 až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Vymenovanie likvidátora v zmysle návrhu prechodného ustanovenia neprebehne súčasne s vydaním rozhodnutia o odobratí povolenia na vykonávanie poisťovacej činnosti alebo rozhodnutia o odobratí povolenia na vykonávanie zaisťovacej činnosti ako predpokladá § 160a ods. 1, a preto je potrebné vylúčiť odkaz na tento odsek.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236 (§ 207b)</w:t>
              <w:br/>
            </w:r>
            <w:r>
              <w:rPr>
                <w:b w:val="off"/>
                <w:color w:val="000000"/>
                <w:rFonts w:ascii="Times New Roman" w:hAnsi="Times New Roman" w:cs="Times New Roman" w:eastAsia="Times New Roman"/>
                <w:sz w:val="24"/>
              </w:rPr>
              <w:t>Odporúčame v § 207b za slovo „Slovenska“ vložiť slová „zo 14. júla 2015“ a za slovo „opatrenia“ vložiť slová „z 8. novembra 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súlade s Legislatívnymi pravidlami vlády Slovenskej republiky (napr. bod 49). Zároveň upozorňujeme, že vzhľadom na to, že sa zrušuje len jeden predpis nie je potrebné uvádzať dvojbodku za slovami „zrušuje sa“ a číslo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bol upravený v súlade s Legislatívnymi pravidlami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 (§ 23 ods. 6)</w:t>
              <w:br/>
            </w:r>
            <w:r>
              <w:rPr>
                <w:b w:val="off"/>
                <w:color w:val="000000"/>
                <w:rFonts w:ascii="Times New Roman" w:hAnsi="Times New Roman" w:cs="Times New Roman" w:eastAsia="Times New Roman"/>
                <w:sz w:val="24"/>
              </w:rPr>
              <w:t>Odporúčame do čl. I doplniť novelizačný bod, ktorý znie takto: „V § 23 ods. 6 sa za slová „vnútornom audite“ vkladá čiarka a slovo „odmeňovaní“.“.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transpozíciu bodu 20 písm. c.) Smernice EP a Rady (EÚ) 2025/2 z 27. novembra 2024, ktorou sa mení smernica 2009/138/ES, pokiaľ ide o proporcionalitu, kvalitu dohľadu, predkladanie informácií, opatrenia týkajúce sa dlhodobých záruk, makroprudenciálne nástroje, riziká ohrozujúce udržateľnosť a dohľad nad skupinou a cezhraničný dohľad, a ktorou sa menia smernice 2002/87/ES a 2013/34 (čl. 41 ods. 3 konsolidovaného znenia Solvency II účinnej od 30. 01. 2027.) Uvedené odporúčame premietnuť aj do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3 (§ 73w ods. 1)</w:t>
              <w:br/>
            </w:r>
            <w:r>
              <w:rPr>
                <w:b w:val="off"/>
                <w:color w:val="000000"/>
                <w:rFonts w:ascii="Times New Roman" w:hAnsi="Times New Roman" w:cs="Times New Roman" w:eastAsia="Times New Roman"/>
                <w:sz w:val="24"/>
              </w:rPr>
              <w:t>Odporúčame v § 73w ods. 1 v záujme predchádzania interpretačnej neistoty preformulovať navrhovanú povinnosť obchodníka s cennými papiermi a zároveň odporúčame slová „umožniť preferovať investovať“ nahradiť slovami „uprednostniť investovanie“.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navrhovanej textácie odseku 1 nie je zrejmé, čo znamená slovné spojenie „umožniť členenie portfólia dlhodobého investičného sporenia“. Slovné spojenie „umožniť členenie portfólia dlhodobého investičného sporenia“ je možné interpretovať napríklad ako technickú  funkcionalitu zobrazenia portfólia (napr. v mobilnej aplikácií) alebo vykonanie vlastnej úvahy klienta ohľadom alokovania jednotlivých zložiek portfólia finančných nástrojov a následné poskytnutie jednej alebo viacerých iných investičných služieb ako je riadenie portfólia. Jedno zo základných posolstiev odporúčania EC z 30. 9. 2025 o zvýšení dostupnosti sporiacich a investičných účtov so zjednodušeným a zvýhodneným daňovým zaobchádzaním je bod č. 17, ktorý znie: „Zároveň by poskytovatelia finančných služieb mali retailovým investorom poskytnúť možnosti, ako svoje investície zamerať na hospodárstvo EÚ, prispieť k strategickým prioritám EÚ vrátane digitálnej, zelenej a sociálnej transformácie a posilniť bezpečnosť a obranu EÚ.“ Navrhujeme dôslednejšie zohľadniť slovné spojenie „poskytovatelia finančných služieb mali retailovým investorom poskytnúť možnosti, ako svoje investície zamerať na hospodárstvo EÚ...“. Zároveň poukazujeme na možnú interpretačnú neistotu vyplývajúcu z predmetného slovného spojenia („preferovať investovať“ alebo „preferenčne investovať“).  Máme za to, že  atribút „preferenčne“ by mohol byť interpretovaný ako „zvýhodnene“ alebo „prednostne“, čo vytvára priestor napr. pre diferencovanú poplatkovú politiku OCP alebo možný konflikt záujmov.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25 (§ 157 ods. 4)</w:t>
              <w:br/>
            </w:r>
            <w:r>
              <w:rPr>
                <w:b w:val="off"/>
                <w:color w:val="000000"/>
                <w:rFonts w:ascii="Times New Roman" w:hAnsi="Times New Roman" w:cs="Times New Roman" w:eastAsia="Times New Roman"/>
                <w:sz w:val="24"/>
              </w:rPr>
              <w:t>Odporúčame v § 157 ods. 4 na koniec prvej vety doplniť slová: „a ak to Národná banka Slovenska považuje za potrebné aspoň v jednom denníku s celoštátnou pôsobnosťou“, vložiť novú druhú vetu v znení „Osoby, ktoré Národná banka Slovenska o uverejnenie takéhoto rozhodnutia požiada, sú povinné tejto žiadosti vyhovieť“ a zároveň poslednú vetu upraviť takto: „Rozhodnutie o odobratí povolenia na poskytovanie investičných služieb zašle do 30 dní odo dňa právoplatnosti tohto rozhodnutia Národná banka Slovenska na uverejnenie Obchodnému vestníku.“.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text s § 147 ods. 6, ktorý upravuje zverejňovanie pri nútenej správe, ako aj § 159 ods. 3 zákona č. 39/2015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Prvá veta bola doplnená v zmysle pripomienky. Posledná veta nebola zmenená z dôvodu potreby urýchleného informovania verejnosti v kontexte zverejňovania a informovania inými spôsobmi bez zbytočného odkladu.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25 (§ 157 ods. 6)</w:t>
              <w:br/>
            </w:r>
            <w:r>
              <w:rPr>
                <w:b w:val="off"/>
                <w:color w:val="000000"/>
                <w:rFonts w:ascii="Times New Roman" w:hAnsi="Times New Roman" w:cs="Times New Roman" w:eastAsia="Times New Roman"/>
                <w:sz w:val="24"/>
              </w:rPr>
              <w:t xml:space="preserve">Odporúčame v § 157 ods. 6 na koniec prvej vety vložiť bodkočiarku a slová „ustanovenie osobitného predpisu sa nepoužije.xx) a do poznámky pod čiarou doplniť odkaz na zákon </w:t>
              <w:br/>
            </w:r>
            <w:r>
              <w:rPr>
                <w:b w:val="off"/>
                <w:color w:val="000000"/>
                <w:rFonts w:ascii="Times New Roman" w:hAnsi="Times New Roman" w:cs="Times New Roman" w:eastAsia="Times New Roman"/>
                <w:sz w:val="24"/>
              </w:rPr>
              <w:t>č. 29/2026 Z. z. o obchodnom registri a o zmene a doplnení niektorých zákonov (zákon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zosúladenie s § 159 ods. 5 zákona č. 39/2015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na zápis do Obchodného registra by mal byť predložený štandardným spôsobom, veľmi široko formulovaná výnimka s odkazom na celý zákon č. 29/2026 Z. z. by robila proces nejasným.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26 (§ 157a ods. 2)</w:t>
              <w:br/>
            </w:r>
            <w:r>
              <w:rPr>
                <w:b w:val="off"/>
                <w:color w:val="000000"/>
                <w:rFonts w:ascii="Times New Roman" w:hAnsi="Times New Roman" w:cs="Times New Roman" w:eastAsia="Times New Roman"/>
                <w:sz w:val="24"/>
              </w:rPr>
              <w:t xml:space="preserve">V § 157a  ods. 2 odporúčame slovo "doklad" nahradiť slovami "originál dokladu".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Legislatívno-technická úprava, ktorou sa precizuje text ustanovenia za účelom predchádzania výkladovým nejasnostiam a zosúladenia s návrhom zákona č. 39/2015 </w:t>
              <w:br/>
            </w:r>
            <w:r>
              <w:rPr>
                <w:b w:val="off"/>
                <w:color w:val="000000"/>
                <w:rFonts w:ascii="Times New Roman" w:hAnsi="Times New Roman" w:cs="Times New Roman" w:eastAsia="Times New Roman"/>
                <w:sz w:val="24"/>
              </w:rPr>
              <w:t>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Slovo „doklad“ je v tomto význame dostatočne určité.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26 (§ 157a ods. 6)</w:t>
              <w:br/>
            </w:r>
            <w:r>
              <w:rPr>
                <w:b w:val="off"/>
                <w:color w:val="000000"/>
                <w:rFonts w:ascii="Times New Roman" w:hAnsi="Times New Roman" w:cs="Times New Roman" w:eastAsia="Times New Roman"/>
                <w:sz w:val="24"/>
              </w:rPr>
              <w:t>Odporúčame v § 157a ods. 6 slová „nemôže byť likvidátorom" nahradiť slovami „nemôže byť núteným správcom".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148, na ktoré § 157a ods. 6 odkazuje, upravuje podmienky vylúčenia z výkonu funkcie núteného správcu, nie likvidátora. Cieľom ustanovenia je teda zrejme vylúčiť ako odborného poradcu osobu, ktorá by pre existenciu prekážok nemohla byť ani núteným správcom.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26 (§ 157a ods. 8)</w:t>
              <w:br/>
            </w:r>
            <w:r>
              <w:rPr>
                <w:b w:val="off"/>
                <w:color w:val="000000"/>
                <w:rFonts w:ascii="Times New Roman" w:hAnsi="Times New Roman" w:cs="Times New Roman" w:eastAsia="Times New Roman"/>
                <w:sz w:val="24"/>
              </w:rPr>
              <w:t>Odporúčame v § 157a ods. 8  vložiť novú prvú vetu, ktorá znie: „Likvidátor môže byť odvolaný na základe porušenia tohto zákona alebo iných všeobecne záväzných právnych predpisov v súvislosti s výkonom likvidácie, alebo porušenia zmluvy podľa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text s § 160a ods. 8 zákona č. 39/2015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27 (§ 158 ods. 5)</w:t>
              <w:br/>
            </w:r>
            <w:r>
              <w:rPr>
                <w:b w:val="off"/>
                <w:color w:val="000000"/>
                <w:rFonts w:ascii="Times New Roman" w:hAnsi="Times New Roman" w:cs="Times New Roman" w:eastAsia="Times New Roman"/>
                <w:sz w:val="24"/>
              </w:rPr>
              <w:t>Odporúčame slovo „spoločnosti“ nahradiť slovami „právnickej osoby, ktorej bolo odobraté povolenie na poskytovanie investičných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týkajúca sa zosúladenia terminológie.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Navrhujeme doplniť do doložky zlučiteľnosti rozsudok Súdneho dvora EÚ vo veci C 427/19, nakoľko súlad navrhovaného mechanizmu likvidácie s právom EÚ vyplýva z bodu 1 výroku rozsudku Súdneho dvora EÚ vo veci C 427/19.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Doložka zlučiteľnosti už obsahuje uvedený rozsudok.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34 návrhu zákona</w:t>
              <w:br/>
            </w:r>
            <w:r>
              <w:rPr>
                <w:b w:val="off"/>
                <w:color w:val="000000"/>
                <w:rFonts w:ascii="Times New Roman" w:hAnsi="Times New Roman" w:cs="Times New Roman" w:eastAsia="Times New Roman"/>
                <w:sz w:val="24"/>
              </w:rPr>
              <w:t>V čl. I bode 34 návrhu zákona v § 24 ods. 4 písm. a) žiadame slová „praním špinavých peňazí“ nahradiť slovami „legalizáciou výnosu z trestnej činnosti“ tak, aby to bolo v súlade s § 233 a nasl. Trestného zákona, kde je uvedený trestný čin legalizácie výnosu z trestnej činnosti, ktorého skutkovou podstatou je aj „pranie špinavých peňazí“.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37 návrhu zákona</w:t>
              <w:br/>
            </w:r>
            <w:r>
              <w:rPr>
                <w:b w:val="off"/>
                <w:color w:val="000000"/>
                <w:rFonts w:ascii="Times New Roman" w:hAnsi="Times New Roman" w:cs="Times New Roman" w:eastAsia="Times New Roman"/>
                <w:sz w:val="24"/>
              </w:rPr>
              <w:t>V čl. I bode 37 návrhu zákona v § 24 ods. 7 žiadame vypustiť slová „Európskej únie, Islandskej republike, Lichtenštajnskom kniežatstve alebo Nórskom kráľovstve“ ako nadbytočné v súvislosti s definíciou „členského štátu“, keďže v zákone č. 39/2015 Z. z. je pojem „členský štát“ zadefinovaný v § 5 písm. k) a v rámci definície zahŕňa aj vyššie uvedené štáty.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127 návrhu zákona</w:t>
              <w:br/>
            </w:r>
            <w:r>
              <w:rPr>
                <w:b w:val="off"/>
                <w:color w:val="000000"/>
                <w:rFonts w:ascii="Times New Roman" w:hAnsi="Times New Roman" w:cs="Times New Roman" w:eastAsia="Times New Roman"/>
                <w:sz w:val="24"/>
              </w:rPr>
              <w:t xml:space="preserve">Článok I bod 127 návrhu zákona § 94 ods. 7 predstavuje transpozíciu čl. I bodu 78 smernice (EÚ) 2025/2, ktorým sa mení čl. 228 ods. 4 druhý pododsek smernice 2009/138/ES v platnom znení. V predmetnom článku smernice (EÚ) 2025/2 je uvedené, že: „Na účely prvého pododseku tohto odseku sa odseky 2 a 3 tohto článku uplatňujú na konkrétnu podskupinu na základe jej konsolidovanej situácie v zmysle článku 4 ods. 1 bodu 47 nariadenia (EÚ) č. 575/2013 alebo článku 4 ods. 1 bodu 11 nariadenia (EÚ) 2019/2033, alebo v príslušnom prípade na základe jej konsolidovanej pozície.“. </w:t>
              <w:br/>
            </w:r>
            <w:r>
              <w:rPr>
                <w:b w:val="off"/>
                <w:color w:val="000000"/>
                <w:rFonts w:ascii="Times New Roman" w:hAnsi="Times New Roman" w:cs="Times New Roman" w:eastAsia="Times New Roman"/>
                <w:sz w:val="24"/>
              </w:rPr>
              <w:t>V čl. I bode 127 návrhu zákona v § 94 ods. 7 je uvedené, že: „Ustanovenie odseku 6 sa nepoužije na konkrétnu podskupinu na základe jej konsolidovanej situácie podľa osobitného predpisu alebo na základe jej konsolidovanej pozície.“, pričom ako na osobitný predpis sa v poznámke pod čiarou k odkazu 60w odkazuje na čl. 4 ods. 1 bod 47 nariadenia (EÚ) č. 575/2013 v platnom znení alebo čl. 4 ods. 1 bod 11 nariadenia (EÚ) 2019/2033 v platnom znení.</w:t>
              <w:br/>
            </w:r>
            <w:r>
              <w:rPr>
                <w:b w:val="off"/>
                <w:color w:val="000000"/>
                <w:rFonts w:ascii="Times New Roman" w:hAnsi="Times New Roman" w:cs="Times New Roman" w:eastAsia="Times New Roman"/>
                <w:sz w:val="24"/>
              </w:rPr>
              <w:t>Domnievame sa, že takáto transpozícia a znenie poznámky pod čiarou nie sú správne. Aby bola zabezpečená správna a úplná transpozícia smernice (EÚ) 2025/2, v poznámke pod čiarou nie je možné uvádzať možnosť voľby. Žiadame preto z poznámky pod čiarou k odkazu 60w vypustiť spojku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w:t>
              <w:br/>
            </w:r>
            <w:r>
              <w:rPr>
                <w:b w:val="off"/>
                <w:color w:val="000000"/>
                <w:rFonts w:ascii="Times New Roman" w:hAnsi="Times New Roman" w:cs="Times New Roman" w:eastAsia="Times New Roman"/>
                <w:sz w:val="24"/>
              </w:rPr>
              <w:t>1. V čl. I v poznámke pod čiarou k odkazu 14a žiadame slovo „Nariadenia“ nahradiť slovom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w:t>
              <w:br/>
            </w:r>
            <w:r>
              <w:rPr>
                <w:b w:val="off"/>
                <w:color w:val="000000"/>
                <w:rFonts w:ascii="Times New Roman" w:hAnsi="Times New Roman" w:cs="Times New Roman" w:eastAsia="Times New Roman"/>
                <w:sz w:val="24"/>
              </w:rPr>
              <w:t>2. V čl. I v poznámke pod čiarou k odkazu 14b žiadame slovo „Nariadenia“ nahradiť slovom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w:t>
              <w:br/>
            </w:r>
            <w:r>
              <w:rPr>
                <w:b w:val="off"/>
                <w:color w:val="000000"/>
                <w:rFonts w:ascii="Times New Roman" w:hAnsi="Times New Roman" w:cs="Times New Roman" w:eastAsia="Times New Roman"/>
                <w:sz w:val="24"/>
              </w:rPr>
              <w:t>3. V čl. I v poznámke pod čiarou k odkazu 25b žiadame slovo „Nariadenia“ nahradiť slovom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w:t>
              <w:br/>
            </w:r>
            <w:r>
              <w:rPr>
                <w:b w:val="off"/>
                <w:color w:val="000000"/>
                <w:rFonts w:ascii="Times New Roman" w:hAnsi="Times New Roman" w:cs="Times New Roman" w:eastAsia="Times New Roman"/>
                <w:sz w:val="24"/>
              </w:rPr>
              <w:t>4. V čl. I v poznámke pod čiarou k odkazu 25e žiadame uviesť správnu citáciu nariadenia (EÚ) 2023/1803, a to nasledovne:</w:t>
              <w:br/>
            </w:r>
            <w:r>
              <w:rPr>
                <w:b w:val="off"/>
                <w:color w:val="000000"/>
                <w:rFonts w:ascii="Times New Roman" w:hAnsi="Times New Roman" w:cs="Times New Roman" w:eastAsia="Times New Roman"/>
                <w:sz w:val="24"/>
              </w:rPr>
              <w:t>„Nariadenie Komisie (EÚ) 2023/1803 z 13. septembra 2023, ktorým sa v súlade s nariadením Európskeho parlamentu a Rady (ES) č. 1606/2002 prijímajú určité medzinárodné účtovné štandardy (Ú. v. EÚ L 237, 26.9.2023)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w:t>
              <w:br/>
            </w:r>
            <w:r>
              <w:rPr>
                <w:b w:val="off"/>
                <w:color w:val="000000"/>
                <w:rFonts w:ascii="Times New Roman" w:hAnsi="Times New Roman" w:cs="Times New Roman" w:eastAsia="Times New Roman"/>
                <w:sz w:val="24"/>
              </w:rPr>
              <w:t>5. V čl. I v poznámke pod čiarou k odkazu 59a žiadame pri citácii nariadenia (EÚ) č. 1094/2010 uvádzať aj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2025/2</w:t>
              <w:br/>
            </w:r>
            <w:r>
              <w:rPr>
                <w:b w:val="off"/>
                <w:color w:val="000000"/>
                <w:rFonts w:ascii="Times New Roman" w:hAnsi="Times New Roman" w:cs="Times New Roman" w:eastAsia="Times New Roman"/>
                <w:sz w:val="24"/>
              </w:rPr>
              <w:t>1. Žiadame preukázať transpozíciu čl. 1 bodu 7 smernice (EÚ) 2025/2 (čl. 23 ods. 1 písm. f) smernice 2009/138/ES v platnom znení). Smernica (EÚ) 2025/2 ustanovuje, že plán činnosti obsahuje aj údaje o členských štátoch, tretích krajinách a ak sa povolenia na začatie a vykonávanie poisťovacej alebo zaisťovacej činnosti udeľujú na úrovni geografických oblastí v rámci tretích krajín, príslušné geografické oblasti týchto tretích krajín, v ktorých má dotknutá poisťovňa alebo zaisťovňa v úmysle vykonávať činnosť, pričom predkladateľ transpozíciu týchto ustanovení preukazuje len splnomocňovacím ustanovením, čo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Všetky požiadavky na preukázanie plánu činnosti podľa čl. 23 ods. 1 smernice 2009/139/ES v platnom znení sú upravené v opatrení NBS 7/2025 a aj doplnenie tejto novej požiadavky bude doplnené do uvedeného opatrenia na základe jeho novely, ktorej návrh je súčasťou príloh predložených k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2025/2</w:t>
              <w:br/>
            </w:r>
            <w:r>
              <w:rPr>
                <w:b w:val="off"/>
                <w:color w:val="000000"/>
                <w:rFonts w:ascii="Times New Roman" w:hAnsi="Times New Roman" w:cs="Times New Roman" w:eastAsia="Times New Roman"/>
                <w:sz w:val="24"/>
              </w:rPr>
              <w:t>2. Žiadame preukázať transpozíciu čl. 1 bodu 9 smernice (EÚ) 2025/2 (čl. 25 ods. 3 smernice 2009/138/ES v platnom znení) v časti, ktorá určuje, že právo sa ustanoví aj pre prípady, v ktorých sa orgány dohľadu nevybavili žiadosť o povolenie počas šiestich mesiacov.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2025/2</w:t>
              <w:br/>
            </w:r>
            <w:r>
              <w:rPr>
                <w:b w:val="off"/>
                <w:color w:val="000000"/>
                <w:rFonts w:ascii="Times New Roman" w:hAnsi="Times New Roman" w:cs="Times New Roman" w:eastAsia="Times New Roman"/>
                <w:sz w:val="24"/>
              </w:rPr>
              <w:t>3. Žiadame preukázať transpozíciu čl. 1 bodu 16 smernice (EÚ) 2025/2 (čl. 35b smernice 2009/138/ES v platnom znení), ktorý ustanovuje lehoty na predkladanie informácií. Predkladateľ transpozíciu týchto ustanovení preukazuje len splnomocňovacím ustanovením, čo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Všetky požiadavky na predkladanie informácií vrátane konkrétnych termínov vyplývajúce zo smernice 2009/139/ES v platnom znení sú upravené v opatrení NBS 1/2022 a aj doplnenie nových požiadaviek na predkladanie informácií bude doplnené do uvedeného opatrenia na základe jeho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2025/2</w:t>
              <w:br/>
            </w:r>
            <w:r>
              <w:rPr>
                <w:b w:val="off"/>
                <w:color w:val="000000"/>
                <w:rFonts w:ascii="Times New Roman" w:hAnsi="Times New Roman" w:cs="Times New Roman" w:eastAsia="Times New Roman"/>
                <w:sz w:val="24"/>
              </w:rPr>
              <w:t>4. Žiadame preukázať transpozíciu čl. 1 bodu 20 smernice (EÚ) 2025/2 (čl. 41 ods. 3 smernice 2009/138/ES v platnom znení) v časti, ktorá určuje, že poisťovne a zaisťovne disponujú písomnou koncepciou aspoň o riadení rizík, vnútornej kontrole, vnútornom audite, odmeňovaní a v relevantných prípadoch o zverení výkonu činností (outsourcingu). V slovenskej právnej úprave, ktorou sa preukazuje transpozícia absentuje odmeňovanie, ktoré má byť súčasťou písomnej koncepcie.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2025/2</w:t>
              <w:br/>
            </w:r>
            <w:r>
              <w:rPr>
                <w:b w:val="off"/>
                <w:color w:val="000000"/>
                <w:rFonts w:ascii="Times New Roman" w:hAnsi="Times New Roman" w:cs="Times New Roman" w:eastAsia="Times New Roman"/>
                <w:sz w:val="24"/>
              </w:rPr>
              <w:t>5. Transpozíciu čl. 1 bodu 41 smernice (EÚ) 2025/2 (čl. 77 ods. 3 smernice 2009/138/ES v platnom znení) žiadame preukazovať prílohou č. 3 k zákonu č. 39/2015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Príloha č. 3 k návrhu zákona obsahuje aj tabuľky, ktoré sa technicky nedajú vložiť do stĺpca 6 tabuľky zhody, a preto je transpozícia preukázaná len formou odkazu na prílohu č. 3 v tabuľke zhody v stĺpci 8 v poznámkach.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2025/2</w:t>
              <w:br/>
            </w:r>
            <w:r>
              <w:rPr>
                <w:b w:val="off"/>
                <w:color w:val="000000"/>
                <w:rFonts w:ascii="Times New Roman" w:hAnsi="Times New Roman" w:cs="Times New Roman" w:eastAsia="Times New Roman"/>
                <w:sz w:val="24"/>
              </w:rPr>
              <w:t>6. Žiadame zabezpečiť transpozíciu čl. 1 bodu 90 smernice (EÚ) 2025/2 (čl. 252 smernice 2009/138/ES v platnom znení), ktorý sa týka vymedzenia úverovej inštitúcie v rámci spolupráce s orgánmi zodpovednými za úverové inštitúcie a investičné firmy. Ak je predmetné ustanovenie už transponované do slovenského právneho poriadku žiadame túto skutočnosť uviesť v stĺpci 6 tabuľky zhody. Ak transpozícia predmetného ustanovenia nie je možná, žiadame túto skutočnosť uviesť v stĺpci 8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právne záväzné akty Európskej únie uvádzať v chronologickom poradí.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Z bodu 3 písm. b) doložky zlučiteľnosti žiadame vypustiť smernicu 2014/51/EÚ, keďže predmetná smernica je len jednou z noviel smernice 2009/138/ES v platnom znení. Zároveň žiadame z bodu 4 písm. a) a c) doložky zlučiteľnosti vypustiť informácie o smernici 2014/51/EÚ.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druhom odseku predkladacej správy žiadame za názov smernice (EÚ) 2025/2 doplniť publikačný zdroj nasledovne: „(Ú. v. EÚ L, 2025/2, 8.1.2025)“.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druhom odseku všeobecnej časti dôvodovej správy žiadame za názov smernice (EÚ) 2025/2 doplniť publikačný zdroj nasledovne: „(Ú. v. EÚ L, 2025/2, 8.1.2025)“. Zároveň žiadame zaviesť skrátenú citáciu v súlade s bodom 62.9. prílohy č. 1 Legislatívnych pravidiel vlády Slovenskej republiky nasledovne: „(ďalej len „smernica (EÚ) 2025/2“).“.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treťom odseku všeobecnej časti dôvodovej správy žiadame upraviť názov smernice 2009/138/ES v platnom znení nasledovne: „smernica Európskeho parlamentu a Rady 2009/138/ES z 25. novembra 2009 o začatí a vykonávaní poistenia a zaistenia (Solventnosť II) (prepracované znenie) (Ú. v. EÚ L 335, 17.12.2009) v platnom znení“. Zároveň žiadame zaviesť skrátenú citáciu v súlade s bodom 62.7. prílohy č. 1 Legislatívnych pravidiel vlády Slovenskej republiky nasledovne: „(ďalej len „smernica 2009/138/ES v platnom znení“).“.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Čl. I bodu 27 žiadame uviesť úplnú citáciu nariadenia (EÚ) č. 1094/2010 v platnom znení nasledovne: „nariadenie Európskeho parlamentu a Rady (EÚ) č. 1094/2010 z  24. novembra 2010 , ktorým sa zriaďuje Európsky orgán dohľadu (Európsky orgán pre poisťovníctvo a dôchodkové poistenie zamestnancov), a ktorým sa mení a dopĺňa rozhodnutie č. 716/2009/ES a zrušuje rozhodnutie Komisie 2009/79/ES (Ú. v. EÚ L 331, 15.12.2010)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 bodu 38 žiadame upraviť názov nariadenia (EÚ) 2019/881 v platnom znení nasledovne: „nariadenie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(Ú. v. EÚ L 151, 7.6.2019)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Čl. I bodom 44 a 50 žiadame upraviť názov nariadenia (EÚ) 2021/1119 v platnom znení nasledovne: „nariadenie Európskeho parlamentu a Rady (EÚ) 2021/1119 z 30. júna 2021, ktorým sa stanovuje rámec na dosiahnutie klimatickej neutrality a menia nariadenia (ES) č. 401/2009 a (EÚ) 2018/1999 (európsky právny predpis v oblasti klímy) (Ú. v. EÚ L 243, 9.7.2021)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osobitnej časti dôvodovej správy k Čl. I bodom 60 až 62 žiadame upraviť publikačný zdroj delegovaného nariadenia (EÚ) 2019/981 nasledovne: „(Ú. v. EÚ L 161, 18.6.2019)“.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osobitnej časti dôvodovej správy k Čl. I bodu 76 žiadame za názov nariadenia (EÚ) 2024/1620 v súlade s bodom 62.11. prílohy č. 1 Legislatívnych pravidiel vlády Slovenskej republiky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V osobitnej časti dôvodovej správy k Čl. I bodom 109 až 115 žiadame upraviť názov nariadenia (EÚ) č. 575/2013 v platnom znení nasledovne: „nariadenie Európskeho parlamentu a Rady (EÚ) č. 575/2013 z  26. júna 2013 o prudenciálnych požiadavkách na úverové inštitúcie a investičné spoločnosti a o zmene nariadenia (EÚ) č. 648/2012 (Ú. v. EÚ L 176, 27.6.2013) v platnom znení“. Zároveň žiadame zaviesť skrátenú citáciu v súlade s bodom 62.6. prílohy č. 1 Legislatívnych pravidiel vlády Slovenskej republiky nasledovne: „(ďalej len „nariadenie (EÚ) č. 575/2013 v platnom znení“).“.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7. V osobitnej časti dôvodovej správy k Čl. I bodom 124, 128 až 131 žiadame uviesť úplnú citáciu delegovaného nariadenia (EÚ) 2015/35 v platnom znení nasledovne: „delegované nariadenie Komisie (EÚ) 2015/35 z 10. októbra 2014 , ktorým sa dopĺňa smernica Európskeho parlamentu a Rady 2009/138/ES o začatí a vykonávaní poistenia a zaistenia (Solventnosť II)  (Ú. v. EÚ L 12, 17.1.2015) v platnom znení“. Zároveň žiadame zaviesť skrátenú citáciu v súlade s bodom 62.9. prílohy č. 1 Legislatívnych pravidiel vlády Slovenskej republiky nasledovne: „(ďalej len „delegované nariadenie (EÚ) č. 575/2013 v platnom znení“).“.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8. V osobitnej časti dôvodovej správy k Čl. I bodom 124, 128 až 131 žiadame uviesť úplnú citáciu smernice 2002/87/ES v platnom znení nasledovne: „smernica Európskeho parlamentu a Rady 2002/87/ES zo 16. decembra 2002 o doplnkovom dohľade nad úverovými inštitúciami, poisťovňami a investičnými spoločnosťami vo finančnom konglomeráte, ktorou sa menia a dopĺňajú smernice Rady 73/239/EHS, 79/267/EHS, 92/49/EHS, 92/96/EHS, 93/6/EHS a 93/22/EHS a smernice Európskeho parlamentu a Rady 98/78/ES a 2000/12/ES (Ú. v. EÚ L 35, 11.2.2003) v platnom znení“. Zároveň žiadame zaviesť skrátenú citáciu v súlade s bodom 62.7. prílohy č. 1 Legislatívnych pravidiel vlády Slovenskej republiky nasledovne: „(ďalej len „smernica 2002/87/ES v platnom znení“).“.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9. V osobitnej časti dôvodovej správy k Čl. I bodom 164, 165, 167 až 171 žiadame upraviť názov nariadenia (EÚ) č. 1092/2010 v platnom znení nasledovne: „nariadenie Európskeho parlamentu a Rady (EÚ) č. 1092/2010 z  24. novembra 2010 o makroprudenciálnom dohľade Európskej únie nad finančným systémom a o zriadení Európskeho výboru pre systémové riziká (Ú. v. EÚ L 331, 15.12.2010)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upraviť názov smernice (EÚ) 2025/2 nasledovne: „smernica Európskeho parlamentu a Rady (EÚ) 2025/2 z 27. novembra 2024, ktorou sa mení smernica 2009/138/ES, pokiaľ ide o proporcionalitu, kvalitu dohľadu, predkladanie informácií, opatrenia týkajúce sa dlhodobých záruk, makroprudenciálne nástroje, riziká ohrozujúce udržateľnosť a dohľad nad skupinou a cezhraničný dohľad, a ktorou sa menia smernice 2002/87/ES a 2013/34/EÚ (Ú. v. EÚ L, 2025/2, 8.1.2025)“. Zároveň žiadame zaviesť skrátenú citáciu v súlade s bodom 62.9. prílohy č. 1 Legislatívnych pravidiel vlády Slovenskej republiky nasledovne: „(ďalej len „smernica (EÚ) 2025/2“).“.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treťom bode doložky vybraných vplyvov žiadame uviesť úplnú citáciu smernice 2009/138/ES nasledovne: „smernica Európskeho parlamentu a Rady 2009/138/ES z 25. novembra 2009 o začatí a vykonávaní poistenia a zaistenia (Solventnosť II) (prepracované znenie) (Ú. v. EÚ L 335, 17.12.2009)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w:t>
              <w:br/>
            </w:r>
            <w:r>
              <w:rPr>
                <w:b w:val="off"/>
                <w:color w:val="000000"/>
                <w:rFonts w:ascii="Times New Roman" w:hAnsi="Times New Roman" w:cs="Times New Roman" w:eastAsia="Times New Roman"/>
                <w:sz w:val="24"/>
              </w:rPr>
              <w:t>Navrhujeme doplniť ustanovenie v súlade s dôvodovou správou.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vyplýva, že zahraničnej poisťovni bude postačovať domovský režim. Nie však, či sa bude posudzovať primeranosť s požiadavkami smernice SII. V dôvodovej správe je síce uvedené, že ďalšie požiadavky stanoví NBS opatrením, ale mal by to už jednoznačne stanovovať zákon, že sa budú posudzovať aj ďalšie požiadavky.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len dopĺňa ďalšiu podmienku, ktorá musí byť splnená pri udelení povolenia pre zahraničnú pobočku. Jedná sa o sprísnenie súčasného režimu a v žiadnom prípade neznižuje požiadavky oproti súčasnému stavu. Zároveň táto požiadavka vychádza z Usmernenia č. 1 EIOPA. RÚZ od pripomienky ustúpila, čím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k zberu informácií o investičnej stratégii</w:t>
              <w:br/>
            </w:r>
            <w:r>
              <w:rPr>
                <w:b w:val="off"/>
                <w:color w:val="000000"/>
                <w:rFonts w:ascii="Times New Roman" w:hAnsi="Times New Roman" w:cs="Times New Roman" w:eastAsia="Times New Roman"/>
                <w:sz w:val="24"/>
              </w:rPr>
              <w:t>Navrhujeme výslovne doplniť, že rozsah požadovaných informácií o investičnej stratégii musí byť primeraný účelu dohľadu a nesmie viesť k duplicitnému alebo neprimeranému reportingu.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bodu 54 (čl. 132 ods. 5 až 7) smernice EÚ) 2025/2. Akékoľvek dopĺňanie podmienok k textu smernice môže byť vyhodnotené ako nedostatočné transponovanie textu smernice. Zároveň je potrebné uviesť, že dohľad vždy zbiera údaje za účelom dohľadu a nezbiera údaje duplicitne. V prípade, ak majú poisťovne názor, že jednotlivé údaje sú duplicitné alebo neprimerané je možné uplatniť výhradu priamo voči opatreniu NBS, ktoré stanovuje rozsah zbieraných údajov. RÚZ od pripomienky ustúpila, čím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nových novelizačných bodov</w:t>
              <w:br/>
            </w:r>
            <w:r>
              <w:rPr>
                <w:b w:val="off"/>
                <w:color w:val="000000"/>
                <w:rFonts w:ascii="Times New Roman" w:hAnsi="Times New Roman" w:cs="Times New Roman" w:eastAsia="Times New Roman"/>
                <w:sz w:val="24"/>
              </w:rPr>
              <w:t xml:space="preserve">Navrhujeme vypustiť ustanovenie § 68 Odvod časti poistného a upraviť transparentné využitie prostriedkov odvádzaných poisťovňami. Nové znenie tohto ustanovenia preniesť, vrátane právnej úpravu využitia prostriedkov, do zákona č. 381/2001 Z.z. o povinnom zmluvnom poistení zodpovednosti za škodu spôsobenú prevádzkou motorového vozidla kam vecne patrí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20 písm. a) sa vypúšťa čiarka a za slovo fond sa dopĺňajú slová „a fond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21 ods. 3 sa dopĺňa nové písmeno h), ktoré znie: </w:t>
              <w:br/>
            </w:r>
            <w:r>
              <w:rPr>
                <w:b w:val="off"/>
                <w:color w:val="000000"/>
                <w:rFonts w:ascii="Times New Roman" w:hAnsi="Times New Roman" w:cs="Times New Roman" w:eastAsia="Times New Roman"/>
                <w:sz w:val="24"/>
              </w:rPr>
              <w:t>„h) menovať a odvolávať zástupcov Kancelárie v Komisii pre tvorbu programov prevencie škôd a pre rozdeľovanie prostriedkov fondu zábrany škôd podľa § 25b (ďalej len "komisia").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22 ods. 2 sa dopĺňa nové písmeno h), ktoré znie: </w:t>
              <w:br/>
            </w:r>
            <w:r>
              <w:rPr>
                <w:b w:val="off"/>
                <w:color w:val="000000"/>
                <w:rFonts w:ascii="Times New Roman" w:hAnsi="Times New Roman" w:cs="Times New Roman" w:eastAsia="Times New Roman"/>
                <w:sz w:val="24"/>
              </w:rPr>
              <w:t>h) rozhodovať o rozsahu pôsobnosti výkonného riaditeľa v oblasti správy prostriedkov fondu zábrany škôd a na návrh komisie o vnútorných predpisoch pre poskytovanie dotácií a pôžičiek z tohto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§25a</w:t>
              <w:br/>
            </w:r>
            <w:r>
              <w:rPr>
                <w:b w:val="off"/>
                <w:color w:val="000000"/>
                <w:rFonts w:ascii="Times New Roman" w:hAnsi="Times New Roman" w:cs="Times New Roman" w:eastAsia="Times New Roman"/>
                <w:sz w:val="24"/>
              </w:rPr>
              <w:t>Fond zábrany škôd</w:t>
              <w:br/>
            </w:r>
            <w:r>
              <w:rPr>
                <w:b w:val="off"/>
                <w:color w:val="000000"/>
                <w:rFonts w:ascii="Times New Roman" w:hAnsi="Times New Roman" w:cs="Times New Roman" w:eastAsia="Times New Roman"/>
                <w:sz w:val="24"/>
              </w:rPr>
              <w:t>(1)	Kancelária tvorí fond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Člen Kancelárie je povinný odvádzať do fondu zábrany škôd najmenej x % z prijatého poistného z povinného zmluvného poistenia zodpovednosti za škodu spôsobenú prevádzkou motorového vozidla z činnosti vykonávanej na území Slovenskej republiky za predchádzajúci kalendárny rok do konca februára príslušného roka. Poisťovňa, poisťovňa z iného členského štátu a pobočka zahraničnej poisťovne sú povinné odvedenie časti poistného podľa prvej vety písomne oznámiť Národnej banke Slovenska a  Ministerstvu financií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Prostriedky fondu zábrany škôd sa používajú iba na úhradu nákladov spojených s:</w:t>
              <w:br/>
            </w:r>
            <w:r>
              <w:rPr>
                <w:b w:val="off"/>
                <w:color w:val="000000"/>
                <w:rFonts w:ascii="Times New Roman" w:hAnsi="Times New Roman" w:cs="Times New Roman" w:eastAsia="Times New Roman"/>
                <w:sz w:val="24"/>
              </w:rPr>
              <w:t>a)   realizačnými programami podľa § 25b ods. 4 písm. a) a b),</w:t>
              <w:br/>
            </w:r>
            <w:r>
              <w:rPr>
                <w:b w:val="off"/>
                <w:color w:val="000000"/>
                <w:rFonts w:ascii="Times New Roman" w:hAnsi="Times New Roman" w:cs="Times New Roman" w:eastAsia="Times New Roman"/>
                <w:sz w:val="24"/>
              </w:rPr>
              <w:t>b) administratívnym a organizačným zaistením činnosti komisie vrátanie zaistenia odborného posudzovania žiadostí o poskytnutí prostriedkov z fondu zábrany škôd podľa písmena a) a b) a kontrolou ich čerpania podľa § 25b ods. 4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Príjemca prostriedkov z fondu zábrany škôd je povinný poskytnúť komisii na jej požiadanie všetky informácie a doklady týkajúce sa použitia finančných prostriedkov z tohto fondu a umožniť jej vykonanie kontroly použitia prostriedkov z fondu. V prípade nepreukázanie použitia týchto prostriedkov alebo porušeniu účelu ich použitia je príjemca povinný tieto prostriedky vrátiť do fondu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Pokiaľ neboli prostriedky podľa odseku 5 vrátené v lehote stanovenej komisiou, je ich príjemca povinný zaplatiť úrok z omeškania a náklady spojené s ich vymáhaním. Prostriedky, ktoré neboli vrátené v stanovenej lehote vymáha kancelária vrátane úrokov z omeškania  a s tým spojených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25b</w:t>
              <w:br/>
            </w:r>
            <w:r>
              <w:rPr>
                <w:b w:val="off"/>
                <w:color w:val="000000"/>
                <w:rFonts w:ascii="Times New Roman" w:hAnsi="Times New Roman" w:cs="Times New Roman" w:eastAsia="Times New Roman"/>
                <w:sz w:val="24"/>
              </w:rPr>
              <w:t>Komisia</w:t>
              <w:br/>
            </w:r>
            <w:r>
              <w:rPr>
                <w:b w:val="off"/>
                <w:color w:val="000000"/>
                <w:rFonts w:ascii="Times New Roman" w:hAnsi="Times New Roman" w:cs="Times New Roman" w:eastAsia="Times New Roman"/>
                <w:sz w:val="24"/>
              </w:rPr>
              <w:t>(1) Zriaďuje sa komisia ako orgán kancelárie pre tvorbu programov prevencie škôd a pre rozdeľovanie prostriedkov fondu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Komisia má 7 členov a je zložená</w:t>
              <w:br/>
            </w:r>
            <w:r>
              <w:rPr>
                <w:b w:val="off"/>
                <w:color w:val="000000"/>
                <w:rFonts w:ascii="Times New Roman" w:hAnsi="Times New Roman" w:cs="Times New Roman" w:eastAsia="Times New Roman"/>
                <w:sz w:val="24"/>
              </w:rPr>
              <w:t>a)	z jedného zástupcu Hasičského a záchranného zboru, ktorého vymenúva a odvoláva prezident Hasičského a záchranného zboru,</w:t>
              <w:br/>
            </w:r>
            <w:r>
              <w:rPr>
                <w:b w:val="off"/>
                <w:color w:val="000000"/>
                <w:rFonts w:ascii="Times New Roman" w:hAnsi="Times New Roman" w:cs="Times New Roman" w:eastAsia="Times New Roman"/>
                <w:sz w:val="24"/>
              </w:rPr>
              <w:t>b)	z jedného zástupcu Polície SR, ktorého vymenúva a odvoláva policajný prezident,</w:t>
              <w:br/>
            </w:r>
            <w:r>
              <w:rPr>
                <w:b w:val="off"/>
                <w:color w:val="000000"/>
                <w:rFonts w:ascii="Times New Roman" w:hAnsi="Times New Roman" w:cs="Times New Roman" w:eastAsia="Times New Roman"/>
                <w:sz w:val="24"/>
              </w:rPr>
              <w:t>c)	z jedného zástupcu, ktorého vymenúva a odvoláva minister vnútra Slovenskej republiky,</w:t>
              <w:br/>
            </w:r>
            <w:r>
              <w:rPr>
                <w:b w:val="off"/>
                <w:color w:val="000000"/>
                <w:rFonts w:ascii="Times New Roman" w:hAnsi="Times New Roman" w:cs="Times New Roman" w:eastAsia="Times New Roman"/>
                <w:sz w:val="24"/>
              </w:rPr>
              <w:t xml:space="preserve">d)	z jedného zástupcu, ktorého vymenúva a odvoláva minister dopravy Slovenskej republiky a </w:t>
              <w:br/>
            </w:r>
            <w:r>
              <w:rPr>
                <w:b w:val="off"/>
                <w:color w:val="000000"/>
                <w:rFonts w:ascii="Times New Roman" w:hAnsi="Times New Roman" w:cs="Times New Roman" w:eastAsia="Times New Roman"/>
                <w:sz w:val="24"/>
              </w:rPr>
              <w:t xml:space="preserve">e)	z troch zástupcov kancelárie podľa § 21 ods. 3 písm.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Komisia zo svojich členov volí a odvoláva predsedu a zástupcu predsedu. Činnosť komisie riadi predseda alebo v jeho neprítomnosti zástupca predsedu. Komisia je uznášaniaschopná, ak sú prítomné aspoň dve tretiny jej členov, a rozhoduje väčšinou hlasov prítomných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Komisia:</w:t>
              <w:br/>
            </w:r>
            <w:r>
              <w:rPr>
                <w:b w:val="off"/>
                <w:color w:val="000000"/>
                <w:rFonts w:ascii="Times New Roman" w:hAnsi="Times New Roman" w:cs="Times New Roman" w:eastAsia="Times New Roman"/>
                <w:sz w:val="24"/>
              </w:rPr>
              <w:t xml:space="preserve">a)	spracováva návrh na rozdelenie prostriedkov z fondu zábrany škôd na nasledujúci kalendárny rok, a to hasičským jednotkám na úhradu nákladov spojených s obstaraním materiálno-technického vybavenia, jeho údržbou a s prevádzkovaním a zložkám ministerstva vnútra na úhradu nákladov spojených s obstaraním technických prostriedkov potrebných na plnenie úloh súvisiacich s výkonom dohľadu nad bezpečnosťou a plynulosťou cestnej premávky, objasňovanie príčin nehôd v cestnej doprave, s výstavbou a vybavením koordinačných stredísk integrovaného záchranného systému a operačných stredísk tiesňového volania a s výstavbou a obstaraním technického vybavenia operačných stredísk tiesňového volania záchrannej zdravotnej služby do konca júna príslušného roka. </w:t>
              <w:br/>
            </w:r>
            <w:r>
              <w:rPr>
                <w:b w:val="off"/>
                <w:color w:val="000000"/>
                <w:rFonts w:ascii="Times New Roman" w:hAnsi="Times New Roman" w:cs="Times New Roman" w:eastAsia="Times New Roman"/>
                <w:sz w:val="24"/>
              </w:rPr>
              <w:t>b)	navrhuje programy prevencie v oblasti škôd z prevádzky vozidiel,</w:t>
              <w:br/>
            </w:r>
            <w:r>
              <w:rPr>
                <w:b w:val="off"/>
                <w:color w:val="000000"/>
                <w:rFonts w:ascii="Times New Roman" w:hAnsi="Times New Roman" w:cs="Times New Roman" w:eastAsia="Times New Roman"/>
                <w:sz w:val="24"/>
              </w:rPr>
              <w:t>c)	stanovujú kritériá hodnotenia návrhov podľa písm. a) a b),</w:t>
              <w:br/>
            </w:r>
            <w:r>
              <w:rPr>
                <w:b w:val="off"/>
                <w:color w:val="000000"/>
                <w:rFonts w:ascii="Times New Roman" w:hAnsi="Times New Roman" w:cs="Times New Roman" w:eastAsia="Times New Roman"/>
                <w:sz w:val="24"/>
              </w:rPr>
              <w:t>d)	schvaľuje vnútorné predpisy týkajúce sa činnosti komisie,</w:t>
              <w:br/>
            </w:r>
            <w:r>
              <w:rPr>
                <w:b w:val="off"/>
                <w:color w:val="000000"/>
                <w:rFonts w:ascii="Times New Roman" w:hAnsi="Times New Roman" w:cs="Times New Roman" w:eastAsia="Times New Roman"/>
                <w:sz w:val="24"/>
              </w:rPr>
              <w:t>e)	navrhuje správnej rade rozsah pôsobnosti výkonného riaditeľa v oblasti správy zdrojov fondu zábrany škôd, vrátane predpisov podľa § 22 ods. 2 písm. h),</w:t>
              <w:br/>
            </w:r>
            <w:r>
              <w:rPr>
                <w:b w:val="off"/>
                <w:color w:val="000000"/>
                <w:rFonts w:ascii="Times New Roman" w:hAnsi="Times New Roman" w:cs="Times New Roman" w:eastAsia="Times New Roman"/>
                <w:sz w:val="24"/>
              </w:rPr>
              <w:t>f)	vykonáva kontrolu čerpania prostriedkov fondu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Návrh podľa odseku 4 písm. a) predkladá komisia správnej rade, Ministerstvu vnútra Slovenskej republiky a Ministerstvu dopravy Slovenskej republiky. Návrh je schválený, ak k nemu do 30 dní odo dňa jeho doručenia ktorýkoľvek z orgánov podľa prvej vety nevysloví nesúhlas z dôvodu rozporu stanovenie prostriedkov fondu zábrany škôd s jeho určením podľa tohto zákona. V prípade vyslovenia nesúhlasu predloží komisia týmto orgánom do 30 dní odo dňa doručenia nesúhlasu upravený návrh. Pokiaľ k upravenému návrhu vyslovia súhlas aspoň dva z týchto orgánov, považuje sa upravený návrh za schválený.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Komisia spracuje do 30. júna výročnú správu fondu zábrany škôd za predchádzajúci kalendárny rok a zároveň ju uverejní na svojom webovom sídle.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68 sú poisťovne povinné odviesť 10 % (predtým 8%) z prijatého poistného z povinného zmluvného poistenia zodpovednosti za škodu spôsobenú prevádzkou motorového vozidla na osobitný účet Ministerstva vnútra SR, ktoré nimi výlučne disponuje. Za rok 2025 poisťovne vykonávajúce PZP odviedli odvod vo výške 43  773 393 eur (rok 2024 - 38 930 215 eur, rok 2023 – 34 230 056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Dlhodobo navrhujeme, aby v rámci Slovenskej kancelárii poisťovateľov (SKP) vznikol Fond zábrany škôd,  napr. taký v minulosti fungoval v štátnej Slovenskej poisťovni. Domnievame sa, že finančnými prostriedkami z odvodu by mal transparentne disponovať Fond zábrany škôd, ktorý má byť vytvorený v SKP. Predložený návrh umožní, aby SKP, samozrejme pod kontrolou štátu a verejnosti, zároveň pôsobila v oblasti prevencie dopravnej nehodovosti. Zákon č. 381/2001 Z. z. o povinnom zmluvnom poistení totiž zveruje SKP okrem iného aj úlohu „podieľať sa na prechádzaní škodám v cestnej doprave.“ Táto úloha SKP nie je doteraz finančne zabezpečená. Takýto fond je zriadený napr. v ČR a jeho aktivity sú financované práve z finančných prostriedkov, ktoré doňho odvádzajú české poisťovne (vo výške 3% z odvodu poistného).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 a ďaleko presahuje vecný zámer predkladateľa. Tieto úpravy sú veľmi rozsiahle a dotýkajú sa aj iných ministerstiev, pričom ich realizácia nebola predmetom predchádzajúcich rokovaní, tak z vecného hľadiska ako aj z finančného, nakoľko ich realizácia by podľa názoru predkladateľa mala dopad aj na verejné financie. Rozpor nebol odstránený a naďalej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71 až 74</w:t>
              <w:br/>
            </w:r>
            <w:r>
              <w:rPr>
                <w:b w:val="off"/>
                <w:color w:val="000000"/>
                <w:rFonts w:ascii="Times New Roman" w:hAnsi="Times New Roman" w:cs="Times New Roman" w:eastAsia="Times New Roman"/>
                <w:sz w:val="24"/>
              </w:rPr>
              <w:t>Nesúhlasíme s navrhovanou úpravou a navrhujeme ju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návrhu v UL poisteniach už nebudeme môcť uplatňovať odkupný poplatok ani žiadny iný typ „výstupného“ poplatku. Ani po prečítaní dôvodovej správy nie je zrejmý dôvod. Banky/fondy budú mať vo svojich produktoch/investičných možnostiach naďalej „výstupný“ poplatok, ale poisťovne 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znemožní uplatňovať: </w:t>
              <w:br/>
            </w:r>
            <w:r>
              <w:rPr>
                <w:b w:val="off"/>
                <w:color w:val="000000"/>
                <w:rFonts w:ascii="Times New Roman" w:hAnsi="Times New Roman" w:cs="Times New Roman" w:eastAsia="Times New Roman"/>
                <w:sz w:val="24"/>
              </w:rPr>
              <w:t xml:space="preserve">ˇ	odkupný poplatok v UL produktoch (pričom v „tradičnom“ poistení byť môže),  </w:t>
              <w:br/>
            </w:r>
            <w:r>
              <w:rPr>
                <w:b w:val="off"/>
                <w:color w:val="000000"/>
                <w:rFonts w:ascii="Times New Roman" w:hAnsi="Times New Roman" w:cs="Times New Roman" w:eastAsia="Times New Roman"/>
                <w:sz w:val="24"/>
              </w:rPr>
              <w:t xml:space="preserve">ˇ	akýkoľvek poplatok, ak sa v UL neplatí poistné [poplatky v a), b), c) sú len pri zaplatení poistného], pričom poisťovni náklady vznikajú, aj ak sa poistné neplatí, t.j. pri PZ v splatenom stave resp. jednorazovo zaplatených.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Porovnávanie UL produktov s podielovými fondami (v dôvodovej správe) je podľa nás metodicky nesprávne a problematické. UL produkty obsahuje poistné krytie (rizikové poistné), ktoré podielové fondy neposkytujú. Nákladovosť UL produktov zahŕňa aj náklady na poistné krytie, čo skresľuje porovnanie.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len o precizovanie už platného textu zákona vzhľadom na to, že v praxi dochádzalo k rôznym výkladom pri uplatňovaní tohto ustanovenia medzi poisťovňami a MF SR. Navrhovaná úprava má za cieľ zabezpečiť lepšiu ochranu klientov poisťovní počas celého trvania poistnej zmluvy, keďže poisťovne po uplynutí troch rokov upustili od aplikácie § 70a. Cieľom § 70a je však regulovať výšku nákladov, ktoré zaplatí klient počas celej doby poistnej zmluvy a nielen počas prvých troch rokov. Uvedené je v súlade s koncepciou Value for Money, ktorá vychádza z iniciatívy EK a EIOPA. Rozpor nebol odstránený a naďalej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71 až 74</w:t>
              <w:br/>
            </w:r>
            <w:r>
              <w:rPr>
                <w:b w:val="off"/>
                <w:color w:val="000000"/>
                <w:rFonts w:ascii="Times New Roman" w:hAnsi="Times New Roman" w:cs="Times New Roman" w:eastAsia="Times New Roman"/>
                <w:sz w:val="24"/>
              </w:rPr>
              <w:t xml:space="preserve">Navrhujeme doplniť prechodné ustanovenie k § 70a, že zmeny podľa § 70a sa budú vzťahovať len na poistné zmluvy uzatvorené po dátume účinnosti navrhovanej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opačnom prípade by takýto zásah predstavoval ohrozenie finančnej stability poisťovne, ak by po uzavretí zmluvy došlo k ex post zásahu do procesu tvorby ceny tým spôsobom, že by sa zakázala skutočnosť, s ktorou poisťovňa pri kalkulácii ceny dlhodobej zmluvy počítala ako s pozitívnym peňažným tokom. Takýto postup by mohol podstatne narušiť schopnosť poisťovne plniť svoje dlhodobé záväzky.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71 až 74</w:t>
              <w:br/>
            </w:r>
            <w:r>
              <w:rPr>
                <w:b w:val="off"/>
                <w:color w:val="000000"/>
                <w:rFonts w:ascii="Times New Roman" w:hAnsi="Times New Roman" w:cs="Times New Roman" w:eastAsia="Times New Roman"/>
                <w:sz w:val="24"/>
              </w:rPr>
              <w:t>Navrhujeme odložiť účinnosť ustanovenia § 70a na 1.1.2028, aby poisťovne mal dostatok času na zmenu UL produktov v zmysle požiadaviek navrhovaného § 70a.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Posun účinnosti § 70a navrhujeme z dôvodu, že novela zákona má nadobudnúť účinnosť už 1.1.2027 a schválená NR SR bude krátko pred jej účinnosťou. Poisťovne nebudú mať dostatok času na aplikáciu novelizovaného § 70a.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 posun účinnosti nového znenia § 70a je neprimeraný a len by sa predlžoval čas bez primeranej ochrany klientov poisťovní. Účinnosť celého návrhu zákona je 30.1. 2027 a od momentu jeho schválenia v NR SR budú mať poisťovne dostatok času zosúladiť svoje UL produkty s novou reguláciou. Rozpor nebol odstránený a naďalej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nových novelizačných bodov / článkov</w:t>
              <w:br/>
            </w:r>
            <w:r>
              <w:rPr>
                <w:b w:val="off"/>
                <w:color w:val="000000"/>
                <w:rFonts w:ascii="Times New Roman" w:hAnsi="Times New Roman" w:cs="Times New Roman" w:eastAsia="Times New Roman"/>
                <w:sz w:val="24"/>
              </w:rPr>
              <w:t>Navrhujeme doplniť legislatívnu úpravu zákona o poisťovníctve a súvisiacich zákonov, s cieľom umožniť poisťovniam a Slovenskej kancelárii poisťovateľov, na zákonom stanovený účel, využívať údaje z verejných registrov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Zákon č. 39/2015 Z. z. o poisťovníctve a o zmene a doplnení niektorých zákonov v znení neskorších predpisov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78 sa dopĺňa odsekmi 10,11 a 12 ktoré znejú:</w:t>
              <w:br/>
            </w:r>
            <w:r>
              <w:rPr>
                <w:b w:val="off"/>
                <w:color w:val="000000"/>
                <w:rFonts w:ascii="Times New Roman" w:hAnsi="Times New Roman" w:cs="Times New Roman" w:eastAsia="Times New Roman"/>
                <w:sz w:val="24"/>
              </w:rPr>
              <w:t>„(10) Na účely identifikácie klientov a ich zástupcov a zachovania možnosti následnej kontroly a overenia tejto identifikácie, na účely aktualizácie uchovávaných údajov klientov a ich zástupcov, na účely uzavierania poistných zmlúv a správy poistenia medzi poisťovňou, pobočkou poisťovne z iného členského štátu a pobočkou zahraničnej poisťovne a jej klientmi a ich zástupcami, na účely likvidácie poistných udalostí alebo škodových udalostí zo strany poisťovne, pobočky poisťovne z iného členského štátu a pobočky zahraničnej poisťovne, na účel ochrany a domáhania sa práv poisťovne, pobočky poisťovne z iného členského štátu a pobočky zahraničnej poisťovne voči jej klientom, na účel zdokumentovania činnosti poisťovne, pobočky poisťovne z iného členského štátu a pobočky zahraničnej poisťovne, na účely výkonu dohľadu nad poisťovňami, pobočkami poisťovní z iných členských štátov a pobočkami zahraničných poisťovní a nad ich činnosťami a na plnenie povinností a úloh poisťovne, pobočky poisťovne z iného členského štátu a pobočky zahraničnej poisťovne podľa tohto zákona alebo osobitných predpisov je poisťovňa, pobočka poisťovne z iného členského štátu a pobočka zahraničnej poisťovne aj bez súhlasu a informovania dotknutých osôb oprávnená spracúvať54) v rozsahu údajov zapísaných v registri fyzických osôb 57a), údajov uchovávaných v evidencii občianskych preukazov 57b) a údajov podľa odseku 1 , a to aj prostredníctvom spoločného subjektu zriadeného alebo povereného na tento účel. Na účel podľa prvej vety sú ministerstvo vnútra a správca komunikačnej časti autentifikačného modulu podľa osobitného predpisu 57c) povinní poskytnúť poisťovni, pobočke poisťovne z iného členského štátu a pobočke zahraničnej poisťovne, a to aj prostredníctvom spoločného subjektu zriadeného alebo povereného na tento účel, údaje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Na účely zisťovania, preverenia a kontroly identifikácie klientov a ich zástupcov, na účely uzavierania poistných zmlúv a správy poistenia medzi poisťovňou, pobočkou poisťovne z iného členského štátu a pobočkou zahraničnej poisťovne s klientmi, na ďalšie účely podľa odseku 3, ako aj na účely aktualizácie už poisťovňou, pobočkou poisťovne z iného členského štátu a pobočkou zahraničnej poisťovne uchovávaných údajov o klientoch a ich zástupcoch je poisťovňa, pobočka poisťovne z iného členského štátu a pobočka zahraničnej poisťovne oprávnená aj bez súhlasu dotknutých spracúvať54) údaje v rozsahu údajov zapísaných v registri právnických osôb, podnikateľov a orgánov verejnej moci, 57d) a to aj prostredníctvom spoločného subjektu zriadeného alebo povereného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Podrobnosti o spôsobe poskytovania a technické podmienky poskytovania údajov podľa § 78 ods. 10 a 11 upraví ministerstvo vnútra dohodou s poisťovňou, pobočkou poisťovne z iného členského štátu alebo pobočkou zahraničnej poisťovne, ktorej sa údaje poskytujú; ak sa údaje poskytujú prostredníctvom spoločného subjektu zriadeného alebo povereného na tento účel, dohodu uzavrie ministerstvo vnútra s týmto spoločným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57a) § 23a zákona č. 253/1998 Z.z. v znení neskorších predpisov</w:t>
              <w:br/>
            </w:r>
            <w:r>
              <w:rPr>
                <w:b w:val="off"/>
                <w:color w:val="000000"/>
                <w:rFonts w:ascii="Times New Roman" w:hAnsi="Times New Roman" w:cs="Times New Roman" w:eastAsia="Times New Roman"/>
                <w:sz w:val="24"/>
              </w:rPr>
              <w:t>57b) § 16 zákona č. 395/2019 Z.z. v znení neskorších predpisov</w:t>
              <w:br/>
            </w:r>
            <w:r>
              <w:rPr>
                <w:b w:val="off"/>
                <w:color w:val="000000"/>
                <w:rFonts w:ascii="Times New Roman" w:hAnsi="Times New Roman" w:cs="Times New Roman" w:eastAsia="Times New Roman"/>
                <w:sz w:val="24"/>
              </w:rPr>
              <w:t>57c) § 10 ods. 5 zákona č. 305/2013 Z.z. v znení neskorších predpisov</w:t>
              <w:br/>
            </w:r>
            <w:r>
              <w:rPr>
                <w:b w:val="off"/>
                <w:color w:val="000000"/>
                <w:rFonts w:ascii="Times New Roman" w:hAnsi="Times New Roman" w:cs="Times New Roman" w:eastAsia="Times New Roman"/>
                <w:sz w:val="24"/>
              </w:rPr>
              <w:t>57d) § 7 ods. 1 písm. b) a § 7a ods. 3 a 4 zákona č. 272/2015 Z.z. o registri právnických osôb, podnikateľov a orgánov verejnej moci a o zmene a doplnení niektorých zákonov v znení zákona č. 302/2023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„Poznámka pod čiarou 54 znie:</w:t>
              <w:br/>
            </w:r>
            <w:r>
              <w:rPr>
                <w:b w:val="off"/>
                <w:color w:val="000000"/>
                <w:rFonts w:ascii="Times New Roman" w:hAnsi="Times New Roman" w:cs="Times New Roman" w:eastAsia="Times New Roman"/>
                <w:sz w:val="24"/>
              </w:rPr>
              <w:t>„54) Zákon číslo 18/2018 Z.z. o ochrane osobných údajov, Nariadenie Európskeho parlamentu a Rady (EÚ) 2016/679 z 27. apríla 2016 o ochrane fyzických osôb pri spracúvaní osobných údajov a o voľnom pohybe takýchto údajov, ktorým sa zrušuje smernica 95/46/ES (všeobecné nariadenie o ochrane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opraviť aj poznámky pod čiarou číslo 42a), 49), 53) a 56) ktoré odkazujú na zrušený zákon č. 122/2013 Z.z. o ochrane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253/1998 Z. z. o hlásení pobytu občanov Slovenskej republiky a registri obyvateľov Slovenskej republiky v znení neskorších predpisov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23a ods. 2 sa za slová „banke a pobočke zahraničnej banky,8ab)“ vkladajú slová „poisťovni, pobočke poisťovne z iného členského štátu, pobočke zahraničnej poisťovne 8abc) a Slovenskej kancelárii poisťovateľov,8abd)“.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8abc) § 78 ods. 10 zákona č. 39/2015 Z. z. o poisťovníctve a o zmene a doplnení niektorých zákonov v znení neskorších predpisov</w:t>
              <w:br/>
            </w:r>
            <w:r>
              <w:rPr>
                <w:b w:val="off"/>
                <w:color w:val="000000"/>
                <w:rFonts w:ascii="Times New Roman" w:hAnsi="Times New Roman" w:cs="Times New Roman" w:eastAsia="Times New Roman"/>
                <w:sz w:val="24"/>
              </w:rPr>
              <w:t>8abd) § 24e zákona č. 381/2001 Z. z. o povinnom zmluvnom poistení zodpovednosti za škodu spôsobenú prevádzkou motorového vozidla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Zákon č. 395/2019 Z. z. o občianskych preukazoch a o zmene a doplnení niektorých zákonov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odkazu18 sa za slová „Napríklad § 93a ods. 9 a § 93c zákona č. 483/2001 Z. z. o bankách a o zmene a doplnení niektorých zákonov v znení zákona č. 211/2019 Z. z.“ vkladá čiarka a slová „§ 78 ods. 10 a 12 zákona č. 39/2015 Z. z. o poisťovníctve v znení zákona č. ....., § 24e zákona č. 381/2001 Z. z. o povinnom zmluvnom poistení zodpovednosti za škodu spôsobenú prevádzkou motorového vozidla a o zmene a doplnení niektorých zákonov v znení zákona č.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Zákon č. 272/2015 Z. z. o registri právnických osôb, podnikateľov a orgánov verejnej moci a o zmene a doplnení niektorých zákonov v znení neskorších predpisov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„V § 7 ods. 1 písm. b) sa na konci bodka nahrádza čiarkou a dopĺňajú slová „poisťovni, pobočke poisťovne z iného členského štátu, pobočke zahraničnej poisťovne 8d) a Slovenskej kancelárii poisťovateľov, 8e)“</w:t>
              <w:br/>
            </w:r>
            <w:r>
              <w:rPr>
                <w:b w:val="off"/>
                <w:color w:val="000000"/>
                <w:rFonts w:ascii="Times New Roman" w:hAnsi="Times New Roman" w:cs="Times New Roman" w:eastAsia="Times New Roman"/>
                <w:sz w:val="24"/>
              </w:rPr>
              <w:t>8d) § 78 ods. 10 zákona č. 39/2015 Z. z. o poisťovníctve a o zmene a doplnení niektorých zákonov v znení neskorších predpisov</w:t>
              <w:br/>
            </w:r>
            <w:r>
              <w:rPr>
                <w:b w:val="off"/>
                <w:color w:val="000000"/>
                <w:rFonts w:ascii="Times New Roman" w:hAnsi="Times New Roman" w:cs="Times New Roman" w:eastAsia="Times New Roman"/>
                <w:sz w:val="24"/>
              </w:rPr>
              <w:t>8e) § 24e zákona č. 381/2001 Z. z. o povinnom zmluvnom poistení zodpovednosti za škodu spôsobenú prevádzkou motorového vozidla a o zmene a doplnení niektorých zákonov v znení neskorších predpisov“.</w:t>
              <w:br/>
            </w:r>
            <w:r>
              <w:rPr>
                <w:b w:val="off"/>
                <w:color w:val="000000"/>
                <w:rFonts w:ascii="Times New Roman" w:hAnsi="Times New Roman" w:cs="Times New Roman" w:eastAsia="Times New Roman"/>
                <w:sz w:val="24"/>
              </w:rPr>
              <w:t>2. § 7a ods. 4 sa dopĺňa písmeno c, ktoré znie:</w:t>
              <w:br/>
            </w:r>
            <w:r>
              <w:rPr>
                <w:b w:val="off"/>
                <w:color w:val="000000"/>
                <w:rFonts w:ascii="Times New Roman" w:hAnsi="Times New Roman" w:cs="Times New Roman" w:eastAsia="Times New Roman"/>
                <w:sz w:val="24"/>
              </w:rPr>
              <w:t>„c) poisťovni, pobočke poisťovne z iného členského štátu, pobočke zahraničnej poisťovne a Slovenskej kancelárii poisťovateľov a to aj prostredníctvom spoločného subjektu zriadeného alebo povereného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znení účinnom od 17. 8.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Zákon č. 381/2001 Z.z. o povinnom zmluvnom poistení zodpovednosti za škodu spôsobenú prevádzkou motorového vozidla a o zmene a doplnení niektorých zákonov v znení neskorších predpisov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24d sa dopĺňa § 24e, ktorý vrátane nadpisu znie:</w:t>
              <w:br/>
            </w:r>
            <w:r>
              <w:rPr>
                <w:b w:val="off"/>
                <w:color w:val="000000"/>
                <w:rFonts w:ascii="Times New Roman" w:hAnsi="Times New Roman" w:cs="Times New Roman" w:eastAsia="Times New Roman"/>
                <w:sz w:val="24"/>
              </w:rPr>
              <w:t>„§ 24e</w:t>
              <w:br/>
            </w:r>
            <w:r>
              <w:rPr>
                <w:b w:val="off"/>
                <w:color w:val="000000"/>
                <w:rFonts w:ascii="Times New Roman" w:hAnsi="Times New Roman" w:cs="Times New Roman" w:eastAsia="Times New Roman"/>
                <w:sz w:val="24"/>
              </w:rPr>
              <w:t>Využívanie informácií z informačných systémov</w:t>
              <w:br/>
            </w:r>
            <w:r>
              <w:rPr>
                <w:b w:val="off"/>
                <w:color w:val="000000"/>
                <w:rFonts w:ascii="Times New Roman" w:hAnsi="Times New Roman" w:cs="Times New Roman" w:eastAsia="Times New Roman"/>
                <w:sz w:val="24"/>
              </w:rPr>
              <w:t>Na plnenie úloh podľa tohto zákona využíva Kancelária údaje z informačných systémov verejnej správy v rozsahu a za podmienok obdobne ako poisťovňa oprávnená prevádzkovať svoju činnosť v Slovenskej republike.“.“  Alternatíva: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24d sa vkladá § 24e, ktorý vrátane nadpisu znie:</w:t>
              <w:br/>
            </w:r>
            <w:r>
              <w:rPr>
                <w:b w:val="off"/>
                <w:color w:val="000000"/>
                <w:rFonts w:ascii="Times New Roman" w:hAnsi="Times New Roman" w:cs="Times New Roman" w:eastAsia="Times New Roman"/>
                <w:sz w:val="24"/>
              </w:rPr>
              <w:t>„§ 24e</w:t>
              <w:br/>
            </w:r>
            <w:r>
              <w:rPr>
                <w:b w:val="off"/>
                <w:color w:val="000000"/>
                <w:rFonts w:ascii="Times New Roman" w:hAnsi="Times New Roman" w:cs="Times New Roman" w:eastAsia="Times New Roman"/>
                <w:sz w:val="24"/>
              </w:rPr>
              <w:t>Využívanie údajov z informačných systémov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 účely plnenia úloh Kancelárie podľa tohto zákona, najmä na účely vedenia evidencií a registrov podľa tohto zákona, vybavovania nárokov poškodených, správy poistného garančného fondu, výkonu práv Kancelárie a kontroly plnenia povinností podľa tohto zákona, je Kancelária oprávnená aj bez súhlasu dotknutej osoby získavať údaje z informačných systémov verejnej správy v rozsahu nevyhnutnom na plnenie týchto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vnútra Slovenskej republiky, Štatistický úrad Slovenskej republiky a iní správcovia informačných systémov verejnej správy sú povinní poskytnúť Kancelárii údaje podľa odseku 1, ak tak ustanovuje tento zákon alebo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Údaje podľa odsekov 1 a 2 môže Kancelária získavať aj prostredníctvom subjektu zriadeného alebo povereného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právna úprava sleduje legitímny cieľ zvýšenia správnosti a aktuálnosti údajov používaných poisťovňami a Slovenskou kanceláriou poisťovateľov pri plnení ich zákonných povinností. Zároveň znižuje administratívnu záťaž klientov, ktorí nebudú musieť opakovane predkladať údaje, ktoré už sú vedené v informačných systémoch verejnej správy; je založená na princípe „jedenkrát a dosť“ a na potrebe zabezpečiť porovnateľné postavenie poisťovní s inými regulovanými subjektmi finančného trhu, najmä bankami, ktorým právny poriadok umožňuje využívať údaje z verejných registrov na plnenie zákonných povinností (zákon o bankách § 93a ods. 9 a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poisťovne v zmysle „§ 20 AML - Programu vlastnej činnosti“ plnia starostlivosť povinnej osoby voči svojim klientom (§ 10 a nasl. AML zákona) spravidla v nasledovných intervaloch: </w:t>
              <w:br/>
            </w:r>
            <w:r>
              <w:rPr>
                <w:b w:val="off"/>
                <w:color w:val="000000"/>
                <w:rFonts w:ascii="Times New Roman" w:hAnsi="Times New Roman" w:cs="Times New Roman" w:eastAsia="Times New Roman"/>
                <w:sz w:val="24"/>
              </w:rPr>
              <w:t xml:space="preserve">-	Vysokorizikový klient – 1x za rok </w:t>
              <w:br/>
            </w:r>
            <w:r>
              <w:rPr>
                <w:b w:val="off"/>
                <w:color w:val="000000"/>
                <w:rFonts w:ascii="Times New Roman" w:hAnsi="Times New Roman" w:cs="Times New Roman" w:eastAsia="Times New Roman"/>
                <w:sz w:val="24"/>
              </w:rPr>
              <w:t xml:space="preserve">-	Strednrizikový klient – 1x za 3 roky </w:t>
              <w:br/>
            </w:r>
            <w:r>
              <w:rPr>
                <w:b w:val="off"/>
                <w:color w:val="000000"/>
                <w:rFonts w:ascii="Times New Roman" w:hAnsi="Times New Roman" w:cs="Times New Roman" w:eastAsia="Times New Roman"/>
                <w:sz w:val="24"/>
              </w:rPr>
              <w:t xml:space="preserve">-	Nízkorizikový klient – 1x za 5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Pridanou hodnotou tejto právnej úpravy bude na strane klientov znížená nevyhnutnosť interakcie s poisťovňami (nebudú musieť pravidelne zasielať aktualizované údaje o ich trvalom pobyte, čísle OP atď. ), ale poisťovne  budú za nich uvedené údaje sťahovať z priamo z registrov.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Napr. v prípade aktualizácie údajov v OP klienta by poisťovňa už nemusela klientov v uvedených intervaloch obťažovať zaslaním požiadavky o ich nahlásenie, keďže by k tomu dochádzalo automaticky, bez zbytočného zaťažovania klienta.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 strane poisťovní bude prínosom znížená záťaž, najmä administratívna, pri spracúvaní podkladov zasielaných  od klientov, ktorými aktualizujú svoje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Prístup k údajom je viazaný výlučne na zákonom vymedzené účely a rozsah nevyhnutný na plnenie zákonných povinností. Týmto nie sú dotknuté povinnosti podľa všeobecného nariadenia o ochrane údajov a zákona č. 18/2018 Z. z. o ochrane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 Tieto úpravy sú natoľko rozsiahle a obsahujú návrhy na novelizáciu viacerých právnych predpisov, z ktorých väčšina ani nie je vo vecnej gescii predkladateľa. Výrazne zasahujú do kompetencií iných ministerstiev a inštitúcií, ktorým sa ukladajú nové povinnosti, pričom ich realizácia nebola predmetom predchádzajúcich rokovaní, tak z vecného hľadiska ako aj z finančného, nakoľko ich realizácia by podľa názoru predkladateľa mala dopad aj na verejné financie. Rozpor nebol odstránený a naďalej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obsahuje viacero nových povinností s finančným dopadom a najmä zvýšením administratívnej záťaže, pričom kalkulačka nákladov na podnikateľské prostredie je neúplná a nezohľadňuje opatrenia proporcionality, skutočné finančné dopady a z nich vyplývajúce zmeny administratívnej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rámci konzultácií s podnikateľským prostredím bola diskutovaná aj téma možných finančných a administratívnych dopadov, ktoré by vznikli prijatím navrhovanej právnej úpravy na podnikateľské prostredie, t. j. najmä na poisťovne. Zástupcovia Slovenskej asociácie poisťovní uviedli, že momentálne nie je možné jednoznačne kvantifikovať tieto dopady z dôvodu, že ich výška a rozsah sa bude primárne odvíjať od následne prijatých delegovaných aktov EK a regulačných a implementačných technických štandardov EIOPA.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5, v časti §5 al)</w:t>
              <w:br/>
            </w:r>
            <w:r>
              <w:rPr>
                <w:b w:val="off"/>
                <w:color w:val="000000"/>
                <w:rFonts w:ascii="Times New Roman" w:hAnsi="Times New Roman" w:cs="Times New Roman" w:eastAsia="Times New Roman"/>
                <w:sz w:val="24"/>
              </w:rPr>
              <w:t xml:space="preserve">Navrhujeme vypustiť zaradenie členov Dozorného orgánu medzi osoby riadiace poisťovňu.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členov Dozorného orgánu medzi osoby riadiace poisťovňu považujeme za rozporné s dlhodobo deklarovanou snahou v oblasti finančného sektora, pokiaľ ide o zníženie administratívnej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Členovia dozornej rady majú významnú úlohu pri riadení finančnej inštitúcie, takže je dôležité, aby mali adekvátnu odbornú spôsobilosť a dôveryhodnosť. Zároveň je to v súlade s Usmernením EIOPA. Taktiež ide o horizontálne zjednotenie pravidiel na finančnom trhu, keďže takáto požiadavka je aj v iných sektoroch finančného trhu, napr. banky.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5, v časti §5 aq)</w:t>
              <w:br/>
            </w:r>
            <w:r>
              <w:rPr>
                <w:b w:val="off"/>
                <w:color w:val="000000"/>
                <w:rFonts w:ascii="Times New Roman" w:hAnsi="Times New Roman" w:cs="Times New Roman" w:eastAsia="Times New Roman"/>
                <w:sz w:val="24"/>
              </w:rPr>
              <w:t xml:space="preserve">Navrhujeme termín „riziká ohrozujúce udržateľnosť“ nahradiť termínom „riziká súvisiace s udržateľnosťou“ prípadne „riziká udržateľnosti“ a následne nahradiť používanie tohto termínu vo zvyšnom texte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Domnievame sa, že termín “riziká ohrozujúce udržateľnosť” je sémanticky nesprávny preklad anglického termínu “sustainability risks”. Nejedná sa totiž o riziká, ktoré ohrozujú samotnú udržateľnosť, ale o riziká vyplývajúce z faktorov udržateľnosti (aspektov udržateľnosti), ktoré majú/môžu mať negatívny vplyv na hodnotu investícií alebo hodnotu záväzkov – čiže ide o vplyv externého prostredia smerom na finančnú hodnotu (uvádza sa aj pojem “zvonka dovnútra”). Od rizík súvisiacich s udržateľnosťou je potrebné odlišovať negatívne vplyvy na udržateľnosť. Tieto napríklad vznikajú v súvislosti s činnosťami podniku, v ktorom sa investuje na externé prostredie (tzv. vplyvy “zvnútra von”). Riziká súvisiace s udržateľnosťou a negatívne vplyvy na udržateľnosť predstavujú samostatné koncepty, ktoré sú napríklad v európskej legislatíve uvedené v smernici CSRD alebo nariadení SFDR, ale napríklad aj v samotnej úprave smernice Solvency II (2025/2) a návrhu zákona v bode 66, ktorým sa § 64 zákona o poisťovníctve dopĺňa o odsek 10: „Poisťovňa alebo zaisťovňa je povinná pri rozhodovaní o svojej investičnej stratégii zohľadňovať možný makroekonomický vývoj a vývoj na finančných trhoch podľa § 26 ods. 11, vplyv rizík ohrozujúcich súvisiacich s udržateľnosťou svojich investícií a potenciálny dlhodobý vplyv svojich investičných rozhodnutí na faktory udržateľnosti.”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Zároveň navrhujeme používať tento pojem namiesto rôznych alternatív v texte zákona (bližšie v komentári k § 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Pojem „riziko ohrozujúce udržateľnosť“ je definovaný v § 5 písm. aq) návrhu a vychádza z definície uvedenej v smernici (EÚ) 2025/2. Tento termín s jeho definovaným obsahom sa následne používa v celej terminológii smernice, ako aj vo vykonávacích predpisoch, napr. vykonávacie nariadenie, príslušné RTS.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23</w:t>
              <w:br/>
            </w:r>
            <w:r>
              <w:rPr>
                <w:b w:val="off"/>
                <w:color w:val="000000"/>
                <w:rFonts w:ascii="Times New Roman" w:hAnsi="Times New Roman" w:cs="Times New Roman" w:eastAsia="Times New Roman"/>
                <w:sz w:val="24"/>
              </w:rPr>
              <w:t>Navrhujeme definovať nový pojem „vrátane rizík týkajúcich sa ochrany spotrebiteľa“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smernice (EÚ) 2025/2. Zároveň sa jedná o výmenu informácií medzi orgánmi dohľadu, takže uvedené sa nedotkne poisťovní.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27, v časti §21b odsek 8</w:t>
              <w:br/>
            </w:r>
            <w:r>
              <w:rPr>
                <w:b w:val="off"/>
                <w:color w:val="000000"/>
                <w:rFonts w:ascii="Times New Roman" w:hAnsi="Times New Roman" w:cs="Times New Roman" w:eastAsia="Times New Roman"/>
                <w:sz w:val="24"/>
              </w:rPr>
              <w:t>Na konci ustanovenie je potrebné vypustiť duplicitné slovo „žiadosť“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29</w:t>
              <w:br/>
            </w:r>
            <w:r>
              <w:rPr>
                <w:b w:val="off"/>
                <w:color w:val="000000"/>
                <w:rFonts w:ascii="Times New Roman" w:hAnsi="Times New Roman" w:cs="Times New Roman" w:eastAsia="Times New Roman"/>
                <w:sz w:val="24"/>
              </w:rPr>
              <w:t xml:space="preserve">Navrhujeme upresniť, čo bude považované za splnenie zákona k ustanoveniu „Poisťovňa a zaisťovňa zavedie politiku podporujúcu rozmanitosť v predstavenstve alebo dozornej rade vrátane určenia individuálnych kvantitatívnych cieľov súvisiacich s rodovou rovnosťou.“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Bude podmienkou samostatná smernica o rozmanitosti alebo politika môže byť definovaná aj napríklad cez Fit &amp; Proper? Kvantitatívne ciele - stačí na úrovni spoločnosti celkovo alebo aj špecificky pre manažment, predstavenstvo, dozorná rada ? V prípade požiadavky vypracovávať osobitné interné predpisy je potrebné určiť prechodnú obdobie na splnenie povinnosti, vzhľadom na návrh termínu účinnosti.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bodu 20 (čl. 41 ods. 1) smernice (EÚ) 2025/2 orgán EIOPA vydá usmernenia k pojmu rozmanitosti, ktorý sa má zohľadniť pri výbere členov správneho orgánu, riadiaceho orgánu alebo kontrolného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32 a nasl.</w:t>
              <w:br/>
            </w:r>
            <w:r>
              <w:rPr>
                <w:b w:val="off"/>
                <w:color w:val="000000"/>
                <w:rFonts w:ascii="Times New Roman" w:hAnsi="Times New Roman" w:cs="Times New Roman" w:eastAsia="Times New Roman"/>
                <w:sz w:val="24"/>
              </w:rPr>
              <w:t>V §24 navrhujeme doplniť k Fit &amp; Proper a údajom pre register trestov, že údaje požadované na účely overenia dôveryhodnosti musia byť obmedzené na nevyhnutný rozsah a použité výlučne na účel výkonu dohľadu nad splnením požiadaviek odbornej spôsobilosti a dôveryhodnosti.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úpravu bodu 19 (čl. 40) a bodu 21 (čl. 42). Akékoľvek dopĺňanie podmienok k textu smernice môže byť vyhodnotené ako nedostatočné transponovanie textu smernice. Zároveň je potrebné uviesť, že dohľad vždy zbiera údaje za účelom dohľadu a nezbiera údaje duplicitne. V prípade, ak majú poisťovne názor, že jednotlivé údaje sú duplicitné alebo neprimerané je možné uplatniť výhradu priamo voči opatreniu NBS, ktoré stanovuje rozsah zbieraných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44 a 50</w:t>
              <w:br/>
            </w:r>
            <w:r>
              <w:rPr>
                <w:b w:val="off"/>
                <w:color w:val="000000"/>
                <w:rFonts w:ascii="Times New Roman" w:hAnsi="Times New Roman" w:cs="Times New Roman" w:eastAsia="Times New Roman"/>
                <w:sz w:val="24"/>
              </w:rPr>
              <w:t>V § 25 ods. 14 až 19 a § 26a – k ESG / klimatickým scenárom navrhujeme spresniť, že analýzy dlhodobých klimatických scenárov sa majú vykonávať iba v prípade významnej expozície voči klimatickým rizikám a v rozsahu primeranom povahe, rozsahu a zložitosti činnosti poisťovne.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bodu 22 (čl. 44 ods. 2c) smernice (EÚ) 2025/2 orgán EIOPA s cieľom zabezpečiť jednotné uplatňovanie tohto článku vypracuje návrh regulačných technických predpisov. § 26a priamo obsahuje princíp proporcionality a to tým, že sa nevzťahuje na malú a menej zložitú spoločnosť.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44</w:t>
              <w:br/>
            </w:r>
            <w:r>
              <w:rPr>
                <w:b w:val="off"/>
                <w:color w:val="000000"/>
                <w:rFonts w:ascii="Times New Roman" w:hAnsi="Times New Roman" w:cs="Times New Roman" w:eastAsia="Times New Roman"/>
                <w:sz w:val="24"/>
              </w:rPr>
              <w:t>Navrhujeme zosúladiť terminológiu používanú v odsekoch 14 až 18 (faktory udržateľnosti, finančné riziká vyplývajúce z faktorov udržateľnosti, „riziká ohrozujúce udržateľnosť“ (navrhnutá zmena  pojmu v pripomienke k § 5 písm. aq), riziká udržateľnosti )alebo výslovne vysvetliť vzájomný vzťah jednotlivých pojmov. Navrhujeme tiež spresniť minimálne očakávania vo vzťahu ku kvantifikovateľným cieľom podľa 14 až 18, prípadne doplniť odkaz na princíp proporcionality a doplniť výslovnú väzbu na proces vlastného posúdenia rizík a solventnosti (ORSA), aby bolo zrejmé, ako sa plány podľa ods. 14 až 18 integrujú do existujúceho systému riadenia rizík a aby sa predišlo vytváraniu duplicitných procesov.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používa viacero podobných pojmov bez zrejmého rozlíšenia, čo môže spôsobovať nejednotný výklad rozsahu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ďalšieho spresnenia minimálnych očakávaní vo vzťahu ku kvantifikovateľným cieľom podľa 14 až 18, prípadne doplnenia odkaz na princíp proporcionality nie je zrejmé, aká úroveň detailu a merateľnosti bude považovaná za dostatočnú na účely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výslovnú väzbu na proces vlastného posúdenia rizík a solventnosti (ORSA), aby bolo zrejmé, ako sa plány podľa ods. 14 až 18 integrujú do existujúceho systému riadenia rizík a aby sa predišlo vytváraniu duplicitných procesov. V ods. 14 hovorí o plánoch na „finančné riziká vyplývajúce z faktorov udržateľnosti“ a ods. 17 „riziká ohrozujúce udržateľnosť“, v  ods. 15 je pojem „riziká udržateľnosti“ - navrhujeme pojmy zjednotiť alebo špecifikovať.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Zjednotenie pojmov uvádzaných v odsekoch 15 a 17 v súlade s ich definíciou. Bližšie podrobnosti ku kvantifikovateľným cieľom podľa odsekov14 až 18, budú určené vo vykonávacích predpisoch k predmetnej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44</w:t>
              <w:br/>
            </w:r>
            <w:r>
              <w:rPr>
                <w:b w:val="off"/>
                <w:color w:val="000000"/>
                <w:rFonts w:ascii="Times New Roman" w:hAnsi="Times New Roman" w:cs="Times New Roman" w:eastAsia="Times New Roman"/>
                <w:sz w:val="24"/>
              </w:rPr>
              <w:t>V §25 odsek 19 navrhujeme upresniť formu zverejnenia.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transpozíciu bodu 22 (čl. 44 ods. 2d) smernice (EÚ) 2025/2, na ktorý sa vzťahuje ods. 2c, ktorý ustanovuje, že orgán EIOPA s cieľom zabezpečiť jednotné uplatňovanie tohto článku vypracuje návrh regulačných technických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45 až 49</w:t>
              <w:br/>
            </w:r>
            <w:r>
              <w:rPr>
                <w:b w:val="off"/>
                <w:color w:val="000000"/>
                <w:rFonts w:ascii="Times New Roman" w:hAnsi="Times New Roman" w:cs="Times New Roman" w:eastAsia="Times New Roman"/>
                <w:sz w:val="24"/>
              </w:rPr>
              <w:t>V  § 26 ods. 1, 5, 8, 11 až 17 vo vzťahu  k makroprudenciálnym požiadavkám navrhujeme spresniť rozsah makroprudenciálnych informácií, ktoré má poisťovňa zohľadňovať v ORSA a v systéme riadenia rizík, aby bola zabezpečená právna istota a predvídateľnosť požiadaviek.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transpozíciu bodu 23 (čl. 45) smernice (EÚ) 2025/2, ktorého  jednotné uplatňovanie je zabezpečené na základe čl. 50 ods. 3 smernice 2009/138/ES v platnom znení prostredníctvom regulačných technických predpisov ustanovených orgánom EIOPA ako aj  nariadením (EÚ) č. 1092/2010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62</w:t>
              <w:br/>
            </w:r>
            <w:r>
              <w:rPr>
                <w:b w:val="off"/>
                <w:color w:val="000000"/>
                <w:rFonts w:ascii="Times New Roman" w:hAnsi="Times New Roman" w:cs="Times New Roman" w:eastAsia="Times New Roman"/>
                <w:sz w:val="24"/>
              </w:rPr>
              <w:t>V §49c odsek 8 nie je zrejmé, či a do akej miery sa do úvahy berú deriváty ktoré môže poisťovňa držať za účelom hedgingu.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Nemá charakter pripomienky (transpozícia bodu 48 (čl. 105a) smernice (EÚ) 2025/2).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63</w:t>
              <w:br/>
            </w:r>
            <w:r>
              <w:rPr>
                <w:b w:val="off"/>
                <w:color w:val="000000"/>
                <w:rFonts w:ascii="Times New Roman" w:hAnsi="Times New Roman" w:cs="Times New Roman" w:eastAsia="Times New Roman"/>
                <w:sz w:val="24"/>
              </w:rPr>
              <w:t>Navrhujeme spresniť pojem „nevýznamné riziko“ a doplniť, že posúdenie nevýznamnosti má vychádzať z vopred stanovených a zdokumentovaných interných kritérií poisťovne.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Bod 63 neobsahuje uvedený pojem. Akékoľvek dopĺňanie podmienok uvedených v texte smernice môže byť vyhodnotené ako nedostatočné transponovanie textu smernice.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64</w:t>
              <w:br/>
            </w:r>
            <w:r>
              <w:rPr>
                <w:b w:val="off"/>
                <w:color w:val="000000"/>
                <w:rFonts w:ascii="Times New Roman" w:hAnsi="Times New Roman" w:cs="Times New Roman" w:eastAsia="Times New Roman"/>
                <w:sz w:val="24"/>
              </w:rPr>
              <w:t>Navrhujeme, aby bolo možné takýto odhad poskytnúť v rámci ORSA správy napríklad v časti posúdenia vhodnosti.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Bolo by to pre poisťovne menej administratívne náročné ak by sa pre oznamovanie týchto informácii mohol využiť zaužívaný formát ORSA reportu.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ORSU ale o používanie vnútorných modelov.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75</w:t>
              <w:br/>
            </w:r>
            <w:r>
              <w:rPr>
                <w:b w:val="off"/>
                <w:color w:val="000000"/>
                <w:rFonts w:ascii="Times New Roman" w:hAnsi="Times New Roman" w:cs="Times New Roman" w:eastAsia="Times New Roman"/>
                <w:sz w:val="24"/>
              </w:rPr>
              <w:t>Navrhujeme doplniť ustanovenia § 70b až § 70f tak, aby opatrenia proporcionality mohli byť v odôvodnených prípadoch efektívne využiteľné aj poisťovňami, ktoré nie sú klasifikované ako malé a menej zložité spoločnosti, ak konkrétna požiadavka nie je primeraná povahe, rozsahu a zložitosti ich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Opatrenia proporcionality, ktoré môžu využívať poisťovne a zaisťovne, ktoré nie sú klasifikované ako malé a menej zložité spoločnosti sú upravené v § 70e v zmysle bodu 13 (čl. 29d) smernice (EÚ) 2025/2. Ostatné opatrenia môžu využívať len malé a menej zložité spoločnosti.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75</w:t>
              <w:br/>
            </w:r>
            <w:r>
              <w:rPr>
                <w:b w:val="off"/>
                <w:color w:val="000000"/>
                <w:rFonts w:ascii="Times New Roman" w:hAnsi="Times New Roman" w:cs="Times New Roman" w:eastAsia="Times New Roman"/>
                <w:sz w:val="24"/>
              </w:rPr>
              <w:t>K rozhodovaniu NBS pri proporcionalite – procesné garancie navrhujeme doplniť procesnú lehotu a povinnosť odôvodnenia rozhodnutia NBS v prípadoch, keď NBS neumožní alebo obmedzí využitie opatrení proporcionality.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Proces rozhodovania sa riadi všeobecne platnými ustanoveniami upravenými v zákona č. 747/2004 Z. z. o dohľade nad finančným trhom (§ 12 a nasl.).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75, v časti §70e odsek 2, písmeno c)</w:t>
              <w:br/>
            </w:r>
            <w:r>
              <w:rPr>
                <w:b w:val="off"/>
                <w:color w:val="000000"/>
                <w:rFonts w:ascii="Times New Roman" w:hAnsi="Times New Roman" w:cs="Times New Roman" w:eastAsia="Times New Roman"/>
                <w:sz w:val="24"/>
              </w:rPr>
              <w:t>Navrhujeme spresniť pojem „strategická zmena“.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„strategická zmena“ nie je nikde zadefinovaný, pričom subjekty majú rôzny rizikový apetít. Minimálne navrhujeme doplniť „významný vplyv“.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Definovanie smernicových pojmov na národnej úrovni môže viesť k ich rôznemu výkladu a používaniu. Rovnako doplnenie pojmu „významný“  nad rámec smernice môže viesť k inému významu celého ustanovenia. Dávame do pozornosti, že smernica splnomocnila v čl. 12 ods. 5 smernice (EÚ) 2025/2 na vydanie metodiky v oblasti malých a menej zložitých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96</w:t>
              <w:br/>
            </w:r>
            <w:r>
              <w:rPr>
                <w:b w:val="off"/>
                <w:color w:val="000000"/>
                <w:rFonts w:ascii="Times New Roman" w:hAnsi="Times New Roman" w:cs="Times New Roman" w:eastAsia="Times New Roman"/>
                <w:sz w:val="24"/>
              </w:rPr>
              <w:t>Navrhujeme zjednotiť so zákonom o AML.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AML rieši vypustené odseky v inej forme a wordingu, preto vypustenie týchto ustanovení môže teoreticky znamenať interpretačný problém najmä vo vzťahu k diskusiám s úradom na ochranu osobných údajov na tému zákonného právneho základu.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uplatňovania ochrany pred legalizáciou príjmov z trestnej činnosti sa na oblasť poisťovníctva bude vzťahovať právna úprava obsiahnutá v zákone č. 297/2008 Z. z. o ochrane pred legalizáciou príjmov z trestnej činnosti a o ochrane pred financovaním terorizmu.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171 v časti §145a odsek 2</w:t>
              <w:br/>
            </w:r>
            <w:r>
              <w:rPr>
                <w:b w:val="off"/>
                <w:color w:val="000000"/>
                <w:rFonts w:ascii="Times New Roman" w:hAnsi="Times New Roman" w:cs="Times New Roman" w:eastAsia="Times New Roman"/>
                <w:sz w:val="24"/>
              </w:rPr>
              <w:t>Navrhujeme, aby NBS vydala usmernenie pre plán riadenia rizika likvidity a aby sa nezavádzal nový reporting proces. Zároveň, aby sa za splnenie povinnosti považovalo vykonávanie kvartálnej aktualizácie prepočtov likvidity na obdobie 1 roka dopredu.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prípade potreby a požiadaviek z praxe, môže NBS vydať metodické usmernenie aj bez splnomocňovacieho ustanovenia v zákone.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202, v časti §161 odsek 4</w:t>
              <w:br/>
            </w:r>
            <w:r>
              <w:rPr>
                <w:b w:val="off"/>
                <w:color w:val="000000"/>
                <w:rFonts w:ascii="Times New Roman" w:hAnsi="Times New Roman" w:cs="Times New Roman" w:eastAsia="Times New Roman"/>
                <w:sz w:val="24"/>
              </w:rPr>
              <w:t>Navrhujeme vypustiť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právnu úpravu nepovažujeme za súladnú so smernicou EP a Rady (EÚ) 2025/1 ktorou sa stanovuje rámec pre ozdravenie a riešenie krízových situácií poisťovní a zaisťovní, ktorej transpozícia sa aktuálne na MF SR pripravuje. Jej cieľom je najmä zachovanie výhod poistníkov z poistných zmlúv, čo navrhovaný automatický zánik poistných zmlúv, popiera. Napr. ak by bol nečinný likvidátor, v lehote 24 mesiacov dôjde k strate poistnej ochrany klientov.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161 bolo upravené na základe pripomienok MS SR a NBS uplatnených v rámci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235</w:t>
              <w:br/>
            </w:r>
            <w:r>
              <w:rPr>
                <w:b w:val="off"/>
                <w:color w:val="000000"/>
                <w:rFonts w:ascii="Times New Roman" w:hAnsi="Times New Roman" w:cs="Times New Roman" w:eastAsia="Times New Roman"/>
                <w:sz w:val="24"/>
              </w:rPr>
              <w:t>V §205d navrhujeme upraviť odsek 9 a vypustiť odsek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9 navrhujeme upraviť tak, aby nedošlo k retroaktivite, že už začaté konania nebudú dokončené podľa platného právneho predpisu, ale dotknutá právnická osoba bude ex lege k 1. marcu 2027 zrušená a vstúpi do likvidácie. Aktuálne platí, že o tom rozhoduje súd na návrh NBS ako stanovuje platná legislatíva dnes.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Predmetným prechodným ustanovením nedochádza k retroaktivite, ale sa spresňuje postup po nadobudnutí účinnosti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písm. al)</w:t>
              <w:br/>
            </w:r>
            <w:r>
              <w:rPr>
                <w:b w:val="off"/>
                <w:color w:val="000000"/>
                <w:rFonts w:ascii="Times New Roman" w:hAnsi="Times New Roman" w:cs="Times New Roman" w:eastAsia="Times New Roman"/>
                <w:sz w:val="24"/>
              </w:rPr>
              <w:t xml:space="preserve">Navrhujeme vypustiť zaradenie členov Dozorného orgánu medzi osoby riadiace poisťovňu.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členov Dozorného orgánu medzi osoby riadiace poisťovňu považujeme za rozporné s dlhodobo deklarovanou snahou v oblasti finančného sektora, pokiaľ ide o zníženie administratívnej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Členovia dozornej rady majú významnú úlohu pri riadení finančnej inštitúcie, takže je dôležité, aby mali adekvátnu odbornú spôsobilosť a dôveryhodnosť. Zároveň je to v súlade s Usmernením EIOPA. Taktiež ide o horizontálne zjednotenie pravidiel na finančnom trhu, keďže takáto požiadavka je aj v iných sektoroch finančného trhu, napr. banky.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písm. aq)</w:t>
              <w:br/>
            </w:r>
            <w:r>
              <w:rPr>
                <w:b w:val="off"/>
                <w:color w:val="000000"/>
                <w:rFonts w:ascii="Times New Roman" w:hAnsi="Times New Roman" w:cs="Times New Roman" w:eastAsia="Times New Roman"/>
                <w:sz w:val="24"/>
              </w:rPr>
              <w:t xml:space="preserve">Navrhujeme termín „riziká ohrozujúce udržateľnosť“ nahradiť termínom „riziká súvisiace s udržateľnosťou“ prípadne „riziká udržateľnosti“ a následne nahradiť používanie tohto termínu vo zvyšnom texte návrhu zákona.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Domnievame sa, že termín “riziká ohrozujúce udržateľnosť” je sémanticky nesprávny preklad anglického termínu “sustainability risks”. Nejedná sa totiž o riziká, ktoré ohrozujú samotnú udržateľnosť, ale o riziká vyplývajúce z faktorov udržateľnosti (aspektov udržateľnosti), ktoré majú/môžu mať negatívny vplyv na hodnotu investícií alebo hodnotu záväzkov – čiže ide o vplyv externého prostredia smerom na finančnú hodnotu (uvádza sa aj pojem “zvonka dovnútra”). Od rizík súvisiacich s udržateľnosťou je potrebné odlišovať negatívne vplyvy na udržateľnosť. Tieto napríklad vznikajú v súvislosti s činnosťami podniku, v ktorom sa investuje na externé prostredie (tzv. vplyvy “zvnútra von”). Riziká súvisiace s udržateľnosťou a negatívne vplyvy na udržateľnosť predstavujú samostatné koncepty, ktoré sú napríklad v európskej legislatíve uvedené v smernici CSRD alebo nariadení SFDR, ale napríklad aj v samotnej úprave smernice Solvency II (2025/2) a návrhu zákona v bode 66, ktorým sa § 64 zákona o poisťovníctve dopĺňa o odsek 10: „Poisťovňa alebo zaisťovňa je povinná pri rozhodovaní o svojej investičnej stratégii zohľadňovať možný makroekonomický vývoj a vývoj na finančných trhoch podľa § 26 ods. 11, vplyv rizík ohrozujúcich súvisiacich s udržateľnosťou svojich investícií a potenciálny dlhodobý vplyv svojich investičných rozhodnutí na faktory udržateľnosti.”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Zároveň navrhujeme používať tento pojem namiesto rôznych alternatív v texte zákona (bližšie v komentári k § 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Pojem „riziko ohrozujúce udržateľnosť“ je definovaný v § 5 písm. aq) návrhu a vychádza z definície uvedenej v smernici (EÚ) 2025/2. Tento termín s jeho definovaným obsahom sa následne používa v celej terminológii smernice, ako aj vo vykonávacích predpisoch, napr. vykonávacie nariadenie, príslušné RTS.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2 písm. c)</w:t>
              <w:br/>
            </w:r>
            <w:r>
              <w:rPr>
                <w:b w:val="off"/>
                <w:color w:val="000000"/>
                <w:rFonts w:ascii="Times New Roman" w:hAnsi="Times New Roman" w:cs="Times New Roman" w:eastAsia="Times New Roman"/>
                <w:sz w:val="24"/>
              </w:rPr>
              <w:t>Navrhujeme doplniť ustanovenie v súlade s dôvodovou správou.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vyplýva, že zahraničnej poisťovni bude postačovať domovský režim. Nie však, či sa bude posudzovať primeranosť s požiadavkami smernice SII. V dôvodovej správe je síce uvedené, že ďalšie požiadavky stanoví NBS opatrením, ale mal by to už jednoznačne stanovovať zákon, že sa budú posudzovať aj ďalšie požiadavky.</w:t>
              <w:br/>
            </w:r>
            <w:r>
              <w:rPr>
                <w:b w:val="off"/>
                <w:color w:val="000000"/>
                <w:rFonts w:ascii="Times New Roman" w:hAnsi="Times New Roman" w:cs="Times New Roman" w:eastAsia="Times New Roman"/>
                <w:sz w:val="24"/>
              </w:rPr>
              <w:t xml:space="preserve"> 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Predmetné ustanovenie len dopĺňa ďalšiu podmienku, ktorá musí byť splnená pri udelení povolenia pre zahraničnú pobočku. Jedná sa o sprísnenie súčasného režimu a v žiadnom prípade neznižuje požiadavky oproti súčasnému stavu. Zároveň táto požiadavka vychádza z Usmernenia č. 1 EIOPA.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16,17 ods. 9,11</w:t>
              <w:br/>
            </w:r>
            <w:r>
              <w:rPr>
                <w:b w:val="off"/>
                <w:color w:val="000000"/>
                <w:rFonts w:ascii="Times New Roman" w:hAnsi="Times New Roman" w:cs="Times New Roman" w:eastAsia="Times New Roman"/>
                <w:sz w:val="24"/>
              </w:rPr>
              <w:t>Pripomienka k § 16 ods. 9 a § 17 ods. 11</w:t>
              <w:br/>
            </w:r>
            <w:r>
              <w:rPr>
                <w:b w:val="off"/>
                <w:color w:val="000000"/>
                <w:rFonts w:ascii="Times New Roman" w:hAnsi="Times New Roman" w:cs="Times New Roman" w:eastAsia="Times New Roman"/>
                <w:sz w:val="24"/>
              </w:rPr>
              <w:t>Navrhujeme definovať nový pojem „vrátane rizík týkajúcich sa ochrany spotrebiteľa“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smernice (EÚ) 2025/2. Zároveň sa jedná o výmenu informácií medzi orgánmi dohľadu, takže uvedené sa nedotkne poisťovní.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21 ods. 8</w:t>
              <w:br/>
            </w:r>
            <w:r>
              <w:rPr>
                <w:b w:val="off"/>
                <w:color w:val="000000"/>
                <w:rFonts w:ascii="Times New Roman" w:hAnsi="Times New Roman" w:cs="Times New Roman" w:eastAsia="Times New Roman"/>
                <w:sz w:val="24"/>
              </w:rPr>
              <w:t>Na konci ustanovenie je potrebné vypustiť duplicitné slovo „žiadosť“.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23 ods. 2</w:t>
              <w:br/>
            </w:r>
            <w:r>
              <w:rPr>
                <w:b w:val="off"/>
                <w:color w:val="000000"/>
                <w:rFonts w:ascii="Times New Roman" w:hAnsi="Times New Roman" w:cs="Times New Roman" w:eastAsia="Times New Roman"/>
                <w:sz w:val="24"/>
              </w:rPr>
              <w:t xml:space="preserve">Navrhujeme upresniť, čo bude považované za splnenie zákona k ustanoveniu „Poisťovňa a zaisťovňa zavedie politiku podporujúcu rozmanitosť v predstavenstve alebo dozornej rade vrátane určenia individuálnych kvantitatívnych cieľov súvisiacich s rodovou rovnosťou.“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Bude podmienkou samostatná smernica o rozmanitosti alebo politika môže byť definovaná aj napríklad cez Fit &amp; Proper? Kvantitatívne ciele - stačí na úrovni spoločnosti celkovo alebo aj špecificky pre manažment, predstavenstvo, dozorná rada ? V prípade požiadavky vypracovávať osobitné interné predpisy je potrebné určiť prechodnú obdobie na splnenie povinnosti, vzhľadom na návrh termínu účinnosti.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bodu 20 (čl. 41 ods. 1) smernice (EÚ) 2025/2 orgán EIOPA vydá usmernenia k pojmu rozmanitosti, ktorý sa má zohľadniť pri výbere členov správneho orgánu, riadiaceho orgánu alebo kontrolného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24</w:t>
              <w:br/>
            </w:r>
            <w:r>
              <w:rPr>
                <w:b w:val="off"/>
                <w:color w:val="000000"/>
                <w:rFonts w:ascii="Times New Roman" w:hAnsi="Times New Roman" w:cs="Times New Roman" w:eastAsia="Times New Roman"/>
                <w:sz w:val="24"/>
              </w:rPr>
              <w:t>Navrhujeme doplniť k Fit &amp; Proper a údajom pre register trestov, že údaje požadované na účely overenia dôveryhodnosti musia byť obmedzené na nevyhnutný rozsah a použité výlučne na účel výkonu dohľadu nad splnením požiadaviek odbornej spôsobilosti a dôveryhodnosti.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úpravu bodu 19 (čl. 40) a bodu 21 (čl. 42). Akékoľvek dopĺňanie podmienok k textu smernice môže byť vyhodnotené ako nedostatočné transponovanie textu smernice. Zároveň je potrebné uviesť, že dohľad vždy zbiera údaje za účelom dohľadu a nezbiera údaje duplicitne. V prípade, ak majú poisťovne názor, že jednotlivé údaje sú duplicitné alebo neprimerané je možné uplatniť výhradu priamo voči opatreniu NBS, ktoré stanovuje rozsah zbieraných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25,26a ods. 14až19</w:t>
              <w:br/>
            </w:r>
            <w:r>
              <w:rPr>
                <w:b w:val="off"/>
                <w:color w:val="000000"/>
                <w:rFonts w:ascii="Times New Roman" w:hAnsi="Times New Roman" w:cs="Times New Roman" w:eastAsia="Times New Roman"/>
                <w:sz w:val="24"/>
              </w:rPr>
              <w:t xml:space="preserve">Pripomienka k § 25 ods. 14 až 19 a § 26a – k ESG / klimatickým scenárom </w:t>
              <w:br/>
            </w:r>
            <w:r>
              <w:rPr>
                <w:b w:val="off"/>
                <w:color w:val="000000"/>
                <w:rFonts w:ascii="Times New Roman" w:hAnsi="Times New Roman" w:cs="Times New Roman" w:eastAsia="Times New Roman"/>
                <w:sz w:val="24"/>
              </w:rPr>
              <w:t>Navrhujeme spresniť, že analýzy dlhodobých klimatických scenárov sa majú vykonávať iba v prípade významnej expozície voči klimatickým rizikám a v rozsahu primeranom povahe, rozsahu a zložitosti činnosti poisťovne.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bodu 22 (čl. 44 ods. 2c) smernice (EÚ) 2025/2 orgán EIOPA s cieľom zabezpečiť jednotné uplatňovanie tohto článku vypracuje návrh regulačných technických predpisov. § 26a priamo obsahuje princíp proporcionality a to tým, že sa nevzťahuje na malú a menej zložitú spoločnosť.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25 ods. 14až18</w:t>
              <w:br/>
            </w:r>
            <w:r>
              <w:rPr>
                <w:b w:val="off"/>
                <w:color w:val="000000"/>
                <w:rFonts w:ascii="Times New Roman" w:hAnsi="Times New Roman" w:cs="Times New Roman" w:eastAsia="Times New Roman"/>
                <w:sz w:val="24"/>
              </w:rPr>
              <w:t>Navrhujeme zosúladiť terminológiu používanú v odsekoch 14 až 18 (faktory udržateľnosti, finančné riziká vyplývajúce z faktorov udržateľnosti, „riziká ohrozujúce udržateľnosť“ (navrhnutá zmena  pojmu v pripomienke k § 5 písm. aq), riziká udržateľnosti )alebo výslovne vysvetliť vzájomný vzťah jednotlivých pojmov. Navrhujeme tiež spresniť minimálne očakávania vo vzťahu ku kvantifikovateľným cieľom podľa 14 až 18, prípadne doplniť odkaz na princíp proporcionality a doplniť výslovnú väzbu na proces vlastného posúdenia rizík a solventnosti (ORSA), aby bolo zrejmé, ako sa plány podľa ods. 14 až 18 integrujú do existujúceho systému riadenia rizík a aby sa predišlo vytváraniu duplicitných procesov.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Súčasné znenie používa viacero podobných pojmov bez zrejmého rozlíšenia, čo môže spôsobovať nejednotný výklad rozsahu povinností. </w:t>
              <w:br/>
            </w:r>
            <w:r>
              <w:rPr>
                <w:b w:val="off"/>
                <w:color w:val="000000"/>
                <w:rFonts w:ascii="Times New Roman" w:hAnsi="Times New Roman" w:cs="Times New Roman" w:eastAsia="Times New Roman"/>
                <w:sz w:val="24"/>
              </w:rPr>
              <w:t xml:space="preserve">Bez ďalšieho spresnenia minimálnych očakávaní vo vzťahu ku kvantifikovateľným cieľom podľa 14 až 18, prípadne doplnenia odkaz na princíp proporcionality nie je zrejmé, aká úroveň detailu a merateľnosti bude považovaná za dostatočnú na účely dohľadu. </w:t>
              <w:br/>
            </w:r>
            <w:r>
              <w:rPr>
                <w:b w:val="off"/>
                <w:color w:val="000000"/>
                <w:rFonts w:ascii="Times New Roman" w:hAnsi="Times New Roman" w:cs="Times New Roman" w:eastAsia="Times New Roman"/>
                <w:sz w:val="24"/>
              </w:rPr>
              <w:t>Navrhujeme doplniť výslovnú väzbu na proces vlastného posúdenia rizík a solventnosti (ORSA), aby bolo zrejmé, ako sa plány podľa ods. 14 až 18 integrujú do existujúceho systému riadenia rizík a aby sa predišlo vytváraniu duplicitných procesov. V ods. 14 hovorí o plánoch na „finančné riziká vyplývajúce z faktorov udržateľnosti“ a ods. 17 „riziká ohrozujúce udržateľnosť“, v  ods. 15 je pojem „riziká udržateľnosti“ - navrhujeme pojmy zjednotiť alebo špecifikovať.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Zjednotenie pojmov uvádzaných v odsekoch 15 a 17 v súlade s ich definíciou. Bližšie podrobnosti ku kvantifikovateľným cieľom podľa odsekov14 až 18, budú určené vo vykonávacích predpisoch k predmetnej smernici.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25 ods. 19</w:t>
              <w:br/>
            </w:r>
            <w:r>
              <w:rPr>
                <w:b w:val="off"/>
                <w:color w:val="000000"/>
                <w:rFonts w:ascii="Times New Roman" w:hAnsi="Times New Roman" w:cs="Times New Roman" w:eastAsia="Times New Roman"/>
                <w:sz w:val="24"/>
              </w:rPr>
              <w:t>Navrhujeme upresniť formu zverejnenia.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transpozíciu bodu 22 (čl. 44 ods. 2d) smernice (EÚ) 2025/2, na ktorý sa vzťahuje ods. 2c, ktorý ustanovuje, že orgán EIOPA s cieľom zabezpečiť jednotné uplatňovanie tohto článku vypracuje návrh regulačných technických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26 ods. 1,5,8,11až17</w:t>
              <w:br/>
            </w:r>
            <w:r>
              <w:rPr>
                <w:b w:val="off"/>
                <w:color w:val="000000"/>
                <w:rFonts w:ascii="Times New Roman" w:hAnsi="Times New Roman" w:cs="Times New Roman" w:eastAsia="Times New Roman"/>
                <w:sz w:val="24"/>
              </w:rPr>
              <w:t>Navrhujeme spresniť rozsah makroprudenciálnych informácií, ktoré má poisťovňa zohľadňovať v ORSA a v systéme riadenia rizík, aby bola zabezpečená právna istota a predvídateľnosť požiadaviek.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transpozíciu bodu 23 (čl. 45) smernice (EÚ) 2025/2, ktorého  jednotné uplatňovanie je zabezpečené na základe čl. 50 ods. 3 smernice 2009/138/ES v platnom znení prostredníctvom regulačných technických predpisov ustanovených orgánom EIOPA ako aj  nariadením (EÚ) č. 1092/2010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Pripomienka k zberu informácií o investičnej stratégii </w:t>
              <w:br/>
            </w:r>
            <w:r>
              <w:rPr>
                <w:b w:val="off"/>
                <w:color w:val="000000"/>
                <w:rFonts w:ascii="Times New Roman" w:hAnsi="Times New Roman" w:cs="Times New Roman" w:eastAsia="Times New Roman"/>
                <w:sz w:val="24"/>
              </w:rPr>
              <w:t xml:space="preserve">Navrhujeme výslovne doplniť, že rozsah požadovaných informácií o investičnej stratégii musí byť primeraný účelu dohľadu a nesmie viesť k duplicitnému alebo neprimeranému reportingu.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transpozíciu bodu 54 (čl. 132 ods. 5 až 7) smernice EÚ) 2025/2. Akékoľvek dopĺňanie podmienok k textu smernice môže byť vyhodnotené ako nedostatočné transponovanie textu smernice. Zároveň je potrebné uviesť, že dohľad vždy zbiera údaje za účelom dohľadu a nezbiera údaje duplicitne. V prípade, ak majú poisťovne názor, že jednotlivé údaje sú duplicitné alebo neprimerané je možné uplatniť výhradu priamo voči opatreniu NBS, ktoré stanovuje rozsah zbieraných údajov.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49c ods. 8</w:t>
              <w:br/>
            </w:r>
            <w:r>
              <w:rPr>
                <w:b w:val="off"/>
                <w:color w:val="000000"/>
                <w:rFonts w:ascii="Times New Roman" w:hAnsi="Times New Roman" w:cs="Times New Roman" w:eastAsia="Times New Roman"/>
                <w:sz w:val="24"/>
              </w:rPr>
              <w:t>Nie je zrejmé, či a do akej miery sa do úvahy berú deriváty ktoré môže poisťovňa držať za účelom hedgingu.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Nemá charakter pripomienky (transpozícia bodu 48 (čl. 105a) smernice (EÚ) 2025/2).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52</w:t>
              <w:br/>
            </w:r>
            <w:r>
              <w:rPr>
                <w:b w:val="off"/>
                <w:color w:val="000000"/>
                <w:rFonts w:ascii="Times New Roman" w:hAnsi="Times New Roman" w:cs="Times New Roman" w:eastAsia="Times New Roman"/>
                <w:sz w:val="24"/>
              </w:rPr>
              <w:t>Navrhujeme spresniť pojem „nevýznamné riziko“ a doplniť, že posúdenie nevýznamnosti má vychádzať z vopred stanovených a zdokumentovaných interných kritérií poisťovne.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Akékoľvek definovanie smernicových pojmov na národnej úrovni môže byť vyhodnotené ako nedostatočné transponovanie textu smernice.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54 ods. 8</w:t>
              <w:br/>
            </w:r>
            <w:r>
              <w:rPr>
                <w:b w:val="off"/>
                <w:color w:val="000000"/>
                <w:rFonts w:ascii="Times New Roman" w:hAnsi="Times New Roman" w:cs="Times New Roman" w:eastAsia="Times New Roman"/>
                <w:sz w:val="24"/>
              </w:rPr>
              <w:t>Navrhujeme, aby bolo možné takýto odhad poskytnúť v rámci ORSA správy napríklad v časti posúdenia vhodnosti.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Bolo by to pre poisťovne menej administratívne náročné ak by sa pre oznamovanie týchto informácii mohol využiť zaužívaný formát ORSA reportu.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ORSU ale o používanie vnútorných modelov.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70a</w:t>
              <w:br/>
            </w:r>
            <w:r>
              <w:rPr>
                <w:b w:val="off"/>
                <w:color w:val="000000"/>
                <w:rFonts w:ascii="Times New Roman" w:hAnsi="Times New Roman" w:cs="Times New Roman" w:eastAsia="Times New Roman"/>
                <w:sz w:val="24"/>
              </w:rPr>
              <w:t>Nesúhlasíme s navrhovanou úpravou a navrhujeme ju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návrhu v UL poisteniach už nebudeme môcť uplatňovať odkupný poplatok ani žiadny iný typ „výstupného“ poplatku. Ani po prečítaní dôvodovej správy nie je zrejmý dôvod. Banky/fondy budú mať vo svojich produktoch/investičných možnostiach naďalej „výstupný“ poplatok, ale poisťovne nie. </w:t>
              <w:br/>
            </w:r>
            <w:r>
              <w:rPr>
                <w:b w:val="off"/>
                <w:color w:val="000000"/>
                <w:rFonts w:ascii="Times New Roman" w:hAnsi="Times New Roman" w:cs="Times New Roman" w:eastAsia="Times New Roman"/>
                <w:sz w:val="24"/>
              </w:rPr>
              <w:t xml:space="preserve">Navrhované znenie znemožní uplatňovať: </w:t>
              <w:br/>
            </w:r>
            <w:r>
              <w:rPr>
                <w:b w:val="off"/>
                <w:color w:val="000000"/>
                <w:rFonts w:ascii="Times New Roman" w:hAnsi="Times New Roman" w:cs="Times New Roman" w:eastAsia="Times New Roman"/>
                <w:sz w:val="24"/>
              </w:rPr>
              <w:t xml:space="preserve">ˇ	odkupný poplatok v UL produktoch (pričom v „tradičnom“ poistení byť môže),  </w:t>
              <w:br/>
            </w:r>
            <w:r>
              <w:rPr>
                <w:b w:val="off"/>
                <w:color w:val="000000"/>
                <w:rFonts w:ascii="Times New Roman" w:hAnsi="Times New Roman" w:cs="Times New Roman" w:eastAsia="Times New Roman"/>
                <w:sz w:val="24"/>
              </w:rPr>
              <w:t xml:space="preserve">ˇ	akýkoľvek poplatok, ak sa v UL neplatí poistné [poplatky v a), b), c) sú len pri zaplatení poistného], pričom poisťovni náklady vznikajú, aj ak sa poistné neplatí, t.j. pri PZ v splatenom stave resp. jednorazovo zaplatených.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Porovnávanie UL produktov s podielovými fondami (v dôvodovej správe) je podľa nás metodicky nesprávne a problematické. UL produkty obsahuje poistné krytie (rizikové poistné), ktoré podielové fondy neposkytujú. Nákladovosť UL produktov zahŕňa aj náklady na poistné krytie, čo skresľuje porovnanie.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len o precizovanie už platného textu zákona vzhľadom na to, že v praxi dochádzalo k rôznym výkladom pri uplatňovaní tohto ustanovenia medzi poisťovňami a MF SR. Navrhovaná úprava má za cieľ zabezpečiť lepšiu ochranu klientov poisťovní počas celého trvania poistnej zmluvy, keďže poisťovne po uplynutí troch rokov upustili od aplikácie § 70a. Cieľom § 70a je však regulovať výšku nákladov, ktoré zaplatí klient počas celej doby poistnej zmluvy a nielen počas prvých troch rokov. Uvedené je v súlade s koncepciou Value for Money, ktorá vychádza z iniciatívy EK a EIOPA.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70a</w:t>
              <w:br/>
            </w:r>
            <w:r>
              <w:rPr>
                <w:b w:val="off"/>
                <w:color w:val="000000"/>
                <w:rFonts w:ascii="Times New Roman" w:hAnsi="Times New Roman" w:cs="Times New Roman" w:eastAsia="Times New Roman"/>
                <w:sz w:val="24"/>
              </w:rPr>
              <w:t xml:space="preserve">Navrhujeme doplniť prechodné ustanovenie k § 70a, že zmeny podľa § 70a sa budú vzťahovať len na poistné zmluvy uzatvorené po dátume účinnosti navrhovanej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opačnom prípade by takýto zásah predstavoval ohrozenie finančnej stability poisťovne, ak by po uzavretí zmluvy došlo k ex post zásahu do procesu tvorby ceny tým spôsobom, že by sa zakázala skutočnosť, s ktorou poisťovňa pri kalkulácii ceny dlhodobej zmluvy počítala ako s pozitívnym peňažným tokom. Takýto postup by mohol podstatne narušiť schopnosť poisťovne plniť svoje dlhodobé záväzky.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70a</w:t>
              <w:br/>
            </w:r>
            <w:r>
              <w:rPr>
                <w:b w:val="off"/>
                <w:color w:val="000000"/>
                <w:rFonts w:ascii="Times New Roman" w:hAnsi="Times New Roman" w:cs="Times New Roman" w:eastAsia="Times New Roman"/>
                <w:sz w:val="24"/>
              </w:rPr>
              <w:t>Navrhujeme odložiť účinnosť ustanovenia § 70a na 1.1.2028, aby poisťovne mal dostatok času na zmenu UL produktov v zmysle požiadaviek navrhovaného § 70a.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Posun účinnosti § 70a navrhujeme z dôvodu, že novela zákona má nadobudnúť účinnosť už 1.1.2027 a schválená NR SR bude krátko pred jej účinnosťou. Poisťovne nebudú mať dostatok času na aplikáciu novelizovaného § 70a.</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 posun účinnosti nového znenia § 70a je neprimeraný a len by sa predlžoval čas bez primeranej ochrany klientov poisťovní. Účinnosť celého návrhu zákona je 30.1. 2027 a od momentu jeho schválenia v NR SR budú mať poisťovne dostatok času zosúladiť svoje UL produkty s novou reguláciou.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70b až 70f</w:t>
              <w:br/>
            </w:r>
            <w:r>
              <w:rPr>
                <w:b w:val="off"/>
                <w:color w:val="000000"/>
                <w:rFonts w:ascii="Times New Roman" w:hAnsi="Times New Roman" w:cs="Times New Roman" w:eastAsia="Times New Roman"/>
                <w:sz w:val="24"/>
              </w:rPr>
              <w:t>Navrhujeme doplniť ustanovenia § 70b až § 70f tak, aby opatrenia proporcionality mohli byť v odôvodnených prípadoch efektívne využiteľné aj poisťovňami, ktoré nie sú klasifikované ako malé a menej zložité spoločnosti, ak konkrétna požiadavka nie je primeraná povahe, rozsahu a zložitosti ich rizík.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Opatrenia proporcionality, ktoré môžu využívať poisťovne a zaisťovne, ktoré nie sú klasifikované ako malé a menej zložité spoločnosti sú upravené v § 70e v zmysle bodu 13 (čl. 29d) smernice (EÚ) 2025/2. Ostatné opatrenia môžu využívať len malé a menej zložité spoločnosti.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70b až 70f</w:t>
              <w:br/>
            </w:r>
            <w:r>
              <w:rPr>
                <w:b w:val="off"/>
                <w:color w:val="000000"/>
                <w:rFonts w:ascii="Times New Roman" w:hAnsi="Times New Roman" w:cs="Times New Roman" w:eastAsia="Times New Roman"/>
                <w:sz w:val="24"/>
              </w:rPr>
              <w:t xml:space="preserve">K rozhodovaniu NBS pri proporcionalite – procesné garancie </w:t>
              <w:br/>
            </w:r>
            <w:r>
              <w:rPr>
                <w:b w:val="off"/>
                <w:color w:val="000000"/>
                <w:rFonts w:ascii="Times New Roman" w:hAnsi="Times New Roman" w:cs="Times New Roman" w:eastAsia="Times New Roman"/>
                <w:sz w:val="24"/>
              </w:rPr>
              <w:t>Navrhujeme doplniť procesnú lehotu a povinnosť odôvodnenia rozhodnutia NBS v prípadoch, keď NBS neumožní alebo obmedzí využitie opatrení proporcionality.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Proces rozhodovania sa riadi všeobecne platnými ustanoveniami upravenými v zákona č. 747/2004 Z. z. o dohľade nad finančným trhom (§ 12 a nasl.).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70e ods. 2 písm. c)</w:t>
              <w:br/>
            </w:r>
            <w:r>
              <w:rPr>
                <w:b w:val="off"/>
                <w:color w:val="000000"/>
                <w:rFonts w:ascii="Times New Roman" w:hAnsi="Times New Roman" w:cs="Times New Roman" w:eastAsia="Times New Roman"/>
                <w:sz w:val="24"/>
              </w:rPr>
              <w:t>Navrhujeme spresniť pojem „strategická zmena“.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„strategická zmena“ nie je nikde zadefinovaný, pričom subjekty majú rôzny rizikový apetít. Minimálne navrhujeme doplniť „významný vplyv“.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Definovanie smernicových pojmov na národnej úrovni môže viesť k ich rôznemu výkladu a používaniu. Rovnako doplnenie pojmu „významný“  nad rámec smernice môže viesť k inému významu celého ustanovenia. Dávame do pozornosti, že smernica splnomocnila v čl. 12 ods. 5 smernice (EÚ) 2025/2 na vydanie metodiky v oblasti malých a menej zložitých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78 ods. 7,8</w:t>
              <w:br/>
            </w:r>
            <w:r>
              <w:rPr>
                <w:b w:val="off"/>
                <w:color w:val="000000"/>
                <w:rFonts w:ascii="Times New Roman" w:hAnsi="Times New Roman" w:cs="Times New Roman" w:eastAsia="Times New Roman"/>
                <w:sz w:val="24"/>
              </w:rPr>
              <w:t>Navrhujeme zjednotiť so zákonom o AML.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AML rieši vypustené odseky v inej forme a wordingu, preto vypustenie týchto ustanovení môže teoreticky znamenať interpretačný problém najmä vo vzťahu k diskusiám s úradom na ochranu osobných údajov na tému zákonného právneho základu.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uplatňovania ochrany pred legalizáciou príjmov z trestnej činnosti sa na oblasť poisťovníctva bude vzťahovať právna úprava obsiahnutá v zákone č. 297/2008 Z. z. o ochrane pred legalizáciou príjmov z trestnej činnosti a o ochrane pred financovaním terorizmu.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145a ods. 2</w:t>
              <w:br/>
            </w:r>
            <w:r>
              <w:rPr>
                <w:b w:val="off"/>
                <w:color w:val="000000"/>
                <w:rFonts w:ascii="Times New Roman" w:hAnsi="Times New Roman" w:cs="Times New Roman" w:eastAsia="Times New Roman"/>
                <w:sz w:val="24"/>
              </w:rPr>
              <w:t>Navrhujeme, aby NBS vydala usmernenie pre plán riadenia rizika likvidity a aby sa nezavádzal nový reporting proces. Zároveň, aby sa za splnenie povinnosti považovalo vykonávanie kvartálnej aktualizácie prepočtov likvidity na obdobie 1 roka dopredu.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prípade potreby a požiadaviek z praxe, môže NBS vydať metodické usmernenie aj bez splnomocňovacieho ustanovenia v zákone.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obsahuje viacero nových povinností s finančným dopadom a najmä zvýšením administratívnej záťaže, pričom kalkulačka nákladov na podnikateľské prostredie je neúplná a nezohľadňuje opatrenia proporcionality, skutočné finančné dopady a z nich vyplývajúce zmeny administratívnej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rámci konzultácií s podnikateľským prostredím bola diskutovaná aj téma možných finančných a administratívnych dopadov, ktoré by vznikli prijatím navrhovanej právnej úpravy na podnikateľské prostredie, t. j. najmä na poisťovne. Zástupcovia Slovenskej asociácie poisťovní uviedli, že momentálne nie je možné jednoznačne kvantifikovať tieto dopady z dôvodu, že ich výška a rozsah sa bude primárne odvíjať od následne prijatých delegovaných aktov EK a regulačných a implementačných technických štandardov EIOPA.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68</w:t>
              <w:br/>
            </w:r>
            <w:r>
              <w:rPr>
                <w:b w:val="off"/>
                <w:color w:val="000000"/>
                <w:rFonts w:ascii="Times New Roman" w:hAnsi="Times New Roman" w:cs="Times New Roman" w:eastAsia="Times New Roman"/>
                <w:sz w:val="24"/>
              </w:rPr>
              <w:t xml:space="preserve">25.	Pripomienka k § 68 </w:t>
              <w:br/>
            </w:r>
            <w:r>
              <w:rPr>
                <w:b w:val="off"/>
                <w:color w:val="000000"/>
                <w:rFonts w:ascii="Times New Roman" w:hAnsi="Times New Roman" w:cs="Times New Roman" w:eastAsia="Times New Roman"/>
                <w:sz w:val="24"/>
              </w:rPr>
              <w:t xml:space="preserve">Navrhujeme vypustiť ustanovenie § 68 Odvod časti poistného a upraviť transparentné využitie prostriedkov odvádzaných poisťovňami. Nové znenie tohto ustanovenia preniesť, vrátane právnej úpravu využitia prostriedkov, do zákona č. 381/2001 Z.z. o povinnom zmluvnom poistení zodpovednosti za škodu spôsobenú prevádzkou motorového vozidla kam vecne patrí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20 písm. a) sa vypúšťa čiarka a za slovo fond sa dopĺňajú slová „a fond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21 ods. 3 sa dopĺňa nové písmeno h), ktoré znie: </w:t>
              <w:br/>
            </w:r>
            <w:r>
              <w:rPr>
                <w:b w:val="off"/>
                <w:color w:val="000000"/>
                <w:rFonts w:ascii="Times New Roman" w:hAnsi="Times New Roman" w:cs="Times New Roman" w:eastAsia="Times New Roman"/>
                <w:sz w:val="24"/>
              </w:rPr>
              <w:t>„h) menovať a odvolávať zástupcov Kancelárie v Komisii pre tvorbu programov prevencie škôd a pre rozdeľovanie prostriedkov fondu zábrany škôd podľa § 25b (ďalej len "komisia").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22 ods. 2 sa dopĺňa nové písmeno h), ktoré znie: </w:t>
              <w:br/>
            </w:r>
            <w:r>
              <w:rPr>
                <w:b w:val="off"/>
                <w:color w:val="000000"/>
                <w:rFonts w:ascii="Times New Roman" w:hAnsi="Times New Roman" w:cs="Times New Roman" w:eastAsia="Times New Roman"/>
                <w:sz w:val="24"/>
              </w:rPr>
              <w:t>h) rozhodovať o rozsahu pôsobnosti výkonného riaditeľa v oblasti správy prostriedkov fondu zábrany škôd a na návrh komisie o vnútorných predpisoch pre poskytovanie dotácií a pôžičiek z tohto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§25a</w:t>
              <w:br/>
            </w:r>
            <w:r>
              <w:rPr>
                <w:b w:val="off"/>
                <w:color w:val="000000"/>
                <w:rFonts w:ascii="Times New Roman" w:hAnsi="Times New Roman" w:cs="Times New Roman" w:eastAsia="Times New Roman"/>
                <w:sz w:val="24"/>
              </w:rPr>
              <w:t>Fond zábrany škôd</w:t>
              <w:br/>
            </w:r>
            <w:r>
              <w:rPr>
                <w:b w:val="off"/>
                <w:color w:val="000000"/>
                <w:rFonts w:ascii="Times New Roman" w:hAnsi="Times New Roman" w:cs="Times New Roman" w:eastAsia="Times New Roman"/>
                <w:sz w:val="24"/>
              </w:rPr>
              <w:t>(1)	Kancelária tvorí fond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Člen Kancelárie je povinný odvádzať do fondu zábrany škôd najmenej x % z prijatého poistného z povinného zmluvného poistenia zodpovednosti za škodu spôsobenú prevádzkou motorového vozidla z činnosti vykonávanej na území Slovenskej republiky za predchádzajúci kalendárny rok do konca februára príslušného roka. Poisťovňa, poisťovňa z iného členského štátu a pobočka zahraničnej poisťovne sú povinné odvedenie časti poistného podľa prvej vety písomne oznámiť Národnej banke Slovenska a  Ministerstvu financií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Prostriedky fondu zábrany škôd sa používajú iba na úhradu nákladov spojených s:</w:t>
              <w:br/>
            </w:r>
            <w:r>
              <w:rPr>
                <w:b w:val="off"/>
                <w:color w:val="000000"/>
                <w:rFonts w:ascii="Times New Roman" w:hAnsi="Times New Roman" w:cs="Times New Roman" w:eastAsia="Times New Roman"/>
                <w:sz w:val="24"/>
              </w:rPr>
              <w:t>a)   realizačnými programami podľa § 25b ods. 4 písm. a) a b),</w:t>
              <w:br/>
            </w:r>
            <w:r>
              <w:rPr>
                <w:b w:val="off"/>
                <w:color w:val="000000"/>
                <w:rFonts w:ascii="Times New Roman" w:hAnsi="Times New Roman" w:cs="Times New Roman" w:eastAsia="Times New Roman"/>
                <w:sz w:val="24"/>
              </w:rPr>
              <w:t>b) administratívnym a organizačným zaistením činnosti komisie vrátanie zaistenia odborného posudzovania žiadostí o poskytnutí prostriedkov z fondu zábrany škôd podľa písmena a) a b) a kontrolou ich čerpania podľa § 25b ods. 4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Príjemca prostriedkov z fondu zábrany škôd je povinný poskytnúť komisii na jej požiadanie všetky informácie a doklady týkajúce sa použitia finančných prostriedkov z tohto fondu a umožniť jej vykonanie kontroly použitia prostriedkov z fondu. V prípade nepreukázanie použitia týchto prostriedkov alebo porušeniu účelu ich použitia je príjemca povinný tieto prostriedky vrátiť do fondu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Pokiaľ neboli prostriedky podľa odseku 5 vrátené v lehote stanovenej komisiou, je ich príjemca povinný zaplatiť úrok z omeškania a náklady spojené s ich vymáhaním. Prostriedky, ktoré neboli vrátené v stanovenej lehote vymáha kancelária vrátane úrokov z omeškania  a s tým spojených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25b</w:t>
              <w:br/>
            </w:r>
            <w:r>
              <w:rPr>
                <w:b w:val="off"/>
                <w:color w:val="000000"/>
                <w:rFonts w:ascii="Times New Roman" w:hAnsi="Times New Roman" w:cs="Times New Roman" w:eastAsia="Times New Roman"/>
                <w:sz w:val="24"/>
              </w:rPr>
              <w:t>Komisia</w:t>
              <w:br/>
            </w:r>
            <w:r>
              <w:rPr>
                <w:b w:val="off"/>
                <w:color w:val="000000"/>
                <w:rFonts w:ascii="Times New Roman" w:hAnsi="Times New Roman" w:cs="Times New Roman" w:eastAsia="Times New Roman"/>
                <w:sz w:val="24"/>
              </w:rPr>
              <w:t>(1) Zriaďuje sa komisia ako orgán kancelárie pre tvorbu programov prevencie škôd a pre rozdeľovanie prostriedkov fondu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Komisia má 7 členov a je zložená</w:t>
              <w:br/>
            </w:r>
            <w:r>
              <w:rPr>
                <w:b w:val="off"/>
                <w:color w:val="000000"/>
                <w:rFonts w:ascii="Times New Roman" w:hAnsi="Times New Roman" w:cs="Times New Roman" w:eastAsia="Times New Roman"/>
                <w:sz w:val="24"/>
              </w:rPr>
              <w:t>a)	z jedného zástupcu Hasičského a záchranného zboru, ktorého vymenúva a odvoláva prezident Hasičského a záchranného zboru,</w:t>
              <w:br/>
            </w:r>
            <w:r>
              <w:rPr>
                <w:b w:val="off"/>
                <w:color w:val="000000"/>
                <w:rFonts w:ascii="Times New Roman" w:hAnsi="Times New Roman" w:cs="Times New Roman" w:eastAsia="Times New Roman"/>
                <w:sz w:val="24"/>
              </w:rPr>
              <w:t>b)	z jedného zástupcu Polície SR, ktorého vymenúva a odvoláva policajný prezident,</w:t>
              <w:br/>
            </w:r>
            <w:r>
              <w:rPr>
                <w:b w:val="off"/>
                <w:color w:val="000000"/>
                <w:rFonts w:ascii="Times New Roman" w:hAnsi="Times New Roman" w:cs="Times New Roman" w:eastAsia="Times New Roman"/>
                <w:sz w:val="24"/>
              </w:rPr>
              <w:t>c)	z jedného zástupcu, ktorého vymenúva a odvoláva minister vnútra Slovenskej republiky,</w:t>
              <w:br/>
            </w:r>
            <w:r>
              <w:rPr>
                <w:b w:val="off"/>
                <w:color w:val="000000"/>
                <w:rFonts w:ascii="Times New Roman" w:hAnsi="Times New Roman" w:cs="Times New Roman" w:eastAsia="Times New Roman"/>
                <w:sz w:val="24"/>
              </w:rPr>
              <w:t xml:space="preserve">d)	z jedného zástupcu, ktorého vymenúva a odvoláva minister dopravy Slovenskej republiky a </w:t>
              <w:br/>
            </w:r>
            <w:r>
              <w:rPr>
                <w:b w:val="off"/>
                <w:color w:val="000000"/>
                <w:rFonts w:ascii="Times New Roman" w:hAnsi="Times New Roman" w:cs="Times New Roman" w:eastAsia="Times New Roman"/>
                <w:sz w:val="24"/>
              </w:rPr>
              <w:t xml:space="preserve">e)	z troch zástupcov kancelárie podľa § 21 ods. 3 písm.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Komisia zo svojich členov volí a odvoláva predsedu a zástupcu predsedu. Činnosť komisie riadi predseda alebo v jeho neprítomnosti zástupca predsedu. Komisia je uznášaniaschopná, ak sú prítomné aspoň dve tretiny jej členov, a rozhoduje väčšinou hlasov prítomných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Komisia:</w:t>
              <w:br/>
            </w:r>
            <w:r>
              <w:rPr>
                <w:b w:val="off"/>
                <w:color w:val="000000"/>
                <w:rFonts w:ascii="Times New Roman" w:hAnsi="Times New Roman" w:cs="Times New Roman" w:eastAsia="Times New Roman"/>
                <w:sz w:val="24"/>
              </w:rPr>
              <w:t xml:space="preserve">a)	spracováva návrh na rozdelenie prostriedkov z fondu zábrany škôd na nasledujúci kalendárny rok, a to hasičským jednotkám na úhradu nákladov spojených s obstaraním materiálno-technického vybavenia, jeho údržbou a s prevádzkovaním a zložkám ministerstva vnútra na úhradu nákladov spojených s obstaraním technických prostriedkov potrebných na plnenie úloh súvisiacich s výkonom dohľadu nad bezpečnosťou a plynulosťou cestnej premávky, objasňovanie príčin nehôd v cestnej doprave, s výstavbou a vybavením koordinačných stredísk integrovaného záchranného systému a operačných stredísk tiesňového volania a s výstavbou a obstaraním technického vybavenia operačných stredísk tiesňového volania záchrannej zdravotnej služby do konca júna príslušného roka. </w:t>
              <w:br/>
            </w:r>
            <w:r>
              <w:rPr>
                <w:b w:val="off"/>
                <w:color w:val="000000"/>
                <w:rFonts w:ascii="Times New Roman" w:hAnsi="Times New Roman" w:cs="Times New Roman" w:eastAsia="Times New Roman"/>
                <w:sz w:val="24"/>
              </w:rPr>
              <w:t>b)	navrhuje programy prevencie v oblasti škôd z prevádzky vozidiel,</w:t>
              <w:br/>
            </w:r>
            <w:r>
              <w:rPr>
                <w:b w:val="off"/>
                <w:color w:val="000000"/>
                <w:rFonts w:ascii="Times New Roman" w:hAnsi="Times New Roman" w:cs="Times New Roman" w:eastAsia="Times New Roman"/>
                <w:sz w:val="24"/>
              </w:rPr>
              <w:t>c)	stanovujú kritériá hodnotenia návrhov podľa písm. a) a b),</w:t>
              <w:br/>
            </w:r>
            <w:r>
              <w:rPr>
                <w:b w:val="off"/>
                <w:color w:val="000000"/>
                <w:rFonts w:ascii="Times New Roman" w:hAnsi="Times New Roman" w:cs="Times New Roman" w:eastAsia="Times New Roman"/>
                <w:sz w:val="24"/>
              </w:rPr>
              <w:t>d)	schvaľuje vnútorné predpisy týkajúce sa činnosti komisie,</w:t>
              <w:br/>
            </w:r>
            <w:r>
              <w:rPr>
                <w:b w:val="off"/>
                <w:color w:val="000000"/>
                <w:rFonts w:ascii="Times New Roman" w:hAnsi="Times New Roman" w:cs="Times New Roman" w:eastAsia="Times New Roman"/>
                <w:sz w:val="24"/>
              </w:rPr>
              <w:t>e)	navrhuje správnej rade rozsah pôsobnosti výkonného riaditeľa v oblasti správy zdrojov fondu zábrany škôd, vrátane predpisov podľa § 22 ods. 2 písm. h),</w:t>
              <w:br/>
            </w:r>
            <w:r>
              <w:rPr>
                <w:b w:val="off"/>
                <w:color w:val="000000"/>
                <w:rFonts w:ascii="Times New Roman" w:hAnsi="Times New Roman" w:cs="Times New Roman" w:eastAsia="Times New Roman"/>
                <w:sz w:val="24"/>
              </w:rPr>
              <w:t>f)	vykonáva kontrolu čerpania prostriedkov fondu zábrany škôd.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Návrh podľa odseku 4 písm. a) predkladá komisia správnej rade, Ministerstvu vnútra Slovenskej republiky a Ministerstvu dopravy Slovenskej republiky. Návrh je schválený, ak k nemu do 30 dní odo dňa jeho doručenia ktorýkoľvek z orgánov podľa prvej vety nevysloví nesúhlas z dôvodu rozporu stanovenie prostriedkov fondu zábrany škôd s jeho určením podľa tohto zákona. V prípade vyslovenia nesúhlasu predloží komisia týmto orgánom do 30 dní odo dňa doručenia nesúhlasu upravený návrh. Pokiaľ k upravenému návrhu vyslovia súhlas aspoň dva z týchto orgánov, považuje sa upravený návrh za schválený.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Komisia spracuje do 30. júna výročnú správu fondu zábrany škôd za predchádzajúci kalendárny rok a zároveň ju uverejní na svojom webovom sídle.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 68 sú poisťovne povinné odviesť 10 % (predtým 8%) z prijatého poistného z povinného zmluvného poistenia zodpovednosti za škodu spôsobenú prevádzkou motorového vozidla na osobitný účet Ministerstva vnútra SR, ktoré nimi výlučne disponuje. Za rok 2025 poisťovne vykonávajúce PZP odviedli odvod vo výške 43  773 393 eur (rok 2024 - 38 930 215 eur, rok 2023 – 34 230 056 eur). </w:t>
              <w:br/>
            </w:r>
            <w:r>
              <w:rPr>
                <w:b w:val="off"/>
                <w:color w:val="000000"/>
                <w:rFonts w:ascii="Times New Roman" w:hAnsi="Times New Roman" w:cs="Times New Roman" w:eastAsia="Times New Roman"/>
                <w:sz w:val="24"/>
              </w:rPr>
              <w:t>Dlhodobo navrhujeme, aby v rámci Slovenskej kancelárii poisťovateľov (SKP) vznikol Fond zábrany škôd,  napr. taký v minulosti fungoval v štátnej Slovenskej poisťovni. Domnievame sa, že finančnými prostriedkami z odvodu by mal transparentne disponovať Fond zábrany škôd, ktorý má byť vytvorený v SKP. Predložený návrh umožní, aby SKP, samozrejme pod kontrolou štátu a verejnosti, zároveň pôsobila v oblasti prevencie dopravnej nehodovosti. Zákon č. 381/2001 Z. z. o povinnom zmluvnom poistení totiž zveruje SKP okrem iného aj úlohu „podieľať sa na prechádzaní škodám v cestnej doprave.“ Táto úloha SKP nie je doteraz finančne zabezpečená. Takýto fond je zriadený napr. v ČR a jeho aktivity sú financované práve z finančných prostriedkov, ktoré doňho odvádzajú české poisťovne (vo výške 3% z odvodu poistného).</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 a ďaleko presahuje vecný zámer predkladateľa. Tieto úpravy sú veľmi rozsiahle a dotýkajú sa aj iných ministerstiev, pričom ich realizácia nebola predmetom predchádzajúcich rokovaní, tak z vecného hľadiska ako aj z finančného, nakoľko ich realizácia by podľa názoru predkladateľa mala dopad aj na verejné financie.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doplniť legislatívnu úpravu zákona o poisťovníctve a súvisiacich zákonov, s cieľom umožniť poisťovniam a Slovenskej kancelárii poisťovateľov, na zákonom stanovený účel, využívať údaje z verejných registrov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Zákon č. 39/2015 Z. z. o poisťovníctve a o zmene a doplnení niektorých zákonov v znení neskorších predpisov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78 sa dopĺňa odsekmi 10,11 a 12 ktoré znejú:</w:t>
              <w:br/>
            </w:r>
            <w:r>
              <w:rPr>
                <w:b w:val="off"/>
                <w:color w:val="000000"/>
                <w:rFonts w:ascii="Times New Roman" w:hAnsi="Times New Roman" w:cs="Times New Roman" w:eastAsia="Times New Roman"/>
                <w:sz w:val="24"/>
              </w:rPr>
              <w:t>„(10) Na účely identifikácie klientov a ich zástupcov a zachovania možnosti následnej kontroly a overenia tejto identifikácie, na účely aktualizácie uchovávaných údajov klientov a ich zástupcov, na účely uzavierania poistných zmlúv a správy poistenia medzi poisťovňou, pobočkou poisťovne z iného členského štátu a pobočkou zahraničnej poisťovne a jej klientmi a ich zástupcami, na účely likvidácie poistných udalostí alebo škodových udalostí zo strany poisťovne, pobočky poisťovne z iného členského štátu a pobočky zahraničnej poisťovne, na účel ochrany a domáhania sa práv poisťovne, pobočky poisťovne z iného členského štátu a pobočky zahraničnej poisťovne voči jej klientom, na účel zdokumentovania činnosti poisťovne, pobočky poisťovne z iného členského štátu a pobočky zahraničnej poisťovne, na účely výkonu dohľadu nad poisťovňami, pobočkami poisťovní z iných členských štátov a pobočkami zahraničných poisťovní a nad ich činnosťami a na plnenie povinností a úloh poisťovne, pobočky poisťovne z iného členského štátu a pobočky zahraničnej poisťovne podľa tohto zákona alebo osobitných predpisov je poisťovňa, pobočka poisťovne z iného členského štátu a pobočka zahraničnej poisťovne aj bez súhlasu a informovania dotknutých osôb oprávnená spracúvať54) v rozsahu údajov zapísaných v registri fyzických osôb 57a), údajov uchovávaných v evidencii občianskych preukazov 57b) a údajov podľa odseku 1 , a to aj prostredníctvom spoločného subjektu zriadeného alebo povereného na tento účel. Na účel podľa prvej vety sú ministerstvo vnútra a správca komunikačnej časti autentifikačného modulu podľa osobitného predpisu 57c) povinní poskytnúť poisťovni, pobočke poisťovne z iného členského štátu a pobočke zahraničnej poisťovne, a to aj prostredníctvom spoločného subjektu zriadeného alebo povereného na tento účel, údaje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Na účely zisťovania, preverenia a kontroly identifikácie klientov a ich zástupcov, na účely uzavierania poistných zmlúv a správy poistenia medzi poisťovňou, pobočkou poisťovne z iného členského štátu a pobočkou zahraničnej poisťovne s klientmi, na ďalšie účely podľa odseku 3, ako aj na účely aktualizácie už poisťovňou, pobočkou poisťovne z iného členského štátu a pobočkou zahraničnej poisťovne uchovávaných údajov o klientoch a ich zástupcoch je poisťovňa, pobočka poisťovne z iného členského štátu a pobočka zahraničnej poisťovne oprávnená aj bez súhlasu dotknutých spracúvať54) údaje v rozsahu údajov zapísaných v registri právnických osôb, podnikateľov a orgánov verejnej moci, 57d) a to aj prostredníctvom spoločného subjektu zriadeného alebo povereného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Podrobnosti o spôsobe poskytovania a technické podmienky poskytovania údajov podľa § 78 ods. 10 a 11 upraví ministerstvo vnútra dohodou s poisťovňou, pobočkou poisťovne z iného členského štátu alebo pobočkou zahraničnej poisťovne, ktorej sa údaje poskytujú; ak sa údaje poskytujú prostredníctvom spoločného subjektu zriadeného alebo povereného na tento účel, dohodu uzavrie ministerstvo vnútra s týmto spoločným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57a) § 23a zákona č. 253/1998 Z.z. v znení neskorších predpisov</w:t>
              <w:br/>
            </w:r>
            <w:r>
              <w:rPr>
                <w:b w:val="off"/>
                <w:color w:val="000000"/>
                <w:rFonts w:ascii="Times New Roman" w:hAnsi="Times New Roman" w:cs="Times New Roman" w:eastAsia="Times New Roman"/>
                <w:sz w:val="24"/>
              </w:rPr>
              <w:t>57b) § 16 zákona č. 395/2019 Z.z. v znení neskorších predpisov</w:t>
              <w:br/>
            </w:r>
            <w:r>
              <w:rPr>
                <w:b w:val="off"/>
                <w:color w:val="000000"/>
                <w:rFonts w:ascii="Times New Roman" w:hAnsi="Times New Roman" w:cs="Times New Roman" w:eastAsia="Times New Roman"/>
                <w:sz w:val="24"/>
              </w:rPr>
              <w:t>57c) § 10 ods. 5 zákona č. 305/2013 Z.z. v znení neskorších predpisov</w:t>
              <w:br/>
            </w:r>
            <w:r>
              <w:rPr>
                <w:b w:val="off"/>
                <w:color w:val="000000"/>
                <w:rFonts w:ascii="Times New Roman" w:hAnsi="Times New Roman" w:cs="Times New Roman" w:eastAsia="Times New Roman"/>
                <w:sz w:val="24"/>
              </w:rPr>
              <w:t>57d) § 7 ods. 1 písm. b) a § 7a ods. 3 a 4 zákona č. 272/2015 Z.z. o registri právnických osôb, podnikateľov a orgánov verejnej moci a o zmene a doplnení niektorých zákonov v znení zákona č. 302/2023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„Poznámka pod čiarou 54 znie:</w:t>
              <w:br/>
            </w:r>
            <w:r>
              <w:rPr>
                <w:b w:val="off"/>
                <w:color w:val="000000"/>
                <w:rFonts w:ascii="Times New Roman" w:hAnsi="Times New Roman" w:cs="Times New Roman" w:eastAsia="Times New Roman"/>
                <w:sz w:val="24"/>
              </w:rPr>
              <w:t>„54) Zákon číslo 18/2018 Z.z. o ochrane osobných údajov, Nariadenie Európskeho parlamentu a Rady (EÚ) 2016/679 z 27. apríla 2016 o ochrane fyzických osôb pri spracúvaní osobných údajov a o voľnom pohybe takýchto údajov, ktorým sa zrušuje smernica 95/46/ES (všeobecné nariadenie o ochrane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opraviť aj poznámky pod čiarou číslo 42a), 49), 53) a 56) ktoré odkazujú na zrušený zákon č. 122/2013 Z.z. o ochrane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253/1998 Z. z. o hlásení pobytu občanov Slovenskej republiky a registri obyvateľov Slovenskej republiky v znení neskorších predpisov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23a ods. 2 sa za slová „banke a pobočke zahraničnej banky,8ab)“ vkladajú slová „poisťovni, pobočke poisťovne z iného členského štátu, pobočke zahraničnej poisťovne 8abc) a Slovenskej kancelárii poisťovateľov,8abd)“.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8abc) § 78 ods. 10 zákona č. 39/2015 Z. z. o poisťovníctve a o zmene a doplnení niektorých zákonov v znení neskorších predpisov</w:t>
              <w:br/>
            </w:r>
            <w:r>
              <w:rPr>
                <w:b w:val="off"/>
                <w:color w:val="000000"/>
                <w:rFonts w:ascii="Times New Roman" w:hAnsi="Times New Roman" w:cs="Times New Roman" w:eastAsia="Times New Roman"/>
                <w:sz w:val="24"/>
              </w:rPr>
              <w:t>8abd) § 24e zákona č. 381/2001 Z. z. o povinnom zmluvnom poistení zodpovednosti za škodu spôsobenú prevádzkou motorového vozidla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Zákon č. 395/2019 Z. z. o občianskych preukazoch a o zmene a doplnení niektorých zákonov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odkazu18 sa za slová „Napríklad § 93a ods. 9 a § 93c zákona č. 483/2001 Z. z. o bankách a o zmene a doplnení niektorých zákonov v znení zákona č. 211/2019 Z. z.“ vkladá čiarka a slová „§ 78 ods. 10 a 12 zákona č. 39/2015 Z. z. o poisťovníctve v znení zákona č. ....., § 24e zákona č. 381/2001 Z. z. o povinnom zmluvnom poistení zodpovednosti za škodu spôsobenú prevádzkou motorového vozidla a o zmene a doplnení niektorých zákonov v znení zákona č.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Zákon č. 272/2015 Z. z. o registri právnických osôb, podnikateľov a orgánov verejnej moci a o zmene a doplnení niektorých zákonov v znení neskorších predpisov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„V § 7 ods. 1 písm. b) sa na konci bodka nahrádza čiarkou a dopĺňajú slová „poisťovni, pobočke poisťovne z iného členského štátu, pobočke zahraničnej poisťovne 8d) a Slovenskej kancelárii poisťovateľov, 8e)“</w:t>
              <w:br/>
            </w:r>
            <w:r>
              <w:rPr>
                <w:b w:val="off"/>
                <w:color w:val="000000"/>
                <w:rFonts w:ascii="Times New Roman" w:hAnsi="Times New Roman" w:cs="Times New Roman" w:eastAsia="Times New Roman"/>
                <w:sz w:val="24"/>
              </w:rPr>
              <w:t>8d) § 78 ods. 10 zákona č. 39/2015 Z. z. o poisťovníctve a o zmene a doplnení niektorých zákonov v znení neskorších predpisov</w:t>
              <w:br/>
            </w:r>
            <w:r>
              <w:rPr>
                <w:b w:val="off"/>
                <w:color w:val="000000"/>
                <w:rFonts w:ascii="Times New Roman" w:hAnsi="Times New Roman" w:cs="Times New Roman" w:eastAsia="Times New Roman"/>
                <w:sz w:val="24"/>
              </w:rPr>
              <w:t>8e) § 24e zákona č. 381/2001 Z. z. o povinnom zmluvnom poistení zodpovednosti za škodu spôsobenú prevádzkou motorového vozidla a o zmene a doplnení niektorých zákonov v znení neskorších predpisov“.</w:t>
              <w:br/>
            </w:r>
            <w:r>
              <w:rPr>
                <w:b w:val="off"/>
                <w:color w:val="000000"/>
                <w:rFonts w:ascii="Times New Roman" w:hAnsi="Times New Roman" w:cs="Times New Roman" w:eastAsia="Times New Roman"/>
                <w:sz w:val="24"/>
              </w:rPr>
              <w:t>2. § 7a ods. 4 sa dopĺňa písmeno c, ktoré znie:</w:t>
              <w:br/>
            </w:r>
            <w:r>
              <w:rPr>
                <w:b w:val="off"/>
                <w:color w:val="000000"/>
                <w:rFonts w:ascii="Times New Roman" w:hAnsi="Times New Roman" w:cs="Times New Roman" w:eastAsia="Times New Roman"/>
                <w:sz w:val="24"/>
              </w:rPr>
              <w:t>„c) poisťovni, pobočke poisťovne z iného členského štátu, pobočke zahraničnej poisťovne a Slovenskej kancelárii poisťovateľov a to aj prostredníctvom spoločného subjektu zriadeného alebo povereného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znení účinnom od 17. 8.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Zákon č. 381/2001 Z.z. o povinnom zmluvnom poistení zodpovednosti za škodu spôsobenú prevádzkou motorového vozidla a o zmene a doplnení niektorých zákonov v znení neskorších predpisov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24d sa dopĺňa § 24e, ktorý vrátane nadpisu znie:</w:t>
              <w:br/>
            </w:r>
            <w:r>
              <w:rPr>
                <w:b w:val="off"/>
                <w:color w:val="000000"/>
                <w:rFonts w:ascii="Times New Roman" w:hAnsi="Times New Roman" w:cs="Times New Roman" w:eastAsia="Times New Roman"/>
                <w:sz w:val="24"/>
              </w:rPr>
              <w:t>„§ 24e</w:t>
              <w:br/>
            </w:r>
            <w:r>
              <w:rPr>
                <w:b w:val="off"/>
                <w:color w:val="000000"/>
                <w:rFonts w:ascii="Times New Roman" w:hAnsi="Times New Roman" w:cs="Times New Roman" w:eastAsia="Times New Roman"/>
                <w:sz w:val="24"/>
              </w:rPr>
              <w:t>Využívanie informácií z informačných systémov</w:t>
              <w:br/>
            </w:r>
            <w:r>
              <w:rPr>
                <w:b w:val="off"/>
                <w:color w:val="000000"/>
                <w:rFonts w:ascii="Times New Roman" w:hAnsi="Times New Roman" w:cs="Times New Roman" w:eastAsia="Times New Roman"/>
                <w:sz w:val="24"/>
              </w:rPr>
              <w:t>Na plnenie úloh podľa tohto zákona využíva Kancelária údaje z informačných systémov verejnej správy v rozsahu a za podmienok obdobne ako poisťovňa oprávnená prevádzkovať svoju činnosť v Slovenskej republike.“.“  Alternatíva: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24d sa vkladá § 24e, ktorý vrátane nadpisu znie:</w:t>
              <w:br/>
            </w:r>
            <w:r>
              <w:rPr>
                <w:b w:val="off"/>
                <w:color w:val="000000"/>
                <w:rFonts w:ascii="Times New Roman" w:hAnsi="Times New Roman" w:cs="Times New Roman" w:eastAsia="Times New Roman"/>
                <w:sz w:val="24"/>
              </w:rPr>
              <w:t>„§ 24e</w:t>
              <w:br/>
            </w:r>
            <w:r>
              <w:rPr>
                <w:b w:val="off"/>
                <w:color w:val="000000"/>
                <w:rFonts w:ascii="Times New Roman" w:hAnsi="Times New Roman" w:cs="Times New Roman" w:eastAsia="Times New Roman"/>
                <w:sz w:val="24"/>
              </w:rPr>
              <w:t>Využívanie údajov z informačných systémov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 účely plnenia úloh Kancelárie podľa tohto zákona, najmä na účely vedenia evidencií a registrov podľa tohto zákona, vybavovania nárokov poškodených, správy poistného garančného fondu, výkonu práv Kancelárie a kontroly plnenia povinností podľa tohto zákona, je Kancelária oprávnená aj bez súhlasu dotknutej osoby získavať údaje z informačných systémov verejnej správy v rozsahu nevyhnutnom na plnenie týchto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vnútra Slovenskej republiky, Štatistický úrad Slovenskej republiky a iní správcovia informačných systémov verejnej správy sú povinní poskytnúť Kancelárii údaje podľa odseku 1, ak tak ustanovuje tento zákon alebo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Údaje podľa odsekov 1 a 2 môže Kancelária získavať aj prostredníctvom subjektu zriadeného alebo povereného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právna úprava sleduje legitímny cieľ zvýšenia správnosti a aktuálnosti údajov používaných poisťovňami a Slovenskou kanceláriou poisťovateľov pri plnení ich zákonných povinností. Zároveň znižuje administratívnu záťaž klientov, ktorí nebudú musieť opakovane predkladať údaje, ktoré už sú vedené v informačných systémoch verejnej správy; je založená na princípe „jedenkrát a dosť“ a na potrebe zabezpečiť porovnateľné postavenie poisťovní s inými regulovanými subjektmi finančného trhu, najmä bankami, ktorým právny poriadok umožňuje využívať údaje z verejných registrov na plnenie zákonných povinností (zákon o bankách § 93a ods. 9 a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poisťovne v zmysle „§ 20 AML - Programu vlastnej činnosti“ plnia starostlivosť povinnej osoby voči svojim klientom (§ 10 a nasl. AML zákona) spravidla v nasledovných intervaloch: </w:t>
              <w:br/>
            </w:r>
            <w:r>
              <w:rPr>
                <w:b w:val="off"/>
                <w:color w:val="000000"/>
                <w:rFonts w:ascii="Times New Roman" w:hAnsi="Times New Roman" w:cs="Times New Roman" w:eastAsia="Times New Roman"/>
                <w:sz w:val="24"/>
              </w:rPr>
              <w:t xml:space="preserve">-	Vysokorizikový klient – 1x za rok </w:t>
              <w:br/>
            </w:r>
            <w:r>
              <w:rPr>
                <w:b w:val="off"/>
                <w:color w:val="000000"/>
                <w:rFonts w:ascii="Times New Roman" w:hAnsi="Times New Roman" w:cs="Times New Roman" w:eastAsia="Times New Roman"/>
                <w:sz w:val="24"/>
              </w:rPr>
              <w:t xml:space="preserve">-	Strednrizikový klient – 1x za 3 roky </w:t>
              <w:br/>
            </w:r>
            <w:r>
              <w:rPr>
                <w:b w:val="off"/>
                <w:color w:val="000000"/>
                <w:rFonts w:ascii="Times New Roman" w:hAnsi="Times New Roman" w:cs="Times New Roman" w:eastAsia="Times New Roman"/>
                <w:sz w:val="24"/>
              </w:rPr>
              <w:t xml:space="preserve">-	Nízkorizikový klient – 1x za 5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Pridanou hodnotou tejto právnej úpravy bude na strane klientov znížená nevyhnutnosť interakcie s poisťovňami (nebudú musieť pravidelne zasielať aktualizované údaje o ich trvalom pobyte, čísle OP atď. ), ale poisťovne  budú za nich uvedené údaje sťahovať z priamo z registrov.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Napr. v prípade aktualizácie údajov v OP klienta by poisťovňa už nemusela klientov v uvedených intervaloch obťažovať zaslaním požiadavky o ich nahlásenie, keďže by k tomu dochádzalo automaticky, bez zbytočného zaťažovania klienta.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 strane poisťovní bude prínosom znížená záťaž, najmä administratívna, pri spracúvaní podkladov zasielaných  od klientov, ktorými aktualizujú svoje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Prístup k údajom je viazaný výlučne na zákonom vymedzené účely a rozsah nevyhnutný na plnenie zákonných povinností. Týmto nie sú dotknuté povinnosti podľa všeobecného nariadenia o ochrane údajov a zákona č. 18/2018 Z. z. o ochrane osobných údajov.</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predkladaného návrhu zákona. Tieto úpravy sú natoľko rozsiahle a obsahujú návrhy na novelizáciu viacerých právnych predpisov, z ktorých väčšina ani nie je vo vecnej gescii predkladateľa. Výrazne zasahujú do kompetencií iných ministerstiev a inštitúcií, ktorým sa ukladajú nové povinnosti, pričom ich realizácia nebola predmetom predchádzajúcich rokovaní, tak z vecného hľadiska ako aj z finančného, nakoľko ich realizácia by podľa názoru predkladateľa mala dopad aj na verejné financie.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161 ods. 4</w:t>
              <w:br/>
            </w:r>
            <w:r>
              <w:rPr>
                <w:b w:val="off"/>
                <w:color w:val="000000"/>
                <w:rFonts w:ascii="Times New Roman" w:hAnsi="Times New Roman" w:cs="Times New Roman" w:eastAsia="Times New Roman"/>
                <w:sz w:val="24"/>
              </w:rPr>
              <w:t>Navrhujeme vypustiť odsek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právnu úpravu nepovažujeme za súladnú so smernicou EP a Rady (EÚ) 2025/1 ktorou sa stanovuje rámec pre ozdravenie a riešenie krízových situácií poisťovní a zaisťovní, ktorej transpozícia sa aktuálne na MF SR pripravuje. Jej cieľom je najmä zachovanie výhod poistníkov z poistných zmlúv, čo navrhovaný automatický zánik poistných zmlúv popiera. Napr. ak by bol nečinný likvidátor, v lehote 24 mesiacov dôjde k strate poistnej ochrany klientov.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161 bolo upravené na základe pripomienok MS SR a NBS uplatnených v rámci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205d ods. 9,10</w:t>
              <w:br/>
            </w:r>
            <w:r>
              <w:rPr>
                <w:b w:val="off"/>
                <w:color w:val="000000"/>
                <w:rFonts w:ascii="Times New Roman" w:hAnsi="Times New Roman" w:cs="Times New Roman" w:eastAsia="Times New Roman"/>
                <w:sz w:val="24"/>
              </w:rPr>
              <w:t>Navrhujeme upraviť odsek 9 a vypustiť odsek 10.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9 navrhujeme upraviť tak, aby nedošlo k retroaktivite, že už začaté konania nebudú dokončené podľa platného právneho predpisu, ale dotknutá právnická osoba bude ex lege k 1. marcu 2027 zrušená a vstúpi do likvidácie. Aktuálne platí, že o tom rozhoduje súd na návrh NBS ako stanovuje platná legislatíva dnes.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Predmetným prechodným ustanovením nedochádza k retroaktivite, ale sa spresňuje postup po účinnosti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235 § §205d ods. ods. 9 a 10</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Nové znenie ods. (9) - „Ak došlo k odobratiu povolenia na vykonávanie poisťovacej činnosti alebo o odobratiu povolenia na vykonávanie zaisťovacej činnosti alebo k zániku povolenia podľa § 160 ods. 1 písm. a)  pred 30. januárom 2027, postup zrušenia a likvidácie dotknutej právnickej osoby sa dokončí podľa doterajších predpisov.“</w:t>
              <w:br/>
            </w:r>
            <w:r>
              <w:rPr>
                <w:b w:val="off"/>
                <w:color w:val="000000"/>
                <w:rFonts w:ascii="Times New Roman" w:hAnsi="Times New Roman" w:cs="Times New Roman" w:eastAsia="Times New Roman"/>
                <w:sz w:val="24"/>
              </w:rPr>
              <w:t>Odsek (10)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Podľa doterajších predpisov rozhodoval o zrušení a nariadení likvidácie právnickej osoby, ktorej bolo odobraté povolenie na vykonávanie poisťovacej alebo zaisťovacej činnosti príslušný súd. Nová právna úprava však celý tento systém ruší a právomoc rozhodnúť o zrušení dotknutej právnickej osobe odovzdáva Národnej banke Slovenska (NBS). V zmysle bodu 198 navrhovanej právnej úpravy sa totiž právnická osoba, ktorej bolo odobraté povolenie na vykonávanie poisťovacej alebo zaisťovacej činnosti zrušuje právoplatnosťou rozhodnutia NBS o odobratí povolenia na vykonávanie poisťovacej alebo zaisťovacej činnosti. Bod 235 novely takýto režim automaticky vzťahuje aj na konania vo vzťahu k akejkoľvek právnickej osobe, ktorej bolo odobraté povolenie na vykonávanie poisťovacej resp. zaisťovacej činnosti pred účinnosťou tejto novely, keď zavádza ex lege zrušenie k 1. marcu 2027. </w:t>
              <w:br/>
            </w:r>
            <w:r>
              <w:rPr>
                <w:b w:val="off"/>
                <w:color w:val="000000"/>
                <w:rFonts w:ascii="Times New Roman" w:hAnsi="Times New Roman" w:cs="Times New Roman" w:eastAsia="Times New Roman"/>
                <w:sz w:val="24"/>
              </w:rPr>
              <w:t xml:space="preserve">	Takáto spätná zmena predstavuje:</w:t>
              <w:br/>
            </w:r>
            <w:r>
              <w:rPr>
                <w:b w:val="off"/>
                <w:color w:val="000000"/>
                <w:rFonts w:ascii="Times New Roman" w:hAnsi="Times New Roman" w:cs="Times New Roman" w:eastAsia="Times New Roman"/>
                <w:sz w:val="24"/>
              </w:rPr>
              <w:t>(i)	Nepovolenú priamu retroaktivitu</w:t>
              <w:br/>
            </w:r>
            <w:r>
              <w:rPr>
                <w:b w:val="off"/>
                <w:color w:val="000000"/>
                <w:rFonts w:ascii="Times New Roman" w:hAnsi="Times New Roman" w:cs="Times New Roman" w:eastAsia="Times New Roman"/>
                <w:sz w:val="24"/>
              </w:rPr>
              <w:t>(ii)	Porušenie práva dotknutej právnickej osoby na spravodlivý proces</w:t>
              <w:br/>
            </w:r>
            <w:r>
              <w:rPr>
                <w:b w:val="off"/>
                <w:color w:val="000000"/>
                <w:rFonts w:ascii="Times New Roman" w:hAnsi="Times New Roman" w:cs="Times New Roman" w:eastAsia="Times New Roman"/>
                <w:sz w:val="24"/>
              </w:rPr>
              <w:t>(iii)	Porušenie práva dotknutej právnickej osoby na súdny prieskum rozhodnutí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(i):</w:t>
              <w:br/>
            </w:r>
            <w:r>
              <w:rPr>
                <w:b w:val="off"/>
                <w:color w:val="000000"/>
                <w:rFonts w:ascii="Times New Roman" w:hAnsi="Times New Roman" w:cs="Times New Roman" w:eastAsia="Times New Roman"/>
                <w:sz w:val="24"/>
              </w:rPr>
              <w:t xml:space="preserve">	„K definujúcim znakom právneho štátu patrí aj zákaz retroaktivity právnych noriem, ktorý je významnou demokratickou zárukou ochrany práv občanov a právnej istoty.“ (PL. ÚS 16/95. Nález z 24. mája 1995. ZNUÚS 1995, s. 49.)</w:t>
              <w:br/>
            </w:r>
            <w:r>
              <w:rPr>
                <w:b w:val="off"/>
                <w:color w:val="000000"/>
                <w:rFonts w:ascii="Times New Roman" w:hAnsi="Times New Roman" w:cs="Times New Roman" w:eastAsia="Times New Roman"/>
                <w:sz w:val="24"/>
              </w:rPr>
              <w:t xml:space="preserve">	„Právna norma môže byť charakterizovaná ako retroaktívna, ak stanoví právne následky pre skutkové podmienky, ktoré nastali pred nadobudnutím účinnosti tejto normy.“ (PL. ÚS 10/04. Nález zo 6. februára 2008. ZNUÚS 2008, s. 32.)</w:t>
              <w:br/>
            </w:r>
            <w:r>
              <w:rPr>
                <w:b w:val="off"/>
                <w:color w:val="000000"/>
                <w:rFonts w:ascii="Times New Roman" w:hAnsi="Times New Roman" w:cs="Times New Roman" w:eastAsia="Times New Roman"/>
                <w:sz w:val="24"/>
              </w:rPr>
              <w:t xml:space="preserve">	„S inštitútom právnej istoty v právnom štáte úzko súvisí požiadavka zachovania legálne nadobudnutých práv. Vo všeobecnom vyjadrení to znamená, že nikomu nemožno odňať jeho riadnym spôsobom nadobudnuté práva na základe neskoršie vydaného právneho predpisu. Zo širšieho hľadiska túto požiadavku treba chápať tak, že je neprípustné odňať nadobudnuté práva, resp. ich obmedziť ex tunc, t. j. do minulosti, pred účinnosťou nového zákona.“ (PL. ÚS 16/95. Nález z 24. mája 1995. ZNUÚS 1995, s. 49.)</w:t>
              <w:br/>
            </w:r>
            <w:r>
              <w:rPr>
                <w:b w:val="off"/>
                <w:color w:val="000000"/>
                <w:rFonts w:ascii="Times New Roman" w:hAnsi="Times New Roman" w:cs="Times New Roman" w:eastAsia="Times New Roman"/>
                <w:sz w:val="24"/>
              </w:rPr>
              <w:t xml:space="preserve">	„Ústavný súd sa už vzťahom pravej a nepravej retroaktivity právnych predpisov k ústavnosti zaoberal v rámci svojej rozhodovacej činnosti a zaujal k nim aj svoje stanovisko:</w:t>
              <w:br/>
            </w:r>
            <w:r>
              <w:rPr>
                <w:b w:val="off"/>
                <w:color w:val="000000"/>
                <w:rFonts w:ascii="Times New Roman" w:hAnsi="Times New Roman" w:cs="Times New Roman" w:eastAsia="Times New Roman"/>
                <w:sz w:val="24"/>
              </w:rPr>
              <w:t xml:space="preserve">	Pravú retroaktivitu vymedzil ako stav, v ktorom nová právna úprava neuznáva oprávnenia a povinnosti založené právnymi vzťahmi len lex priori (napr. PL. ÚS 37/99) alebo stav, kedy zákon dodatočne a pozmeňujúco zasahuje do už právne uzavretých minulých skutkových a právnych vzťahov (práv a povinností) (PL. ÚS 3/00).“ (PL. ÚS 28/00)</w:t>
              <w:br/>
            </w:r>
            <w:r>
              <w:rPr>
                <w:b w:val="off"/>
                <w:color w:val="000000"/>
                <w:rFonts w:ascii="Times New Roman" w:hAnsi="Times New Roman" w:cs="Times New Roman" w:eastAsia="Times New Roman"/>
                <w:sz w:val="24"/>
              </w:rPr>
              <w:t xml:space="preserve">	Zmena, ktorá bez ohľadu na doteraz existujúci proces odoberá právomoc zrušiť dotknutú právnickú osobu príslušnému súdu a spätne ju prenáša na iný orgán je zrejmým prejavom pravej retroaktivity, ktorá nie je v právnom štáte prípustná.  Navrhovaná právna úprava totiž spôsobuje spätnú zmenu podmienok, za ktorých dochádza k zrušeniu dotknutej právnickej osoby a k spätnému odňatiu jej práv.</w:t>
              <w:br/>
            </w:r>
            <w:r>
              <w:rPr>
                <w:b w:val="off"/>
                <w:color w:val="000000"/>
                <w:rFonts w:ascii="Times New Roman" w:hAnsi="Times New Roman" w:cs="Times New Roman" w:eastAsia="Times New Roman"/>
                <w:sz w:val="24"/>
              </w:rPr>
              <w:t xml:space="preserve">	Na základe doterajšieho znenia zákona o poisťovníctve o zrušení dotknutej právnickej osoby rozhodoval príslušný súd. Toto znenie umožňovalo súdu posúdiť či má bezodkladne zrušiť dotknutú právnickú osobu, alebo existujú dôvody, pre ktoré zrušenie odložiť (napr. existencia správnej žaloby proti rozhodnutiu o odobratí povolenia, ktorá sa súdu javí byť dôvodná). Týmto spôsobom bolo súčasne zabezpečené, že rozhodnutie NBS o odobratí povolenia podliehalo riadnemu súdnemu prieskumu v súlade s čl. 46 ods. 2 ústavy, keďže právna úprava zachovávala právomoci pôvodného štatutárneho orgánu dotknutej právnickej osoby a neprenášala ich automaticky na likvidátora.</w:t>
              <w:br/>
            </w:r>
            <w:r>
              <w:rPr>
                <w:b w:val="off"/>
                <w:color w:val="000000"/>
                <w:rFonts w:ascii="Times New Roman" w:hAnsi="Times New Roman" w:cs="Times New Roman" w:eastAsia="Times New Roman"/>
                <w:sz w:val="24"/>
              </w:rPr>
              <w:t xml:space="preserve">	S týmto prístupom boli súčasne spojené aj všetky práva dotknutej právnickej osoby viazané na takéto súdne konanie (napr. právo na možnosť využitia prostriedkov procesnej obrany a procesného útoky, právo navrhovať prerušenie konania atď.)</w:t>
              <w:br/>
            </w:r>
            <w:r>
              <w:rPr>
                <w:b w:val="off"/>
                <w:color w:val="000000"/>
                <w:rFonts w:ascii="Times New Roman" w:hAnsi="Times New Roman" w:cs="Times New Roman" w:eastAsia="Times New Roman"/>
                <w:sz w:val="24"/>
              </w:rPr>
              <w:t xml:space="preserve">	Nová právna úprav však spätne prenáša takúto právomoc na NBS, keďže zrušenie spoločnosti je naviazané priamo na odobratie povolenia na vykonávanie poisťovacej resp. zaisťovacej činnosti a uplynutie v zákone stanovenej prechodnej lehoty. Inými slovami, kým pred účinnosťou navrhovanej právnej úpravy nebolo zrušenie dotknutej právnickej osoby jedným z právnych účinkov rozhodnutia o odobratí povolenia na vykonávanie poisťovacej resp. zaisťovacej činnosti, nová právna úprava spätne zavádza takýto nový účinok na už v minulosti vydané rozhodnutia. Už len z tohto dôvodu ide o pravú retroaktivitu.</w:t>
              <w:br/>
            </w:r>
            <w:r>
              <w:rPr>
                <w:b w:val="off"/>
                <w:color w:val="000000"/>
                <w:rFonts w:ascii="Times New Roman" w:hAnsi="Times New Roman" w:cs="Times New Roman" w:eastAsia="Times New Roman"/>
                <w:sz w:val="24"/>
              </w:rPr>
              <w:t xml:space="preserve">	Zároveň, takáto zmena so spätným účinkom berie dotknutej právnickej osobe všetky práva, ktorej jej prináležali v rámci už prebiehajúceho súdneho konania o jej zrušení, keďže prejednávanú vec odoberá z právomoci súdov. </w:t>
              <w:br/>
            </w:r>
            <w:r>
              <w:rPr>
                <w:b w:val="off"/>
                <w:color w:val="000000"/>
                <w:rFonts w:ascii="Times New Roman" w:hAnsi="Times New Roman" w:cs="Times New Roman" w:eastAsia="Times New Roman"/>
                <w:sz w:val="24"/>
              </w:rPr>
              <w:t xml:space="preserve">	Rovnako odoberá práva dotknutej právnickej osoby aj v rámci správneho súdneho konania o preskúmaní rozhodnutia NBS o odobratí povolenia na vykonávanie poisťovacej resp. zaisťovacej činnosti, keďže zrušením a vstupom do likvidácie dochádza nahradeniu štatutárneho orgánu dotknutej právnickej osoby likvidátorom. Pôvodný štatutárny orgán si síce v zmysle navrhovanej právnej úpravy zachováva oprávnenie konať v mene dotknutej právnickej osoby v rámci takéhoto správneho súdneho konania, nemá však už oprávnenie vykonávať súvisiace úkony (napr. zabezpečiť si právne poradenstvo, zabezpečiť vypracovanie znaleckých posudkov a pod.). Takéto potrebné úkony však nebude vykonávať ani likvidátor, keďže likvidátor robí v mene dotknutej spoločnosti len úkony smerujúce k jej likvidácii, pričom nové zmluvy môže uzavierať len v súvislosti s ukončením doterajších právnych vzťahov (§75b ods. 3 Obchodného zákonníka). Dotknutá právnická osoba tak v takomto konaní stráca fakticky možnosť byť úspešnou, keďže jej navrhovaná právna úprava berie možnosť efektívne preukazovať svoje tvrdenia. </w:t>
              <w:br/>
            </w:r>
            <w:r>
              <w:rPr>
                <w:b w:val="off"/>
                <w:color w:val="000000"/>
                <w:rFonts w:ascii="Times New Roman" w:hAnsi="Times New Roman" w:cs="Times New Roman" w:eastAsia="Times New Roman"/>
                <w:sz w:val="24"/>
              </w:rPr>
              <w:t xml:space="preserve">	Navrhovaná právna úprava tak nepochybne odoberá dotknutej právnickej osobe práva, ktoré nadobudla v minulosti.</w:t>
              <w:br/>
            </w:r>
            <w:r>
              <w:rPr>
                <w:b w:val="off"/>
                <w:color w:val="000000"/>
                <w:rFonts w:ascii="Times New Roman" w:hAnsi="Times New Roman" w:cs="Times New Roman" w:eastAsia="Times New Roman"/>
                <w:sz w:val="24"/>
              </w:rPr>
              <w:t xml:space="preserve">	Na vyššie uvedených záveroch závere nič nemení ani skutočnosť, že navrhovaná právna úprava zavádza 28 dňovú lehotu od navrhovanej účinnosti novely (t.j. 30. január 2027) do automatického zrušenia dotknutej právnickej osoby (t.j. 1. marec 2027). Táto lehota totiž žiadnym spôsobom neadresuje vyššie uvedené výhrady a jedine umožňuje súdom urýchlene rozhodnúť o zrušení dotknutej právnickej osoby. </w:t>
              <w:br/>
            </w:r>
            <w:r>
              <w:rPr>
                <w:b w:val="off"/>
                <w:color w:val="000000"/>
                <w:rFonts w:ascii="Times New Roman" w:hAnsi="Times New Roman" w:cs="Times New Roman" w:eastAsia="Times New Roman"/>
                <w:sz w:val="24"/>
              </w:rPr>
              <w:t>Ad ii)</w:t>
              <w:br/>
            </w:r>
            <w:r>
              <w:rPr>
                <w:b w:val="off"/>
                <w:color w:val="000000"/>
                <w:rFonts w:ascii="Times New Roman" w:hAnsi="Times New Roman" w:cs="Times New Roman" w:eastAsia="Times New Roman"/>
                <w:sz w:val="24"/>
              </w:rPr>
              <w:t xml:space="preserve">	Navrhovaná právna úprava je zároveň aj  v rozpore s právom dotknutej právnickej osoby na spravodlivý proces v zmysle čl. 46 ods. 1 ústavy, a to osobitne v rozpore s právom dotknutej právnickej osoby na zákonného sudcu. </w:t>
              <w:br/>
            </w:r>
            <w:r>
              <w:rPr>
                <w:b w:val="off"/>
                <w:color w:val="000000"/>
                <w:rFonts w:ascii="Times New Roman" w:hAnsi="Times New Roman" w:cs="Times New Roman" w:eastAsia="Times New Roman"/>
                <w:sz w:val="24"/>
              </w:rPr>
              <w:t xml:space="preserve">	Navrhovanou právnou úpravou totiž dochádza k zastaveniu prebiehajúceho súdneho konania o zrušení dotknutej právnickej osoby v jej neprospech (keďže ex lege dôjde k jej zrušeniu) a k s tým spojenému odobratiu jej práv v rámci už prebiehajúceho súdneho konania. Zároveň navrhovaná právna úprava prakticky ruší aj akékoľvek rozhodnutia v rámci daného konania (napr. rozhodnutia o prerušení konania), čím dochádza všeobecne záväzným právnym predpisom k zrušeniu individuálneho rozhodnutia súdu. Navrhovaná právna úprava tak v princípe spôsobuje automatický neúspech dotknutej právnickej osoby v takomto súdnom konaní, aj keď pred jej účinnosťou takýto následok nastať nemusel. </w:t>
              <w:br/>
            </w:r>
            <w:r>
              <w:rPr>
                <w:b w:val="off"/>
                <w:color w:val="000000"/>
                <w:rFonts w:ascii="Times New Roman" w:hAnsi="Times New Roman" w:cs="Times New Roman" w:eastAsia="Times New Roman"/>
                <w:sz w:val="24"/>
              </w:rPr>
              <w:t xml:space="preserve">	V neposlednom rade dochádza aj k porušeniu práva dotknutej právnickej osoby na zákonného sudcu. Navrhovanou právnou úpravou totiž dochádza k zásahu do už prebiehajúceho konania a k nezákonnému odňatiu prejednávanej veci príslušnému sudcovi a jej spätné pridelenie NBS (keďže navrhovaná právna úprava spája rozhodnutie o odobratí povolenia na vykonávanie poisťovacej resp. zaisťovacej činnosti so zrušením dotknutej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iii)</w:t>
              <w:br/>
            </w:r>
            <w:r>
              <w:rPr>
                <w:b w:val="off"/>
                <w:color w:val="000000"/>
                <w:rFonts w:ascii="Times New Roman" w:hAnsi="Times New Roman" w:cs="Times New Roman" w:eastAsia="Times New Roman"/>
                <w:sz w:val="24"/>
              </w:rPr>
              <w:t xml:space="preserve">	Navrhovaná úprava súčasne spôsobuje aj porušenie práva dotknutej právnickej osoby na prieskum rozhodnutia orgánu verejnej správy podľa čl. 46 ods. 2 ústavy, a to v tak zásadnej veci, ktorá pre dotknutú právnickú osobu predstavuje „právnu smrť.“</w:t>
              <w:br/>
            </w:r>
            <w:r>
              <w:rPr>
                <w:b w:val="off"/>
                <w:color w:val="000000"/>
                <w:rFonts w:ascii="Times New Roman" w:hAnsi="Times New Roman" w:cs="Times New Roman" w:eastAsia="Times New Roman"/>
                <w:sz w:val="24"/>
              </w:rPr>
              <w:t xml:space="preserve">	„Ústava, podobne ako dohovor, nechráni práva, ktoré sú iluzórne, ale chráni práva vykonateľné, realizovateľné a efektívne.“ (PL. ÚS 19/09. Nález z 26. januára 2011. ZNUÚS 2011, s. 76).</w:t>
              <w:br/>
            </w:r>
            <w:r>
              <w:rPr>
                <w:b w:val="off"/>
                <w:color w:val="000000"/>
                <w:rFonts w:ascii="Times New Roman" w:hAnsi="Times New Roman" w:cs="Times New Roman" w:eastAsia="Times New Roman"/>
                <w:sz w:val="24"/>
              </w:rPr>
              <w:t xml:space="preserve">	Navrhovaná úprava síce formálne nezbavuje dotknutú právnickú osobu možnosti podať žalobu o prieskum rozhodnutia NBS o odobratí povolenia na vykonávanie poisťovacej resp. zaisťovacej činnosti, či v rámci takého správneho súdneho konania vykonávať právne úkony, ale takéto práva sa stávajú len iluzórnymi, bez obsahu.</w:t>
              <w:br/>
            </w:r>
            <w:r>
              <w:rPr>
                <w:b w:val="off"/>
                <w:color w:val="000000"/>
                <w:rFonts w:ascii="Times New Roman" w:hAnsi="Times New Roman" w:cs="Times New Roman" w:eastAsia="Times New Roman"/>
                <w:sz w:val="24"/>
              </w:rPr>
              <w:t xml:space="preserve">	So zrušením dotknutej právnickej osoby resp. jej vstupom do likvidácie totiž dochádza k vymenovaniu likvidátora, na ktorého prechádza pôsobnosť štatutárneho orgánu dotknutej právnickej osoby. Pôvodný štatutárny orgán si síce v zmysle navrhovanej právnej úpravy zachováva oprávnenie konať v mene dotknutej právnickej osoby v rámci konania o prieskum príslušného rozhodnutia NBS, nemá však už oprávnenie vykonávať súvisiace úkony (napr. zabezpečiť si právne poradenstvo, zabezpečiť vypracovanie znaleckých posudkov a pod.). Takéto potrebné úkony nebude vykonávať ani likvidátor, keďže likvidátor robí v mene dotknutej spoločnosti len úkony smerujúce k jej likvidácii pričom nové zmluvy môže uzavierať len v súvislosti s ukončením doterajších právnych vzťahov (§75b ods. 3 Obchodného zákonníka). Zdôrazňujeme, že k obdobnému záveru dospel aj Najvyšší súd SR, keď uviedol: „Zrušenie a likvidácia a následný zánik obchodnej spoločnosti by podľa súdov fakticky znemožnili súdny prieskum zákonnosti rozhodnutia Národnej banky Slovenska, pretože by viedli k zastaveniu správneho súdneho konania pre zánik žalobcu bez právneho nástupcu, a to ešte predtým než by správny súd rozhodol o zákonnosti rozhodnutia Národnej banky Slovenska. To by zabránilo prieskumu, či Národná banka Slovenska postupovala pri odobratí povolenia zákone alebo nie. Vstupom obchodnej spoločnosti do likvidácie by znamenalo, že likvidátor vykonáva iba úkony smerujúce k likvidácii spoločnosti a nie hájenie práv obchodnej spoločnosti voči Národnej banke Slovenska. Prakticky by tak bola znemožnená účinná procesná obrana obchodnej spoločnosti v konaní proti Národnej banke Slovenska, pretože likvidátor by robil len úkony v zmysle zákona, a to úkony smerujúce k likvidácii spoločnosti.“ (Uznesenie NSSR  sp. zn. 4ObdoK/1/2024 z 22.12.2025)</w:t>
              <w:br/>
            </w:r>
            <w:r>
              <w:rPr>
                <w:b w:val="off"/>
                <w:color w:val="000000"/>
                <w:rFonts w:ascii="Times New Roman" w:hAnsi="Times New Roman" w:cs="Times New Roman" w:eastAsia="Times New Roman"/>
                <w:sz w:val="24"/>
              </w:rPr>
              <w:t xml:space="preserve">	Nie je teda realistické očakávať, že by bol likvidátor súčinný v rámci konania o preskúmaní zákonnosti rozhodnutia o odobratí povolenia na vykonávanie poisťovacej resp. zaisťovacej činnosti. Tento záver platí osobitne v prípade, kedy navrhovaná právna úprava (bod 201) predpokladá, že likvidátor sa zodpovedá NBS. Dochádza teda k jasnému konfliktu záujmov medzi záujmami dotknutej právnickej osoby na riadnom preskúmaní príslušného rozhodnutia NBS a záujmami likvidátora na zotrvaní v pozícii likvidátora, ktoré môže byť aktivitou likvidátora v súvislosti s takýmto správnym súdnym konaním ohrozené. Prípadné zrušenie rozhodnutia o odobratí povolenia na vykonávanie poisťovacej resp. zaisťovacej činnosti je totiž v jasnom rozpore so záujmami NBS a je veľmi pravdepodobné, že NBS by v prípade aktívneho likvidátora radšej pristúpila k odvolaniu takéhoto likvidátora.</w:t>
              <w:br/>
            </w:r>
            <w:r>
              <w:rPr>
                <w:b w:val="off"/>
                <w:color w:val="000000"/>
                <w:rFonts w:ascii="Times New Roman" w:hAnsi="Times New Roman" w:cs="Times New Roman" w:eastAsia="Times New Roman"/>
                <w:sz w:val="24"/>
              </w:rPr>
              <w:t xml:space="preserve">	Dotknutá právnická osoba tak v takomto správnom súdnom konaní stráca fakticky možnosť byť úspešnou, keďže jej navrhovaná právna úprava berie možnosť efektívne preukazovať svoje tvrdenia a jej právo na súdny prieskum takéhoto rozhodnutia sa stáva len iluzórnym.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Napriek vyššie uvedeným zjavným rozporom navrhovanej právnej úpravy s ústavou, neponúka dôvodová správa žiadne relevantné odôvodnenie navrhovaných zmien. Obmedzuje sa len na vágne odôvodnenie efektívnejšieho a rýchlejšieho vymenovania likvidátora a ochranu klientov (bez akéhokoľvek odôvodnenia ako okamžité zrušenie a vstup dotknutej právnickej osoby do likvidácie má jej klientov chrániť).</w:t>
              <w:br/>
            </w:r>
            <w:r>
              <w:rPr>
                <w:b w:val="off"/>
                <w:color w:val="000000"/>
                <w:rFonts w:ascii="Times New Roman" w:hAnsi="Times New Roman" w:cs="Times New Roman" w:eastAsia="Times New Roman"/>
                <w:sz w:val="24"/>
              </w:rPr>
              <w:t xml:space="preserve">	Zo znenia odôvodnenia, ako aj z verejne dostupných informácií sa skôr javí, že cieľom navrhovanej je vyriešenie konkrétneho jedného prípadu všeobecným právnym predpisom. Vzhľadom na verejne dostupné informácie sa navrhované odseky 9 a 10 § 205d budú uplatňovať len vo vzťahu k jednej právnickej osobe, ktorej bolo odobraté povolenie na vykonávanie poisťovacej činnosti, čím vykazuje znaky účelovosti. Tento záver potvrdzuje aj dôvodová správa, ktorá ako cieľ navrhovanej úpravy uvádza efektívnejší postup vo vzťahu k právnickým osobám, ktorým bolo odobraté povolenie na vykonávanie poisťovacej činnosti. Predkladateľ teda opomína existenciu „bývalých zaisťovní“, napriek tomu, že sa toto ustanovenie má vzťahovať aj na ne a napriek tomu, že na iných miestach dôvodovej správy dôsledne hovorí o osobách ktorým bolo odobraté povolenie na vykonávanie poisťovacej alebo zaisťovacej činnosti. Navrhovateľ tak sám nepriamo uznáva, že mu ide o vyriešenie problému „jednej bývalej poisťovne.“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Zámerom predkladateľa je zefektívniť  konania aj voči subjektom, ktorým bolo odobraté povolenie na vykonávanie činnosti a do účinnosti novely zákona ešte nebol súdom ustanovený likvidátor. Nakoľko po účinnosti novely zákona je ponechaná prechodná lehota, počas ktorej sa má postupovať v zmysle doterajších právnych predpisov, predmetným prechodným ustanovením nedochádza k retroaktivite, ale sa spresňuje postup, ktorý sa bude aplikovať po uplynutí tejto prechodnej lehoty.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202 § § 161 ods. (5) – (13)</w:t>
              <w:br/>
            </w:r>
            <w:r>
              <w:rPr>
                <w:b w:val="off"/>
                <w:color w:val="000000"/>
                <w:rFonts w:ascii="Times New Roman" w:hAnsi="Times New Roman" w:cs="Times New Roman" w:eastAsia="Times New Roman"/>
                <w:sz w:val="24"/>
              </w:rPr>
              <w:t xml:space="preserve">Odsek (4) navrhovaného § 161 sa vypúšťa. Odseky (5) – (13) sa označujú ako (4) –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navrhovanej právnej úpravy dochádza k automatickému zániku všetkých poistných zmlúv uzavretých právnickou osobou, ktorej bolo odobraté povolenie na vykonávanie poisťovacej činnosti po uplynutí lehoty 24 mesiacov odo dňa právoplatnosti rozhodnutia o odobratí povolenia na vykonávanie poisťovacej činnosti.</w:t>
              <w:br/>
            </w:r>
            <w:r>
              <w:rPr>
                <w:b w:val="off"/>
                <w:color w:val="000000"/>
                <w:rFonts w:ascii="Times New Roman" w:hAnsi="Times New Roman" w:cs="Times New Roman" w:eastAsia="Times New Roman"/>
                <w:sz w:val="24"/>
              </w:rPr>
              <w:t xml:space="preserve">	Dňa 28.1.2025 nadobudla účinnosť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(ďalej len „Smernica 2025/1“), ktorú sú členské štáty EÚ povinné transponovať do 29.1.2027 (čiže ešte pred účinnosťou navrhovanej novely zákona). </w:t>
              <w:br/>
            </w:r>
            <w:r>
              <w:rPr>
                <w:b w:val="off"/>
                <w:color w:val="000000"/>
                <w:rFonts w:ascii="Times New Roman" w:hAnsi="Times New Roman" w:cs="Times New Roman" w:eastAsia="Times New Roman"/>
                <w:sz w:val="24"/>
              </w:rPr>
              <w:t>V preambule 42 kladie Smernica 2025/1 pri riešení krízových situácií poisťovní a zaisťovní dôraz na zachovanie výhod poistníkov poskytovaných v ich poistných zmluvách, a to bez nutnosti uzavierania novej poistnej zmluvy. Zachovanie výhod poistníkov poskytovaných v ich poistných zmluvách je preto v zmysle Smernice 2025/1 jedným z hlavných záujmov poistníkov.</w:t>
              <w:br/>
            </w:r>
            <w:r>
              <w:rPr>
                <w:b w:val="off"/>
                <w:color w:val="000000"/>
                <w:rFonts w:ascii="Times New Roman" w:hAnsi="Times New Roman" w:cs="Times New Roman" w:eastAsia="Times New Roman"/>
                <w:sz w:val="24"/>
              </w:rPr>
              <w:t xml:space="preserve">Navrhované ustanovenie je tak v priamom rozpore so Smernicou 2025/1, keďže v rozpore s cieľmi Smernice 2025/1 zavádza automatický zánik poistných zmlúv a teda stratu poistnej ochrany poistených osôb ku ktorému má dôjsť v relatívne krátkej 24-mesačnej lehote. Stačí teda, ak likvidátor bude nečinný a dôjde k poškodeniu všetkých klientov dotknutej právnickej osoby. </w:t>
              <w:br/>
            </w:r>
            <w:r>
              <w:rPr>
                <w:b w:val="off"/>
                <w:color w:val="000000"/>
                <w:rFonts w:ascii="Times New Roman" w:hAnsi="Times New Roman" w:cs="Times New Roman" w:eastAsia="Times New Roman"/>
                <w:sz w:val="24"/>
              </w:rPr>
              <w:t>Navrhujeme preto vypustenie tohto odseku.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161 bolo upravené na základe pripomienok MS SR a NBS uplatnených v rámci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205d ods. 9 a 10</w:t>
              <w:br/>
            </w:r>
            <w:r>
              <w:rPr>
                <w:b w:val="off"/>
                <w:color w:val="000000"/>
                <w:rFonts w:ascii="Times New Roman" w:hAnsi="Times New Roman" w:cs="Times New Roman" w:eastAsia="Times New Roman"/>
                <w:sz w:val="24"/>
              </w:rPr>
              <w:t>K bodu 235 (§ 205d ods. 9 a 10)</w:t>
              <w:br/>
            </w:r>
            <w:r>
              <w:rPr>
                <w:b w:val="off"/>
                <w:color w:val="000000"/>
                <w:rFonts w:ascii="Times New Roman" w:hAnsi="Times New Roman" w:cs="Times New Roman" w:eastAsia="Times New Roman"/>
                <w:sz w:val="24"/>
              </w:rPr>
              <w:t>Navrhujeme, aby § 205d ods. 9 znel:</w:t>
              <w:br/>
            </w:r>
            <w:r>
              <w:rPr>
                <w:b w:val="off"/>
                <w:color w:val="000000"/>
                <w:rFonts w:ascii="Times New Roman" w:hAnsi="Times New Roman" w:cs="Times New Roman" w:eastAsia="Times New Roman"/>
                <w:sz w:val="24"/>
              </w:rPr>
              <w:t>„(9) Ak došlo k odobratiu povolenia na vykonávanie poisťovacej činnosti alebo k odobratiu povolenia na vykonávanie zaisťovacej činnosti, alebo k zániku povolenia podľa § 160 ods. 1 písm. a) pred 30. januárom 2027, postup zrušenia a likvidácie dotknutej právnickej osoby sa dokončí podľa doterajších predpisov.“</w:t>
              <w:br/>
            </w:r>
            <w:r>
              <w:rPr>
                <w:b w:val="off"/>
                <w:color w:val="000000"/>
                <w:rFonts w:ascii="Times New Roman" w:hAnsi="Times New Roman" w:cs="Times New Roman" w:eastAsia="Times New Roman"/>
                <w:sz w:val="24"/>
              </w:rPr>
              <w:t>Odsek 10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doterajšej právnej úpravy sa o zrušení právnickej osoby, ktorej bolo odobraté povolenie na vykonávanie poisťovacej alebo zaisťovacej činnosti, a o nariadení jej likvidácie rozhodovalo v samostatnom súdnom konaní.</w:t>
              <w:br/>
            </w:r>
            <w:r>
              <w:rPr>
                <w:b w:val="off"/>
                <w:color w:val="000000"/>
                <w:rFonts w:ascii="Times New Roman" w:hAnsi="Times New Roman" w:cs="Times New Roman" w:eastAsia="Times New Roman"/>
                <w:sz w:val="24"/>
              </w:rPr>
              <w:t>Navrhovaná právna úprava tento mechanizmus mení. Podľa bodu 198 návrhu sa zrušenie dotknutej právnickej osoby spája priamo s právoplatnosťou rozhodnutia Národnej banky Slovenska o odobratí príslušného povolenia. Bod 235 zároveň predpokladá uplatnenie nového režimu aj na právnické osoby, ktorým bolo povolenie odobraté alebo zaniklo pred nadobudnutím účinnosti novej právnej úpravy, pričom k ich zrušeniu má dôjsť 1. marca 2027.</w:t>
              <w:br/>
            </w:r>
            <w:r>
              <w:rPr>
                <w:b w:val="off"/>
                <w:color w:val="000000"/>
                <w:rFonts w:ascii="Times New Roman" w:hAnsi="Times New Roman" w:cs="Times New Roman" w:eastAsia="Times New Roman"/>
                <w:sz w:val="24"/>
              </w:rPr>
              <w:t>Rozumieme zámeru predkladateľa zefektívniť postup pri zrušení a likvidácii dotknutých právnických osôb a zabezpečiť primeranú ochranu ich klientov. Domnievame sa však, že navrhované prechodné ustanovenie vyvoláva otázky z hľadiska právnej istoty, ochrany legitímnych očakávaní, postavenia účastníkov už prebiehajúcich súdnych konaní a zachovania účinného súdneho prieskumu rozhodnutí orgánov verejnej správy.</w:t>
              <w:br/>
            </w:r>
            <w:r>
              <w:rPr>
                <w:b w:val="off"/>
                <w:color w:val="000000"/>
                <w:rFonts w:ascii="Times New Roman" w:hAnsi="Times New Roman" w:cs="Times New Roman" w:eastAsia="Times New Roman"/>
                <w:sz w:val="24"/>
              </w:rPr>
              <w:t>Podstatou problému nie je samotná zmena právomoci do budúcnosti, ale skutočnosť, že nový právny následok sa má uplatniť aj na rozhodnutia o odobratí alebo zániku povolenia vydané pred účinnosťou novej právnej úpravy. Podľa doterajších predpisov nebolo zrušenie právnickej osoby automatickým právnym následkom právoplatnosti rozhodnutia o odobratí povolenia. O zrušení a likvidácii sa rozhodovalo samostatne, v rámci súdneho konania.</w:t>
              <w:br/>
            </w:r>
            <w:r>
              <w:rPr>
                <w:b w:val="off"/>
                <w:color w:val="000000"/>
                <w:rFonts w:ascii="Times New Roman" w:hAnsi="Times New Roman" w:cs="Times New Roman" w:eastAsia="Times New Roman"/>
                <w:sz w:val="24"/>
              </w:rPr>
              <w:t>Dotknuté právnické osoby preto mohli legitímne vychádzať z procesného rámca platného v čase odobratia alebo zániku povolenia. S týmto rámcom boli spojené aj príslušné procesné práva, najmä možnosť vyjadrovať sa, navrhovať dôkazy a uplatňovať ďalšie prostriedky procesnej ochrany.</w:t>
              <w:br/>
            </w:r>
            <w:r>
              <w:rPr>
                <w:b w:val="off"/>
                <w:color w:val="000000"/>
                <w:rFonts w:ascii="Times New Roman" w:hAnsi="Times New Roman" w:cs="Times New Roman" w:eastAsia="Times New Roman"/>
                <w:sz w:val="24"/>
              </w:rPr>
              <w:t>Spätné uplatnenie nového režimu môže zmeniť právne následky skutočností, ktoré nastali pred účinnosťou novej úpravy, a zasiahnuť do už existujúcich právnych vzťahov alebo prebiehajúcich konaní. Takúto úpravu je preto potrebné osobitne posúdiť z hľadiska princípu právneho štátu a právnej istoty podľa čl. 1 ods. 1 Ústavy Slovenskej republiky, ako aj z hľadiska primeranosti sledovanému verejnému záujmu.</w:t>
              <w:br/>
            </w:r>
            <w:r>
              <w:rPr>
                <w:b w:val="off"/>
                <w:color w:val="000000"/>
                <w:rFonts w:ascii="Times New Roman" w:hAnsi="Times New Roman" w:cs="Times New Roman" w:eastAsia="Times New Roman"/>
                <w:sz w:val="24"/>
              </w:rPr>
              <w:t>Navrhované prechodné ustanovenie môže mať vplyv aj na už prebiehajúce súdne konania o zrušení dotknutej právnickej osoby. Ak by v dôsledku novej úpravy došlo k strate predmetu takéhoto konania alebo k jeho zastaveniu, mohlo by to ovplyvniť procesné postavenie jeho účastníkov a vyvolať otázky z hľadiska práva na súdnu ochranu podľa čl. 46 ods. 1 Ústavy Slovenskej republiky.</w:t>
              <w:br/>
            </w:r>
            <w:r>
              <w:rPr>
                <w:b w:val="off"/>
                <w:color w:val="000000"/>
                <w:rFonts w:ascii="Times New Roman" w:hAnsi="Times New Roman" w:cs="Times New Roman" w:eastAsia="Times New Roman"/>
                <w:sz w:val="24"/>
              </w:rPr>
              <w:t>Osobitnú pozornosť si zasluhuje aj zachovanie účinného súdneho prieskumu rozhodnutia Národnej banky Slovenska podľa čl. 46 ods. 2 Ústavy Slovenskej republiky. Navrhovaná úprava síce formálne zachováva možnosť preskúmania rozhodnutia o odobratí povolenia, zrušenie právnickej osoby a jej vstup do likvidácie však môžu ovplyvniť praktické podmienky vedenia takéhoto konania.</w:t>
              <w:br/>
            </w:r>
            <w:r>
              <w:rPr>
                <w:b w:val="off"/>
                <w:color w:val="000000"/>
                <w:rFonts w:ascii="Times New Roman" w:hAnsi="Times New Roman" w:cs="Times New Roman" w:eastAsia="Times New Roman"/>
                <w:sz w:val="24"/>
              </w:rPr>
              <w:t>Po vstupe právnickej osoby do likvidácie dochádza k zmene rozsahu pôsobnosti jej orgánov a k prechodu príslušných oprávnení na likvidátora. V praxi preto môžu vzniknúť otázky týkajúce sa zabezpečenia právneho zastúpenia, obstarávania odborných stanovísk a znaleckých posudkov, úhrady nákladov súdneho konania alebo vykonávania ďalších úkonov potrebných na efektívnu ochranu práv dotknutej právnickej osoby.</w:t>
              <w:br/>
            </w:r>
            <w:r>
              <w:rPr>
                <w:b w:val="off"/>
                <w:color w:val="000000"/>
                <w:rFonts w:ascii="Times New Roman" w:hAnsi="Times New Roman" w:cs="Times New Roman" w:eastAsia="Times New Roman"/>
                <w:sz w:val="24"/>
              </w:rPr>
              <w:t>Právo na súdny prieskum by pritom nemalo zostať zachované iba formálne, ale právna úprava by mala vytvárať aj primerané podmienky na jeho praktické a účinné uplatnenie.</w:t>
              <w:br/>
            </w:r>
            <w:r>
              <w:rPr>
                <w:b w:val="off"/>
                <w:color w:val="000000"/>
                <w:rFonts w:ascii="Times New Roman" w:hAnsi="Times New Roman" w:cs="Times New Roman" w:eastAsia="Times New Roman"/>
                <w:sz w:val="24"/>
              </w:rPr>
              <w:t>Podľa nášho názoru dôvodová správa dostatočne podrobne nevysvetľuje, prečo je potrebné nový režim uplatniť aj na prípady, v ktorých bolo povolenie odobraté alebo zaniklo pred nadobudnutím účinnosti novej právnej úpravy. Rovnako z nej nie je zrejmé, prečo nemožno sledovaný cieľ dosiahnuť menej zásadným prechodným riešením, ktoré by rešpektovalo doterajší právny režim a už prebiehajúce konania.</w:t>
              <w:br/>
            </w:r>
            <w:r>
              <w:rPr>
                <w:b w:val="off"/>
                <w:color w:val="000000"/>
                <w:rFonts w:ascii="Times New Roman" w:hAnsi="Times New Roman" w:cs="Times New Roman" w:eastAsia="Times New Roman"/>
                <w:sz w:val="24"/>
              </w:rPr>
              <w:t>Navrhované znenie § 205d ods. 9 zachová uplatňovanie nového režimu na prípady vzniknuté po nadobudnutí účinnosti novej právnej úpravy, súčasne však zabezpečí, aby sa postup zrušenia a likvidácie právnických osôb, ktorým bolo povolenie odobraté alebo zaniklo pred 30. januárom 2027, dokončil podľa doterajších predpisov.</w:t>
              <w:br/>
            </w:r>
            <w:r>
              <w:rPr>
                <w:b w:val="off"/>
                <w:color w:val="000000"/>
                <w:rFonts w:ascii="Times New Roman" w:hAnsi="Times New Roman" w:cs="Times New Roman" w:eastAsia="Times New Roman"/>
                <w:sz w:val="24"/>
              </w:rPr>
              <w:t>Takéto prechodné riešenie podľa nášho názoru primeranejšie rešpektuje princíp právnej istoty, postavenie účastníkov už prebiehajúcich konaní a potrebu zachovania účinného súdneho prieskumu.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Zámerom predkladateľa je zefektívniť  konania aj voči subjektom, ktorým bolo odobraté povolenie na vykonávanie činnosti a do účinnosti novely zákona ešte nebol súdom ustanovený likvidátor. Nakoľko po účinnosti novely zákona je ponechaná prechodná lehota, počas ktorej sa má postupovať v zmysle doterajších právnych predpisov, predmetným prechodným ustanovením nedochádza k retroaktivite, ale sa spresňuje postup, ktorý sa bude aplikovať po uplynutí tejto prechodnej lehoty.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161 ods. 4</w:t>
              <w:br/>
            </w:r>
            <w:r>
              <w:rPr>
                <w:b w:val="off"/>
                <w:color w:val="000000"/>
                <w:rFonts w:ascii="Times New Roman" w:hAnsi="Times New Roman" w:cs="Times New Roman" w:eastAsia="Times New Roman"/>
                <w:sz w:val="24"/>
              </w:rPr>
              <w:t>K bodu 202 (§ 161 ods. 4)</w:t>
              <w:br/>
            </w:r>
            <w:r>
              <w:rPr>
                <w:b w:val="off"/>
                <w:color w:val="000000"/>
                <w:rFonts w:ascii="Times New Roman" w:hAnsi="Times New Roman" w:cs="Times New Roman" w:eastAsia="Times New Roman"/>
                <w:sz w:val="24"/>
              </w:rPr>
              <w:t>Navrhujeme vypustiť § 161 ods. 4.</w:t>
              <w:br/>
            </w:r>
            <w:r>
              <w:rPr>
                <w:b w:val="off"/>
                <w:color w:val="000000"/>
                <w:rFonts w:ascii="Times New Roman" w:hAnsi="Times New Roman" w:cs="Times New Roman" w:eastAsia="Times New Roman"/>
                <w:sz w:val="24"/>
              </w:rPr>
              <w:t>Doterajšie odseky 5 až 13 sa označia ako odseky 4 až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 161 ods. 4 majú poistné zmluvy uzatvorené právnickou osobou, ktorej bolo odobraté povolenie na vykonávanie poisťovacej činnosti, zaniknúť uplynutím 24 mesiacov odo dňa nadobudnutia právoplatnosti rozhodnutia o odobratí povolenia.</w:t>
              <w:br/>
            </w:r>
            <w:r>
              <w:rPr>
                <w:b w:val="off"/>
                <w:color w:val="000000"/>
                <w:rFonts w:ascii="Times New Roman" w:hAnsi="Times New Roman" w:cs="Times New Roman" w:eastAsia="Times New Roman"/>
                <w:sz w:val="24"/>
              </w:rPr>
              <w:t>Rozumieme zámeru predkladateľa určiť časovo predvídateľný rámec na ukončenie poistných vzťahov a na dokončenie likvidácie dotknutej právnickej osoby. Domnievame sa však, že automatický zánik všetkých poistných zmlúv po uplynutí jednotnej lehoty môže mať neprimerané dôsledky pre poistníkov, poistených a ďalšie oprávnené osoby.</w:t>
              <w:br/>
            </w:r>
            <w:r>
              <w:rPr>
                <w:b w:val="off"/>
                <w:color w:val="000000"/>
                <w:rFonts w:ascii="Times New Roman" w:hAnsi="Times New Roman" w:cs="Times New Roman" w:eastAsia="Times New Roman"/>
                <w:sz w:val="24"/>
              </w:rPr>
              <w:t>Navrhované ustanovenie nerozlišuje medzi jednotlivými druhmi poistných zmlúv, dĺžkou ich trvania ani konkrétnou situáciou poistníka. K zániku poistnej zmluvy môže dôjsť bez ohľadu na to, či boli vyčerpané reálne možnosti prevodu poistného kmeňa alebo či bola pre dotknutých poistníkov zabezpečená primeraná kontinuita poistného krytia.</w:t>
              <w:br/>
            </w:r>
            <w:r>
              <w:rPr>
                <w:b w:val="off"/>
                <w:color w:val="000000"/>
                <w:rFonts w:ascii="Times New Roman" w:hAnsi="Times New Roman" w:cs="Times New Roman" w:eastAsia="Times New Roman"/>
                <w:sz w:val="24"/>
              </w:rPr>
              <w:t>Osobitne závažné dôsledky môžu vzniknúť pri dlhodobých poistných produktoch. Niektorí poistníci nemusia byť vzhľadom na svoj vek, zdravotný stav alebo iné individuálne okolnosti schopní uzatvoriť novú poistnú zmluvu za porovnateľných podmienok. Nové poistenie môže byť pre nich nedostupné, podstatne drahšie alebo spojené s výlukami a obmedzeniami, ktoré pôvodná poistná zmluva neobsahovala.</w:t>
              <w:br/>
            </w:r>
            <w:r>
              <w:rPr>
                <w:b w:val="off"/>
                <w:color w:val="000000"/>
                <w:rFonts w:ascii="Times New Roman" w:hAnsi="Times New Roman" w:cs="Times New Roman" w:eastAsia="Times New Roman"/>
                <w:sz w:val="24"/>
              </w:rPr>
              <w:t>V tejto súvislosti poukazujeme aj na ochranné ciele smernice Európskeho parlamentu a Rady (EÚ) 2025/1 z 27. novembra 2024, ktorou sa stanovuje rámec pre ozdravenie a riešenie krízových situácií poisťovní a zaisťovní. Odôvodnenie 42 tejto smernice v kontexte riešenia krízových situácií vychádza z možnosti zachovať poistníkom všetky alebo časť výhod vyplývajúcich z ich poistných zmlúv bez nevyhnutnosti uzatvoriť novú poistnú zmluvu.</w:t>
              <w:br/>
            </w:r>
            <w:r>
              <w:rPr>
                <w:b w:val="off"/>
                <w:color w:val="000000"/>
                <w:rFonts w:ascii="Times New Roman" w:hAnsi="Times New Roman" w:cs="Times New Roman" w:eastAsia="Times New Roman"/>
                <w:sz w:val="24"/>
              </w:rPr>
              <w:t>Uvedené odôvodnenie síce priamo neupravuje všetky prípady likvidácie poisťovne po odobratí povolenia, vyjadruje však relevantný cieľ ochrany poistníkov a zachovania kontinuity poistných vzťahov, ktorý je podľa nášho názoru vhodné zohľadniť aj pri úprave následkov odobratia povolenia.</w:t>
              <w:br/>
            </w:r>
            <w:r>
              <w:rPr>
                <w:b w:val="off"/>
                <w:color w:val="000000"/>
                <w:rFonts w:ascii="Times New Roman" w:hAnsi="Times New Roman" w:cs="Times New Roman" w:eastAsia="Times New Roman"/>
                <w:sz w:val="24"/>
              </w:rPr>
              <w:t>Dôvodová správa podľa nášho názoru dostatočne nevysvetľuje, prečo bola zvolená jednotná lehota 24 mesiacov bez ohľadu na druh poistnej zmluvy a situáciu dotknutého poistníka. Rovnako z nej nie je zrejmé, aké konkrétne ochranné mechanizmy budú pred zánikom poistných zmlúv uplatnené s cieľom predísť strate poistnej ochrany.</w:t>
              <w:br/>
            </w:r>
            <w:r>
              <w:rPr>
                <w:b w:val="off"/>
                <w:color w:val="000000"/>
                <w:rFonts w:ascii="Times New Roman" w:hAnsi="Times New Roman" w:cs="Times New Roman" w:eastAsia="Times New Roman"/>
                <w:sz w:val="24"/>
              </w:rPr>
              <w:t>Navrhujeme preto § 161 ods. 4 vypustiť.</w:t>
              <w:br/>
            </w:r>
            <w:r>
              <w:rPr>
                <w:b w:val="off"/>
                <w:color w:val="000000"/>
                <w:rFonts w:ascii="Times New Roman" w:hAnsi="Times New Roman" w:cs="Times New Roman" w:eastAsia="Times New Roman"/>
                <w:sz w:val="24"/>
              </w:rPr>
              <w:t>Ak predkladateľ nepovažuje úplné vypustenie predmetného ustanovenia za vhodné, navrhujeme alternatívne upraviť zánik poistných zmlúv tak, aby nebol výlučne automatickým následkom uplynutia lehoty, ale aby mu predchádzalo posúdenie možností prevodu poistného kmeňa, včasné informovanie dotknutých poistníkov a prijatie primeraných opatrení na ochranu ich práv a kontinuity poistného krytia.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161 ods. 4 bolo upravené na základe pripomienok MS SR a NBS uplatnených v rámci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CDCP</w:t>
            </w:r>
            <w:r>
              <w:rPr>
                <w:b w:val="off"/>
                <w:color w:val="000000"/>
                <w:rFonts w:ascii="Times New Roman" w:hAnsi="Times New Roman" w:cs="Times New Roman" w:eastAsia="Times New Roman"/>
                <w:sz w:val="24"/>
              </w:rPr>
              <w:t xml:space="preserve"> – Centrálny depozitár cenných papierov SR, a.s.</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20 (16o,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48 (46o,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30 (30o,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28 (21o,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28 (28o,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180 (165o, 15z)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