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95/2019 Z. z. o informačných technológiách vo verejnej správe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LP/2025/226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182/60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182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41</w:t>
      </w:r>
      <w:r w:rsidR="00754CB0">
        <w:rPr>
          <w:rFonts w:ascii="Times New Roman" w:eastAsia="Times New Roman" w:hAnsi="Times New Roman" w:cs="Times New Roman"/>
          <w:sz w:val="24"/>
          <w:szCs w:val="24"/>
        </w:rPr>
        <w:t>/15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23/</w:t>
      </w:r>
      <w:r w:rsidR="008E0404">
        <w:rPr>
          <w:rFonts w:ascii="Times New Roman" w:eastAsia="Times New Roman" w:hAnsi="Times New Roman" w:cs="Times New Roman"/>
          <w:sz w:val="24"/>
          <w:szCs w:val="24"/>
        </w:rPr>
        <w:t xml:space="preserve">11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118</w:t>
      </w:r>
      <w:r w:rsidR="004A48F0">
        <w:rPr>
          <w:rFonts w:ascii="Times New Roman" w:eastAsia="Times New Roman" w:hAnsi="Times New Roman" w:cs="Times New Roman"/>
          <w:sz w:val="24"/>
          <w:szCs w:val="24"/>
        </w:rPr>
        <w:t>/34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AFCEA</w:t>
              <w:br/>
            </w:r>
            <w:r>
              <w:rPr>
                <w:b w:val="off"/>
                <w:color w:val="000000"/>
                <w:rFonts w:ascii="Times New Roman" w:hAnsi="Times New Roman" w:cs="Times New Roman" w:eastAsia="Times New Roman"/>
                <w:sz w:val="24"/>
              </w:rPr>
              <w:t>AFCEA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Využívanie systémov AI zo strany verejnej správy</w:t>
              <w:br/>
            </w:r>
            <w:r>
              <w:rPr>
                <w:b w:val="off"/>
                <w:color w:val="000000"/>
                <w:rFonts w:ascii="Times New Roman" w:hAnsi="Times New Roman" w:cs="Times New Roman" w:eastAsia="Times New Roman"/>
                <w:sz w:val="24"/>
              </w:rPr>
              <w:t xml:space="preserve">(i) Odporúčame  doplniť čl. I bod 19 návrhu zákona (§ 13b zákona č. 95/2019 Z. z.) o nasledovnú formuláciu: „Orgán riadenia vytvára podmienky na zavádzanie systémov AI do svojich činností s cieľom zvyšovať kvalitu, efektívnosť a dostupnosť služieb poskytovaných verejnou správou.“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Zároveň dávame podnet, aby sa právna regulácia informačných technológií vo verejnej správe do budúcnosti viac zamerala na podporu zavádzania systémov AI, pričom by mala odstraňovať neprimerané prekážky pre poskytovateľov globálnych systémov AI, ako sú napríklad požiadavky na lokalizáciu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rozširuje definíciu informačnej technológie v § 2 zákona č. 95/2019 Z. z. o systémy umelej inteligencie (ďalej len „systémy AI“) a zavádza nový § 13b, ktorý upravuje rámcové zásady ich zavádzania a používania vo verejnej správe. Vzhľadom na narastajúci význam digitalizácie a potrebu zvyšovania efektívnosti verejných služieb možno tento návrh považovať za významný krok smerom k technologickej modernizácii verejnej správy. Zavádzanie systémov AI má potenciál optimalizovať rozhodovacie procesy, znižovať administratívnu záťaž a prispievať k vyššej kvalite poskytovaných služieb.</w:t>
              <w:br/>
            </w:r>
            <w:r>
              <w:rPr>
                <w:b w:val="off"/>
                <w:color w:val="000000"/>
                <w:rFonts w:ascii="Times New Roman" w:hAnsi="Times New Roman" w:cs="Times New Roman" w:eastAsia="Times New Roman"/>
                <w:sz w:val="24"/>
              </w:rPr>
              <w:t>Pozitívne hodnotíme navrhované ustanovenia § 13b ods. 6 a 7, ktoré zakotvujú podporu výskumu a inovácií v oblasti AI, ako aj spoluprácu verejného a súkromného sektora. Na posilnenie aplikačnej istoty navrhujeme doplniť § 13b o ustanovenie, podľa ktorého „orgán riadenia vytvára podmienky na zavádzanie systémov AI do svojich činností s cieľom zvyšovať kvalitu, efektívnosť a dostupnosť služieb verejnej správy“.</w:t>
              <w:br/>
            </w:r>
            <w:r>
              <w:rPr>
                <w:b w:val="off"/>
                <w:color w:val="000000"/>
                <w:rFonts w:ascii="Times New Roman" w:hAnsi="Times New Roman" w:cs="Times New Roman" w:eastAsia="Times New Roman"/>
                <w:sz w:val="24"/>
              </w:rPr>
              <w:t>Zároveň poukazujeme na potrebu komplexného posúdenia vplyvu existujúcej právnej úpravy na využiteľnosť systémov AI, najmä vo vzťahu k požiadavkám na lokalizáciu dát podľa § 45 vyhlášky č. 78/2020 Z. z. Vzhľadom na to, že mnohé pokročilé AI riešenia sú prevádzkované výhradne v globálnych cloudových infraštruktúrach, môžu aktuálne lokalizačné limity predstavovať neprimeranú prekážku ich nasadzovania vo verejnej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(ďalej len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AFCEA</w:t>
              <w:br/>
            </w:r>
            <w:r>
              <w:rPr>
                <w:b w:val="off"/>
                <w:color w:val="000000"/>
                <w:rFonts w:ascii="Times New Roman" w:hAnsi="Times New Roman" w:cs="Times New Roman" w:eastAsia="Times New Roman"/>
                <w:sz w:val="24"/>
              </w:rPr>
              <w:t>AFCEA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Zmluvné podmienky na súčinnosť dodávateľa</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 xml:space="preserve">(i)	Výslovne definovať pojem „projekt“ v zákone č. 95/2019 Z. z., a to v súlade s pôvodnou dôvodovou správou – najmä tak, aby bolo zrejmé, že sa vzťahuje len na prípady budovania informačných technológií na mieru, a nevzťahuje sa na obstarávanie štandardizovaných cloudových riešení; </w:t>
              <w:br/>
            </w:r>
            <w:r>
              <w:rPr>
                <w:b w:val="off"/>
                <w:color w:val="000000"/>
                <w:rFonts w:ascii="Times New Roman" w:hAnsi="Times New Roman" w:cs="Times New Roman" w:eastAsia="Times New Roman"/>
                <w:sz w:val="24"/>
              </w:rPr>
              <w:t xml:space="preserve">(ii) Vypustiť navrhovaný bod 4 § 15 ods. 2, písm. g), ktorý ukladá pôvodnému dodávateľovi povinnosť poskytovať súčinnosť novému dodávateľovi pri vytváraní nového informačného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novely zákona č. 95/2019 Z. z. dopĺňa ustanovenia § 15 ods. 2 písm. g) bodov 3 a 4, ktoré zavádzajú povinnosť pôvodného dodávateľa poskytovať súčinnosť pri zmene dodávateľa informačných systémov, najmä v oblasti architektúry, integrácie a migrácie dát.</w:t>
              <w:br/>
            </w:r>
            <w:r>
              <w:rPr>
                <w:b w:val="off"/>
                <w:color w:val="000000"/>
                <w:rFonts w:ascii="Times New Roman" w:hAnsi="Times New Roman" w:cs="Times New Roman" w:eastAsia="Times New Roman"/>
                <w:sz w:val="24"/>
              </w:rPr>
              <w:t>Navrhované znenie však podľa nášho názoru predstavuje neprimerané zaťaženie pôvodných dodávateľov a môže mať negatívny dopad na realizáciu projektov verejnej správy. Významný problém predstavuje absencia výslovnej definície pojmu „projekt“, čo môže viesť k nejednoznačnej interpretácii a jeho aplikácii aj na štandardné IT riešenia, ako sú cloudové služby. Zároveň považujeme za sporné, aby pôvodný dodávateľ bol povinný spolupracovať s novým dodávateľom, keďže zodpovednosť za nový systém nesie správca a nový dodávateľ. Takáto povinnosť je v praxi ťažko realizovateľná, technologicky náročná a môže narušiť súťažné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prvej časti pripomienky:</w:t>
              <w:br/>
            </w:r>
            <w:r>
              <w:rPr>
                <w:b w:val="off"/>
                <w:color w:val="000000"/>
                <w:rFonts w:ascii="Times New Roman" w:hAnsi="Times New Roman" w:cs="Times New Roman" w:eastAsia="Times New Roman"/>
                <w:sz w:val="24"/>
              </w:rPr>
              <w:t>Projekt je upravený v § 2 písm. x) Vyhlášky MIRRI SR č. 401/2023 o riadení projektov a zmenových požiadaviek v prevádzke informačných technológií verejnej správy.</w:t>
              <w:br/>
            </w:r>
            <w:r>
              <w:rPr>
                <w:b w:val="off"/>
                <w:color w:val="000000"/>
                <w:rFonts w:ascii="Times New Roman" w:hAnsi="Times New Roman" w:cs="Times New Roman" w:eastAsia="Times New Roman"/>
                <w:sz w:val="24"/>
              </w:rPr>
              <w:t>Pre úplnosť uvádzame, že pri definícii projektu nešlo len o to, aby sa obsiahli komplexné a unikátne systémy. Išlo aj o kontrolu hospodárnosti, preto sa upravovala hranica pre veľký projekt, napríklad. Z tohto pohľadu je irelevantné, či ide o štandardizované riešenie alebo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druhej časti pripomienky:</w:t>
              <w:br/>
            </w:r>
            <w:r>
              <w:rPr>
                <w:b w:val="off"/>
                <w:color w:val="000000"/>
                <w:rFonts w:ascii="Times New Roman" w:hAnsi="Times New Roman" w:cs="Times New Roman" w:eastAsia="Times New Roman"/>
                <w:sz w:val="24"/>
              </w:rPr>
              <w:t>Povinnosť pôvodného dodávateľa poskytovať súčinnosť novému dodávateľovi pri prechode alebo zmene informačného systému je bežne uznávanou a štandardnou zmluvnou klauzulou v oblasti IT služieb a obstarávania. Tento záväzok má praktický význam najmä z hľadiska zabezpečenia kontinuity prevádzky, minimalizácie rizík spojených s migráciou dát a systémovou integráciou, a tiež zefektívnenia prechodu medzi dodávateľmi. Uvedené výrazne prispieva k ochrane záujmov správcu systému.</w:t>
              <w:br/>
            </w:r>
            <w:r>
              <w:rPr>
                <w:b w:val="off"/>
                <w:color w:val="000000"/>
                <w:rFonts w:ascii="Times New Roman" w:hAnsi="Times New Roman" w:cs="Times New Roman" w:eastAsia="Times New Roman"/>
                <w:sz w:val="24"/>
              </w:rPr>
              <w:t>Takáto povinnosť nepredstavuje neprimeranú záťaž pre pôvodného dodávateľa, pretože je štandardne zahrnutá už v zmluvných vzťahoch a vyplýva z bežných pravidiel zmluvnej praxe v IT sektore. Navyše, zabezpečuje férové a transparentné prostredie v rámci súťaže, pretože eliminuje možné technické alebo organizačné prekážky, ktoré by mohli inak novému dodávateľovi sťažiť prevzatie a rozvoj systému.</w:t>
              <w:br/>
            </w:r>
            <w:r>
              <w:rPr>
                <w:b w:val="off"/>
                <w:color w:val="000000"/>
                <w:rFonts w:ascii="Times New Roman" w:hAnsi="Times New Roman" w:cs="Times New Roman" w:eastAsia="Times New Roman"/>
                <w:sz w:val="24"/>
              </w:rPr>
              <w:t>Z tohto dôvodu je nevyhnutné, aby zákon túto povinnosť jasne zakotvil, čím sa predíde možným sporom a nejednoznačnosti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13b</w:t>
              <w:br/>
            </w:r>
            <w:r>
              <w:rPr>
                <w:b w:val="off"/>
                <w:color w:val="000000"/>
                <w:rFonts w:ascii="Times New Roman" w:hAnsi="Times New Roman" w:cs="Times New Roman" w:eastAsia="Times New Roman"/>
                <w:sz w:val="24"/>
              </w:rPr>
              <w:t>Navrhované znenie § 13b zavádza neprimerane všeobecné povinnosti pre orgány verejnej správy pri používaní systémov AI, ktoré významne presahujú rámec nariadenia Európskeho parlamentu a Rady (EÚ) 2024/1689 (AI Act). Znenie nereguluje diferencovane podľa rizikových kategórií AI systémov a ukladá identické povinnosti aj pre systémy, ktoré spadajú do kategórie nízkeho alebo zanedbateľného rizika (napr. OCR, prekladové nástroje, jednoduché odporúčacie systémy). Takýto prístup nie je v súlade s princípom proporcionality (justifikácie) regulácie a môže viesť k odstrašujúcemu účinku pri zavádzaní efektívnych, nízkorizikových AI riešení vo verejnej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Konkrétny príklad (ilustrácia neprimeranosti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Jednoduchý systém na optické rozpoznávanie znakov (OCR), ktorý slúži napr. na digitalizáciu doručenej listovej komunikácie na podateľni verejného orgánu, spadá pod definíciu „systému AI“ podľa čl. 3 ods. 1 AI Act. Podľa návrhu § 13b ods. 1 by aj takýto systém musel podliehať režimu priameho ľudského dohľadu nad výstupmi. Takáto požiadavka je technicky aj prevádzkovo neodôvodnená – OCR systémy produkujú len strojový prepis textu bez interpretačného rozhodovania a bez právne relevantného zásahu. Výsledkom je regulačný disbalans bez reálneho prínosu pre ochranu práv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Nedostatočná praktická aplikovateľnosť navrhovaného znenia § 13b</w:t>
              <w:br/>
            </w:r>
            <w:r>
              <w:rPr>
                <w:b w:val="off"/>
                <w:color w:val="000000"/>
                <w:rFonts w:ascii="Times New Roman" w:hAnsi="Times New Roman" w:cs="Times New Roman" w:eastAsia="Times New Roman"/>
                <w:sz w:val="24"/>
              </w:rPr>
              <w:t>Aktuálny návrh § 13b predstavuje nevyvážený kompromis medzi formálnym právnym ukotvením a technokratickým opisom. V praxi však nezabezpečuje ani právnu istotu, ani flexibilitu potrebnú pre adaptívne riadenie systémov umelej inteligencie (AI) vo verejnej správe. Hrozí, že sa ustanovenie stane buď neaplikovateľným, alebo sa bude uplatňovať iba formálne, bez skutočného regulačného a inovačného dopadu.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Alternatívy k zachovaniu § 13b</w:t>
              <w:br/>
            </w:r>
            <w:r>
              <w:rPr>
                <w:b w:val="off"/>
                <w:color w:val="000000"/>
                <w:rFonts w:ascii="Times New Roman" w:hAnsi="Times New Roman" w:cs="Times New Roman" w:eastAsia="Times New Roman"/>
                <w:sz w:val="24"/>
              </w:rPr>
              <w:t>Odporúčame zvážiť dve možné riešenia:</w:t>
              <w:br/>
            </w:r>
            <w:r>
              <w:rPr>
                <w:b w:val="off"/>
                <w:color w:val="000000"/>
                <w:rFonts w:ascii="Times New Roman" w:hAnsi="Times New Roman" w:cs="Times New Roman" w:eastAsia="Times New Roman"/>
                <w:sz w:val="24"/>
              </w:rPr>
              <w:t>•	Úplné vypustenie § 13b a jeho nahradenie vykonávacím predpisom alebo metodickým rámcom, ktorý umožní flexibilnejšiu reakciu na vývoj AI technológií.</w:t>
              <w:br/>
            </w:r>
            <w:r>
              <w:rPr>
                <w:b w:val="off"/>
                <w:color w:val="000000"/>
                <w:rFonts w:ascii="Times New Roman" w:hAnsi="Times New Roman" w:cs="Times New Roman" w:eastAsia="Times New Roman"/>
                <w:sz w:val="24"/>
              </w:rPr>
              <w:t>•	Komplexnú revíziu § 13b, ktorá by zahŕňala väzbu na rizikovosť AI systémov, osobitné režimy pre obranu, bezpečnosť a utajenie, ako aj výslovné zakotvenie AI sandboxov podľa článku 57 a nasl. AI Act a prepojenie s rámcami ako GDPR, DSA či samotný AI Act.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Kľúčové legislatívne odporúčania</w:t>
              <w:br/>
            </w:r>
            <w:r>
              <w:rPr>
                <w:b w:val="off"/>
                <w:color w:val="000000"/>
                <w:rFonts w:ascii="Times New Roman" w:hAnsi="Times New Roman" w:cs="Times New Roman" w:eastAsia="Times New Roman"/>
                <w:sz w:val="24"/>
              </w:rPr>
              <w:t>Na zabezpečenie zmysluplnej regulácie AI vo verejnej správe navrhujeme:</w:t>
              <w:br/>
            </w:r>
            <w:r>
              <w:rPr>
                <w:b w:val="off"/>
                <w:color w:val="000000"/>
                <w:rFonts w:ascii="Times New Roman" w:hAnsi="Times New Roman" w:cs="Times New Roman" w:eastAsia="Times New Roman"/>
                <w:sz w:val="24"/>
              </w:rPr>
              <w:t>•	Viazať regulačné povinnosti len na vysokorizikové systémy AI a tie, ktoré generujú obsah alebo interakciu s používateľom (v súlade s AI Act).</w:t>
              <w:br/>
            </w:r>
            <w:r>
              <w:rPr>
                <w:b w:val="off"/>
                <w:color w:val="000000"/>
                <w:rFonts w:ascii="Times New Roman" w:hAnsi="Times New Roman" w:cs="Times New Roman" w:eastAsia="Times New Roman"/>
                <w:sz w:val="24"/>
              </w:rPr>
              <w:t>•	Zaviesť výnimky pre oblasti obrany, bezpečnosti a iné špecifické režimy napr. výskum.</w:t>
              <w:br/>
            </w:r>
            <w:r>
              <w:rPr>
                <w:b w:val="off"/>
                <w:color w:val="000000"/>
                <w:rFonts w:ascii="Times New Roman" w:hAnsi="Times New Roman" w:cs="Times New Roman" w:eastAsia="Times New Roman"/>
                <w:sz w:val="24"/>
              </w:rPr>
              <w:t>•	Doplniť ustanovenia o regulačných experimentoch (AI sandboxoch), ktoré podporujú bezpečné testovanie a inovácie.</w:t>
              <w:br/>
            </w:r>
            <w:r>
              <w:rPr>
                <w:b w:val="off"/>
                <w:color w:val="000000"/>
                <w:rFonts w:ascii="Times New Roman" w:hAnsi="Times New Roman" w:cs="Times New Roman" w:eastAsia="Times New Roman"/>
                <w:sz w:val="24"/>
              </w:rPr>
              <w:t>•	Zvážiť úplné nahradenie § 13b (hard law) odbornou metodikou (soft law), ktorú by vydal príslušný výkonný orgán AI dohľadu, aby sa zabezpečila dynamika a technická adaptabilita.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13b je plošné a nerešpektuje rôznorodosť rizík a kontextov AI systémov. Odporúčame preto, aby sa v dôvodovej správe k zákonu výslovne uviedlo, že regulácia AI vo verejnej správe sa bude realizovať prostredníctvom sektorových usmernení a interoperabilných technických štandardov, nie jedným normatívnym paragrafom, ktorý je ťažko škálovateľný a rýchlo zastaráva.</w:t>
              <w:br/>
            </w:r>
            <w:r>
              <w:rPr>
                <w:b w:val="off"/>
                <w:color w:val="000000"/>
                <w:rFonts w:ascii="Times New Roman" w:hAnsi="Times New Roman" w:cs="Times New Roman" w:eastAsia="Times New Roman"/>
                <w:sz w:val="24"/>
              </w:rPr>
              <w:t>Návrh § 13b úplne opomína viacero základných aspektov modernej regulácie umelej inteligencie vo verejnej správe, ktoré sú súčasťou systémového prístupu podľa AI Act a v medzinárodnej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výnimiek z povinností</w:t>
              <w:br/>
            </w:r>
            <w:r>
              <w:rPr>
                <w:b w:val="off"/>
                <w:color w:val="000000"/>
                <w:rFonts w:ascii="Times New Roman" w:hAnsi="Times New Roman" w:cs="Times New Roman" w:eastAsia="Times New Roman"/>
                <w:sz w:val="24"/>
              </w:rPr>
              <w:t>Návrh § 13b neupravuje, či a akým spôsobom sa jeho ustanovenia uplatňujú v oblastiach verejnej správy, ktoré podliehajú osobitným bezpečnostným režimom, ako sú obrana, vnútorná bezpečnosť, kybernetická ochrana alebo činnosť spravodajských služieb. Tieto oblasti sú pritom výslovne vylúčené z pôsobnosti AI Actu podľa článku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posledného odseku § 13 b: (pozn.: bez zohľadnenia legislatívnej techniky odkazov a poznámok pod čiarou)</w:t>
              <w:br/>
            </w:r>
            <w:r>
              <w:rPr>
                <w:b w:val="off"/>
                <w:color w:val="000000"/>
                <w:rFonts w:ascii="Times New Roman" w:hAnsi="Times New Roman" w:cs="Times New Roman" w:eastAsia="Times New Roman"/>
                <w:sz w:val="24"/>
              </w:rPr>
              <w:t>„Ustanovenia odsekov x-y tohto ustanovenia sa nepoužijú na systémy umelej inteligencie, ktoré sú vyvinuté alebo používané výhradne na účely obrany štátu, vnútornej bezpečnosti, spravodajskej činnosti alebo ochrany utajovaných skutočností v súlade s článkom 2 AI Actu.“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Chýbajúci rámec pre experimentovanie (AI sandbox)</w:t>
              <w:br/>
            </w:r>
            <w:r>
              <w:rPr>
                <w:b w:val="off"/>
                <w:color w:val="000000"/>
                <w:rFonts w:ascii="Times New Roman" w:hAnsi="Times New Roman" w:cs="Times New Roman" w:eastAsia="Times New Roman"/>
                <w:sz w:val="24"/>
              </w:rPr>
              <w:t>V návrhu chýba akákoľvek zmienka o možnosti regulovaného testovania systémov AI vo verejnej správe – tzv. AI sandbox –, ktorý je výslovne predpokladaný v čl. 57 a nasl. AI Act. Bez explicitného ukotvenia nie je jasné, či a ako môžu orgány verejnej správy vstupovať do testovacích režimov AI riešení pred ich ostrým nasadením, čo brzdí inovácie a spoluprácu s vývojármi.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(pozn.: bez zohľadnenia legislatívnej techniky odkazov a poznámok pod čiarou)</w:t>
              <w:br/>
            </w:r>
            <w:r>
              <w:rPr>
                <w:b w:val="off"/>
                <w:color w:val="000000"/>
                <w:rFonts w:ascii="Times New Roman" w:hAnsi="Times New Roman" w:cs="Times New Roman" w:eastAsia="Times New Roman"/>
                <w:sz w:val="24"/>
              </w:rPr>
              <w:t>„Orgán riadenia sa môže zúčastniť na vývoji, testovaní a validácii systémov AI formou zapojenia do regulačného experimentálneho prostredia (AI sandbox) v súlade s článkom 57 AI actu. Takáto účasť sa môže realizovať samostatne alebo v spolupráci s príslušnými orgánmi dohľadu, vývojármi, akademickými a výskumnými inštitúciami alebo inými relevantnými aktérmi. Zapojenie verejnej správy do AI sandboxov má za cieľ zabezpečiť bezpečné, zodpovedné a inovatívne nasadzovanie systémov AI vo verejnom sektore, vrátane riadneho posúdenia rizík a ochrany základných práv.“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1.</w:t>
              <w:br/>
            </w:r>
            <w:r>
              <w:rPr>
                <w:b w:val="off"/>
                <w:color w:val="000000"/>
                <w:rFonts w:ascii="Times New Roman" w:hAnsi="Times New Roman" w:cs="Times New Roman" w:eastAsia="Times New Roman"/>
                <w:sz w:val="24"/>
              </w:rPr>
              <w:t>Znenie odseku nedefinuje, na akú kategóriu systémov AI sa dohľad vzťahuje. Uplatnenie tejto požiadavky aj na nízkorizikové systémy ide nad rámec AI Act a vytvára zbytočnú administratívnu a prevádzkovú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(pozn.: bez zohľadnenia legislatívnej techniky odkazov a poznámok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formuláciu upraviť takto:</w:t>
              <w:br/>
            </w:r>
            <w:r>
              <w:rPr>
                <w:b w:val="off"/>
                <w:color w:val="000000"/>
                <w:rFonts w:ascii="Times New Roman" w:hAnsi="Times New Roman" w:cs="Times New Roman" w:eastAsia="Times New Roman"/>
                <w:sz w:val="24"/>
              </w:rPr>
              <w:t>„Ak orgán riadenia používa vo svojej činnosti vysokorizikový systém AI podľa článku 6 alebo systému AI podľa článku 50 nariadenia (EÚ) 2024/1689, je povinný zabezpečiť primeraný ľudský dohľad nad systémom AI spôsobom, ktorý zabezpečuje kontrolu nad výstupmi tohto systému a že konečné rozhodnutia zostávajú pod kontrolou človeka.“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2.</w:t>
              <w:br/>
            </w:r>
            <w:r>
              <w:rPr>
                <w:b w:val="off"/>
                <w:color w:val="000000"/>
                <w:rFonts w:ascii="Times New Roman" w:hAnsi="Times New Roman" w:cs="Times New Roman" w:eastAsia="Times New Roman"/>
                <w:sz w:val="24"/>
              </w:rPr>
              <w:t>Pojem „neprimerané riziko“ nie je definovaný a môže viesť k nejednotnej aplikácii. Navyše, text nekorešponduje s čl. 5 AI Actu, ktorý zakazuje konkrétne neprípustné praktiky, a nezohľadňuje článok 27, ktorý upravuje mitigáciu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(pozn.: bez zohľadnenia legislatívnej techniky odkazov a poznámok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text nahradiť nasledovne:</w:t>
              <w:br/>
            </w:r>
            <w:r>
              <w:rPr>
                <w:b w:val="off"/>
                <w:color w:val="000000"/>
                <w:rFonts w:ascii="Times New Roman" w:hAnsi="Times New Roman" w:cs="Times New Roman" w:eastAsia="Times New Roman"/>
                <w:sz w:val="24"/>
              </w:rPr>
              <w:t>„Orgán riadenia nesmie používať systémy AI spôsobom, ktorý je v rozpore so zákazmi podľa článku 5 nariadenia (EÚ) 2024/1689. Pri systémoch, ktoré môžu predstavovať riziko pre základné práva a slobody osôb, je orgán riadenia povinný vyhodnotiť riziká v súlade s článkom 27 uvedeného nariadenia a prijať opatrenia na ich zmiernenie, iba ak je to vyžadované nariadením (EÚ) 2024/1689.“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3.</w:t>
              <w:br/>
            </w:r>
            <w:r>
              <w:rPr>
                <w:b w:val="off"/>
                <w:color w:val="000000"/>
                <w:rFonts w:ascii="Times New Roman" w:hAnsi="Times New Roman" w:cs="Times New Roman" w:eastAsia="Times New Roman"/>
                <w:sz w:val="24"/>
              </w:rPr>
              <w:t>Znenie je formulované všeobecne a ide nad rámec čl. 50 AI Actu, ktorý sa vzťahuje výlučne na systémy interagujúce s ľuďmi, vrátane chatbotov, deepfakes alebo systémov generujúcich obsah.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(pozn.: bez zohľadnenia legislatívnej techniky odkazov a poznámok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Formuláciu obmedziť nasledovne:</w:t>
              <w:br/>
            </w:r>
            <w:r>
              <w:rPr>
                <w:b w:val="off"/>
                <w:color w:val="000000"/>
                <w:rFonts w:ascii="Times New Roman" w:hAnsi="Times New Roman" w:cs="Times New Roman" w:eastAsia="Times New Roman"/>
                <w:sz w:val="24"/>
              </w:rPr>
              <w:t>„Ak orgán riadenia používa systém AI, ktorý interaguje s fyzickou osobou alebo generuje obsah, je povinný zverejniť zrozumiteľné informácie o účele, funkciách a použití systému v súlade s článkom 50 nariadenia (EÚ) 2024/1689. Ak je takýto systém používaný v komunikácii s koncovým používateľom, tieto informácie musia byť poskytnuté pred začatím komunikácie.“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4.</w:t>
              <w:br/>
            </w:r>
            <w:r>
              <w:rPr>
                <w:b w:val="off"/>
                <w:color w:val="000000"/>
                <w:rFonts w:ascii="Times New Roman" w:hAnsi="Times New Roman" w:cs="Times New Roman" w:eastAsia="Times New Roman"/>
                <w:sz w:val="24"/>
              </w:rPr>
              <w:t>Text duplikuje povinnosti vyplývajúce z nariadenia GDPR bez toho, aby prinášal novú právnu normu resp. informáciu.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(pozn.: bez zohľadnenia legislatívnej techniky odkazov a poznámok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riadenia zabezpečuje bezpečnosť systému AI a ochranu osobných údajov spracúvaných prostredníctvom tohto systému v súlade s nariadením (EÚ) 2016/679 (GDPR), ak ide o systémy AI spracúvajúce osobné údaje.“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5.</w:t>
              <w:br/>
            </w:r>
            <w:r>
              <w:rPr>
                <w:b w:val="off"/>
                <w:color w:val="000000"/>
                <w:rFonts w:ascii="Times New Roman" w:hAnsi="Times New Roman" w:cs="Times New Roman" w:eastAsia="Times New Roman"/>
                <w:sz w:val="24"/>
              </w:rPr>
              <w:t>Nie je jasné, či ide o kontrolu vstupov počas tréningu, či počas používania. Chýba väzba na požiadavky AI Act alebo DSA pri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(bez zohľadnenia legislatívnej techniky odkazov a poznámok pod čiarou)</w:t>
              <w:br/>
            </w:r>
            <w:r>
              <w:rPr>
                <w:b w:val="off"/>
                <w:color w:val="000000"/>
                <w:rFonts w:ascii="Times New Roman" w:hAnsi="Times New Roman" w:cs="Times New Roman" w:eastAsia="Times New Roman"/>
                <w:sz w:val="24"/>
              </w:rPr>
              <w:t>„Orgán riadenia zabezpečí pravidelnú kontrolu výkonnosti a vstupov systémov AI počas ich používania v súlade s povinnosťami nariadenia (EÚ) 2024/1689. V prípade systémov AI, ktoré generujú obsah, orgán postupuje tak, aby predchádzal šíreniu nezákonného obsahu v súlade s nariadením (EÚ) 2022/2065 (DSA).“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ASAI</w:t>
              <w:br/>
            </w:r>
            <w:r>
              <w:rPr>
                <w:b w:val="off"/>
                <w:color w:val="000000"/>
                <w:rFonts w:ascii="Times New Roman" w:hAnsi="Times New Roman" w:cs="Times New Roman" w:eastAsia="Times New Roman"/>
                <w:sz w:val="24"/>
              </w:rPr>
              <w:t>Asociácia AI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13b ods. 6. a 7.</w:t>
              <w:br/>
            </w:r>
            <w:r>
              <w:rPr>
                <w:b w:val="off"/>
                <w:color w:val="000000"/>
                <w:rFonts w:ascii="Times New Roman" w:hAnsi="Times New Roman" w:cs="Times New Roman" w:eastAsia="Times New Roman"/>
                <w:sz w:val="24"/>
              </w:rPr>
              <w:t>Pozitívne hodnotené, odporúčame však doplniť metodické a strategické rámce na podporu implementácie, resp. ich zavedenie – AI reaguje rýchlejšie ako zákon, odporúčame zaviesť „národnú stratégiu“ – ako white paper resp.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(bez zohľadnenia legislatívnej techniky odkazov a poznámok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riadenia zároveň zohľadňuje národnú stratégiu v oblasti umelej inteligencie a metodické usmernenia pre implementáciu systémov AI vo verejnej správe, ak sú dostupné. Spolupráca s akademickými inštitúciami, súkromným sektorom a občianskou spoločnosťou je orientovaná aj na výmenu dobrej praxe, budovanie otvoreného testovacieho prostredia (AI sandbox) a rozvoj kompetencií verejnej správy v oblasti AI.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3, Bod 19</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Využívanie systémov AI zo strany verejnej správy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(i) doplniť čl. I bod 19 návrhu zákona (§ 13b zákona č. 95/2019 Z. z.) o formuláciu, že „orgán riadenia vytvára podmienky na zavádzanie systémov AI do svojich činností s cieľom zvyšovať kvalitu, efektívnosť a dostupnosť služieb poskytovaných verejnou správou“,</w:t>
              <w:br/>
            </w:r>
            <w:r>
              <w:rPr>
                <w:b w:val="off"/>
                <w:color w:val="000000"/>
                <w:rFonts w:ascii="Times New Roman" w:hAnsi="Times New Roman" w:cs="Times New Roman" w:eastAsia="Times New Roman"/>
                <w:sz w:val="24"/>
              </w:rPr>
              <w:t>(ii) a zároveň dávame podnet, aby sa právna regulácia informačných technológií vo verejnej správe do budúcnosti viac zamerala na podporu zavádzania systémov AI, pričom by mala odstraňovať neprimerané prekážky pre poskytovateľov globálnych systémov AI, ako sú napríklad požiadavky na lokalizáciu dát.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Predkladaný legislatívny návrh v § 2 zákona č. 95/2019 Z. z. o informačných technológiách vo verejnej správe navrhuje stanoviť, že informačnou technológiou je aj systém umelej inteligencie („systém AI“), a ďalej doplniť do tohto zákona nové ustanovenie § 13b, ktoré by stanovilo základné zásady používania systémov umelej inteligencie vo verejnej správe. </w:t>
              <w:br/>
            </w:r>
            <w:r>
              <w:rPr>
                <w:b w:val="off"/>
                <w:color w:val="000000"/>
                <w:rFonts w:ascii="Times New Roman" w:hAnsi="Times New Roman" w:cs="Times New Roman" w:eastAsia="Times New Roman"/>
                <w:sz w:val="24"/>
              </w:rPr>
              <w:t xml:space="preserve">S rozvojom technológií sa menia aj spôsoby, akými môžu subjekty verejnej správy – v zmysle zákona č. 95/2019 Z. z. najmä orgán vedenia a orgány riadenia – využívať technológie pri plnení svojich povinností voči občanom. Prax posledných rokov ukazuje, že subjekty verejnej správy musia urýchlene zvyšovať svoju digitálnu a technologickú úroveň, aby dokázali reagovať na očakávania občanov, a to aj napriek častým rozpočtovým obmedzeniam.  Občania dnes očakávajú rýchlejšie a personalizovanejšie služby podobné tým, ktoré poskytuje súkromný sektor. V reakcii na tieto očakávania je nevyhnutné, aby verejná správa bola dostatočne motivovaná využívať najmodernejšie a najefektívnejšie digitálne riešenia, ktoré už nachádzajú uplatnenie v súkromnom sektore. </w:t>
              <w:br/>
            </w:r>
            <w:r>
              <w:rPr>
                <w:b w:val="off"/>
                <w:color w:val="000000"/>
                <w:rFonts w:ascii="Times New Roman" w:hAnsi="Times New Roman" w:cs="Times New Roman" w:eastAsia="Times New Roman"/>
                <w:sz w:val="24"/>
              </w:rPr>
              <w:t>V tejto súvislosti predstavujú systémy AI pre verejnú správu mimoriadne zaujímavý potenciál. Ich efektívne zavedenie môže výrazne znížiť administratívnu záťaž, zvýšiť efektívnosť poskytovaných služieb, podporiť rýchlejšie a kvalitnejšie rozhodovanie úradníkov a zároveň zvýšiť spokojnosť štátnych zamestnancov aj občanov. Na dosiahnutie tohto cieľa je potrebné, aby sa snahy verejnej správy o využívanie systémov AI primerane podporili aj na legislatívnej úrovni.</w:t>
              <w:br/>
            </w:r>
            <w:r>
              <w:rPr>
                <w:b w:val="off"/>
                <w:color w:val="000000"/>
                <w:rFonts w:ascii="Times New Roman" w:hAnsi="Times New Roman" w:cs="Times New Roman" w:eastAsia="Times New Roman"/>
                <w:sz w:val="24"/>
              </w:rPr>
              <w:t>Z tohto pohľadu vnímame navrhované legislatívne zmeny ako pozitívny krok k digitálnej budúcnosti. Osobitne oceňujeme navrhovaný záväzok orgánu riadenia podľa § 13b ods. 6 podporovať „výskum, vývoj a inovácie v oblasti umelej inteligencie s cieľom zlepšovať kvalitu a efektívnosť elektronických služieb poskytovaných s použitím systémov AI“, ako aj záväzok orgánov vedenia a riadenia v § 13b ods. 7 spolupracovať so súkromným sektorom na zabezpečení úspešného rozvoja a implementácie systémov AI vo verejnej správe.</w:t>
              <w:br/>
            </w:r>
            <w:r>
              <w:rPr>
                <w:b w:val="off"/>
                <w:color w:val="000000"/>
                <w:rFonts w:ascii="Times New Roman" w:hAnsi="Times New Roman" w:cs="Times New Roman" w:eastAsia="Times New Roman"/>
                <w:sz w:val="24"/>
              </w:rPr>
              <w:t>Vzhľadom na vysoký potenciál a prínosy, ktoré môže nasadzovanie systémov AI vo verejnej správe priniesť, navrhujeme tieto snahy ešte viac podporiť. Odporúčame doplniť navrhovaný § 13b (čl. I bod 19) napríklad o formuláciu, že „orgán riadenia vytvára podmienky na zavádzanie systémov AI do svojich činností s cieľom zvyšovať kvalitu, efektívnosť a dostupnosť služieb verejnej správy“. Takéto doplnenie by vhodne rozšírilo navrhované zásady o pozitívne formulovaný cieľ rozvoja AI vo verejnej správe.</w:t>
              <w:br/>
            </w:r>
            <w:r>
              <w:rPr>
                <w:b w:val="off"/>
                <w:color w:val="000000"/>
                <w:rFonts w:ascii="Times New Roman" w:hAnsi="Times New Roman" w:cs="Times New Roman" w:eastAsia="Times New Roman"/>
                <w:sz w:val="24"/>
              </w:rPr>
              <w:t xml:space="preserve">Zároveň dávame podnet, aby sa právna regulácia v oblasti informačných technológií verejnej správy v budúcnosti detailnejšie venovala otázkam zavádzania riešení systémov AI naprieč verejným sektorom. Regulácia by mala využívanie systémov AI podporovať a nemala by vytvárať zbytočné prekážky pre ich zavádzanie. Súčasťou týchto úvah by malo byť aj posúdenie, či aktuálna právna úprava nekladie na nasadzovanie systémov AI neprimerané prekážky. </w:t>
              <w:br/>
            </w:r>
            <w:r>
              <w:rPr>
                <w:b w:val="off"/>
                <w:color w:val="000000"/>
                <w:rFonts w:ascii="Times New Roman" w:hAnsi="Times New Roman" w:cs="Times New Roman" w:eastAsia="Times New Roman"/>
                <w:sz w:val="24"/>
              </w:rPr>
              <w:t xml:space="preserve">Príkladom takýchto prekážok sú v súčasnosti platné požiadavky na lokalizáciu dát pri využívaní cloudových technológií (ich ukladanie a spracovanie), ktoré obmedzujú ich umiestnenie len na územie EÚ, EHP alebo krajín s primeranou ochranou osobných údajov podľa osobitného predpisu, v súlade s § 45 vyhlášky Úradu podpredsedu vlády Slovenskej republiky pre investície a informatizáciu č. 78/2020 Z. z. o štandardoch pre informačné technológie verejnej správy. S ohľadom na navrhovanú definíciu systému AI ako informačnej technológie v zmysle zákona č. 95/2019 Z. z. sa tieto lokalizačné požiadavky bez ďalšieho uplatnia aj na všetky systémy AI nasadzované v cloude. </w:t>
              <w:br/>
            </w:r>
            <w:r>
              <w:rPr>
                <w:b w:val="off"/>
                <w:color w:val="000000"/>
                <w:rFonts w:ascii="Times New Roman" w:hAnsi="Times New Roman" w:cs="Times New Roman" w:eastAsia="Times New Roman"/>
                <w:sz w:val="24"/>
              </w:rPr>
              <w:t xml:space="preserve">V praxi platí, že sa dnes najpokročilejšie technológie a inovácie, vrátane systémov AI, vždy najprv nasadzujú v globálnych vysoko inovatívnych cloudových technológiách a až potom v iných typoch technológií. V budúcnosti sa takéto technológie budú nasadzovať v cloude, na ktorom budú závisieť. </w:t>
              <w:br/>
            </w:r>
            <w:r>
              <w:rPr>
                <w:b w:val="off"/>
                <w:color w:val="000000"/>
                <w:rFonts w:ascii="Times New Roman" w:hAnsi="Times New Roman" w:cs="Times New Roman" w:eastAsia="Times New Roman"/>
                <w:sz w:val="24"/>
              </w:rPr>
              <w:t>Podobné požiadavky, ako je lokalizácia dát, môžu verejnej správe znemožniť prístup k najmodernejším globálnym inovatívnym cloudovým technológiám podporujúcim umelú inteligenciu. To by brzdilo rozvoj digitalizácie a elektronickej verejnej správy a znemožňovalo by zvýšenie efektívnosti, ktoré možno dosiahnuť prostredníctvom najnovších technológií.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2 g)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spolu s vypustením návrhu §93a Autorského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 93a Autorského zákona predstavuje neprimeraný zásah do autorských práv a zmluvnej slobody zúčastnených strán. Navrhujeme ponechať zmluvnú voľnosť, aby si strany mohli dohodnúť spôsob uplatňovania autorských práv individuálne, v závislosti od charakteru projektu a rozsahu financovania z verejných zdrojov, s účelom zachovať motiváciu dodávateľov pre vývoj univerzálnych riešení a zabrániť strate využiteľného know-how.</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Novelizácia Autorského zákona, ako aj predmetné ustanovenie, ktoré odkazuje na § 93a Autorského zákona, boli z návrhu zákona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bod 4 § 15 ods. ods. 2 písm. 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4 § 15 ods. 2 písm. g), ktorý ukladá  pôvodnému dodávateľovi povinnosť poskytovať súčinnosť novému dodávateľovi pri vytváraní nového informačného systému, najmä v oblasti migrácie dát a integrácie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legislatívna úprava dopĺňa do zákona č. 95/2019 Z. z. o informačných technológiách vo verejnej správe ustanovenie § 15 ods. 2, vrátane písm. g), bodov 3 a 4. Tieto ustanovenia ukladajú správcovi povinnosť akceptovať zmluvné podmienky, podľa ktorých: (i) „pri zmene dodávateľa pôvodný dodávateľ poskytne správcovi úplnú súčinnosť pri prechode na nového dodávateľa, najmä v oblasti architektúry a integrácie informačných systémov“ (§ 15 ods. 2 písm. g) bod 3) a (ii) „dodávateľ informačného systému alebo služieb k informačnému systému poskytne inému dodávateľovi pri vytváraní nového informačného systému súčinnosť, ktorá je potrebná na riadne vytvorenie a uvedenie do prevádzky, najmä v oblasti migrácie dát a v oblasti integrácie informačných systémov“ (§ 15 ods. 2 písm. g) bod 4). Obe povinnosti týkajúce sa súčinnosti s dodávateľmi podľa § 15 ods. 2 sa  podľa prvej vety uplatnia na prípady zabezpečenia riadenia projektov v oblasti informačných technológií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tento návrh zavádza neprimerané bremeno pre dodávateľov regulovaných subjektov verejnej správy, čo môže mať nepriaznivé dôsledky na realizáciu projektov verejnej správy, najmä pre nejasnosť aplikačných dopadov.</w:t>
              <w:br/>
            </w:r>
            <w:r>
              <w:rPr>
                <w:b w:val="off"/>
                <w:color w:val="000000"/>
                <w:rFonts w:ascii="Times New Roman" w:hAnsi="Times New Roman" w:cs="Times New Roman" w:eastAsia="Times New Roman"/>
                <w:sz w:val="24"/>
              </w:rPr>
              <w:t>V prvom rade upozorňujeme, že pojem „projekt“ uvedený v   prvej vete § 15 ods. 2 nie je v zákone výslovne definovaný. Podľa pôvodnej dôvodovej správy je tento pojem spájaný predovšetkým s budovaním informačných technológií. Tento výklad však nie je explicitne zakotvený v zákone, čo môže viesť k rôznorodým interpretáciám a potenciálnym sporom o aplikovateľnosť povinností podľa § 15 ods. 2 písm. g). Preto navrhujeme, aby bol pojem „projekt“ výslovne definovaný priamo v zákone a aby sa vyjasnilo, že sa vzťahuje výlučne na prípady budovania nových informačných technológií a výslovne sa nevzťahuje napríklad na obstarávanie  komerčných štandardizovaných cloudových alebo iných informačných riešení. Tým by sa predišlo nejasnostiam a zabezpečila právna istota pre všetky zúčastnené strany.</w:t>
              <w:br/>
            </w:r>
            <w:r>
              <w:rPr>
                <w:b w:val="off"/>
                <w:color w:val="000000"/>
                <w:rFonts w:ascii="Times New Roman" w:hAnsi="Times New Roman" w:cs="Times New Roman" w:eastAsia="Times New Roman"/>
                <w:sz w:val="24"/>
              </w:rPr>
              <w:t xml:space="preserve">Pokiaľ ide o samotnú obsahovú stránku ustanovení, chceli by sme osobitne upozorniť na problematickosť navrhovaného bodu 4 oddielu 15 ods. 2 písm. g), ktorým sa pôvodnému dodávateľovi ukladá povinnosť spolupracovať s novým dodávateľom pri vytváraní nového informačného systému, najmä v oblasti migrácie údajov a integrácie systémov. Domnievame sa, že táto požiadavka nie je v praxi realizovateľná a je problematická z právneho aj technického hľadiska. </w:t>
              <w:br/>
            </w:r>
            <w:r>
              <w:rPr>
                <w:b w:val="off"/>
                <w:color w:val="000000"/>
                <w:rFonts w:ascii="Times New Roman" w:hAnsi="Times New Roman" w:cs="Times New Roman" w:eastAsia="Times New Roman"/>
                <w:sz w:val="24"/>
              </w:rPr>
              <w:t>Pôvodný dodávateľ má zodpovedať výlučne správcovi a nie tretej strane – novému dodávateľovi. Navyše, pôvodný dodávateľ má často legitímny záujem minimalizovať zdieľanie informácií, najmä s ohľadom na ochranu vlastného know-how, čo môže viesť k sporom a narušeniu riadenia projektu. Riziko je dané tiež formuláciou „najmä v oblasti migrácie dát a integrácie systémov“, ktorá dáva možnosť širokého výkladu a dovodenia aj ďalších povinností súčinnosti. Povinnosť súčinnosti v oblasti migrácie a integrácie môže pôvodného dodávateľa vystaviť neprimeraným rizikám zodpovednosti za správnosť a úplnosť integrácie systémov, na ktoré už nemá plnú kontrolu. Tieto povinnosti by mali logicky patriť výlučne do zodpovednosti správcu a nového dodávateľa, ktorý po zmene dodávateľa nesie plnú zodpovednosť za projekt. Zavedenie takejto povinnosti neobmedzenej súčinnosti pre pôvodného dodávateľa by preto mohlo mať nežiaduce účinky na hospodársku súťaž a motiváciu poskytovateľov zúčastňovať sa na verejnom obstarávaní.</w:t>
              <w:br/>
            </w:r>
            <w:r>
              <w:rPr>
                <w:b w:val="off"/>
                <w:color w:val="000000"/>
                <w:rFonts w:ascii="Times New Roman" w:hAnsi="Times New Roman" w:cs="Times New Roman" w:eastAsia="Times New Roman"/>
                <w:sz w:val="24"/>
              </w:rPr>
              <w:t>Aj bod 3 § 15 ods. 2 písm. g), ktorý je doposiaľ zakotvený v § 15 ods. 2 písm. d) platného zákona č. 95/2019 Z. z., predstavuje v súčasnej podobe problematickú povinnosť, pokiaľ nie je pojem „projekt“ presne definovaný. Preto odporúčame jeho presnejšie vymedzenie v súlade s vyššie uvedeným návrhom alebo prípadnú revíziu, ak nebude možné zabezpečiť jednoznačné a jasné vymedzenie pojmu “projekt" na úrovni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 je upravený v § 2 písm. x) Vyhlášky MIRRI SR č. 401/2023 o riadení projektov a zmenových požiadaviek v prevádzke informačných technológií verejnej správy.</w:t>
              <w:br/>
            </w:r>
            <w:r>
              <w:rPr>
                <w:b w:val="off"/>
                <w:color w:val="000000"/>
                <w:rFonts w:ascii="Times New Roman" w:hAnsi="Times New Roman" w:cs="Times New Roman" w:eastAsia="Times New Roman"/>
                <w:sz w:val="24"/>
              </w:rPr>
              <w:t>Pre úplnosť uvádzame, že pri definícii projektu nešlo len o to, aby sa obsiahli komplexné a unikátne systémy. Išlo aj o kontrolu hospodárnosti, preto sa upravovala hranica pre veľký projekt, napríklad. Z tohto pohľadu je irelevantné, či ide o štandardizované riešenie alebo nie.</w:t>
              <w:br/>
            </w:r>
            <w:r>
              <w:rPr>
                <w:b w:val="off"/>
                <w:color w:val="000000"/>
                <w:rFonts w:ascii="Times New Roman" w:hAnsi="Times New Roman" w:cs="Times New Roman" w:eastAsia="Times New Roman"/>
                <w:sz w:val="24"/>
              </w:rPr>
              <w:t>Navyše, § 15 ods. 2 písm. g) štvrtý bod neukladá povinnosť dodávateľovi. Ukladá ju správcovi. Dodávateľ sa môže rozhodnúť, či takúto zmluvnú povinnosť od správcu akceptuje, alebo nie. Dodávateľ má na výber, správca nie.</w:t>
              <w:br/>
            </w:r>
            <w:r>
              <w:rPr>
                <w:b w:val="off"/>
                <w:color w:val="000000"/>
                <w:rFonts w:ascii="Times New Roman" w:hAnsi="Times New Roman" w:cs="Times New Roman" w:eastAsia="Times New Roman"/>
                <w:sz w:val="24"/>
              </w:rPr>
              <w:t>Povinnosť pôvodného dodávateľa poskytovať súčinnosť novému dodávateľovi pri prechode alebo zmene informačného systému je bežne uznávanou a štandardnou zmluvnou klauzulou v oblasti IT služieb a obstarávania. Tento záväzok má praktický význam najmä z hľadiska zabezpečenia kontinuity prevádzky, minimalizácie rizík spojených s migráciou dát a systémovou integráciou, a tiež zefektívnenia prechodu medzi dodávateľmi. Uvedené výrazne prispieva k ochrane záujmov správcu systému.</w:t>
              <w:br/>
            </w:r>
            <w:r>
              <w:rPr>
                <w:b w:val="off"/>
                <w:color w:val="000000"/>
                <w:rFonts w:ascii="Times New Roman" w:hAnsi="Times New Roman" w:cs="Times New Roman" w:eastAsia="Times New Roman"/>
                <w:sz w:val="24"/>
              </w:rPr>
              <w:t>Takáto povinnosť nepredstavuje neprimeranú záťaž pre pôvodného dodávateľa, pretože je štandardne zahrnutá už v zmluvných vzťahoch a vyplýva z bežných pravidiel zmluvnej praxe v IT sektore. Navyše, zabezpečuje férové a transparentné prostredie v rámci súťaže, pretože eliminuje možné technické alebo organizačné prekážky, ktoré by mohli inak novému dodávateľovi sťažiť prevzatie a rozvoj systému.</w:t>
              <w:br/>
            </w:r>
            <w:r>
              <w:rPr>
                <w:b w:val="off"/>
                <w:color w:val="000000"/>
                <w:rFonts w:ascii="Times New Roman" w:hAnsi="Times New Roman" w:cs="Times New Roman" w:eastAsia="Times New Roman"/>
                <w:sz w:val="24"/>
              </w:rPr>
              <w:t>Z tohto dôvodu je nevyhnutné, aby zákon túto povinnosť jasne zakotvil, čím sa predíde možným sporom a nejednoznačnosti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ods. 3 e) f)</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nelogické túto povinnosť ukladať správcovi, ktorý je typicky v úlohe dodávateľa, ktorý nie je v kontakte s verejnosťou a verejnosť ani nemusí mať znalosť, kto je správcom. Správca uvedené kontakty poskytne orgánu riadenia v rámci zmluvných vzťahov, resp. nahlási ich v zmysle zákona o kybernetickej bezpečnosti, čo plne postačuje.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Povinnosti podľa § 23 ods. 3 sú vždy ukladané správcovi ako orgánu riadenia, nie dodávateľovi.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 ods.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Orgán vedenia pred rozhodnutím o uložení pokuty vyzve správcu, aby upustil od protiprávneho konania, a odstránil zistené nedostatky. Ak správca upustí od protiprávneho konania a vykoná opatrenia oznámené vo výzve v určenej lehote, úrad pokutu neuloží. Pred uložením pokuty je orgán vedenia povinný preukázať zavinenie alebo podiel na porušení povinnosti zo strany správcu.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zohľadnenie reálnej zodpovednosti dodávateľa. a tzv. druhej šance v prípade porušenia takých povinností, pri ktorých nie je nevyhnutné okamžité ukladanie finančnej sankcie, ale väčší zmysel má práve splnenie porušenej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Administratívnoprávna zodpovednosť za správny delikt podľa ustanovení zákona o ITVS je konštruovaná na objektívnom princípe zodpovednosti. To znamená, že pri splnení zákonom stanovenej skutkovej podstaty správneho deliktu MIRRI SR ako správny orgán nepreskúmava subjektívnu stránku porušenia (ako je úmysel alebo nedbanlivosť), ale posudzuje výlučne rozpor medzi právnym stavom a stavom skutočným na základe predložených dôkazov a podkladov.</w:t>
              <w:br/>
            </w:r>
            <w:r>
              <w:rPr>
                <w:b w:val="off"/>
                <w:color w:val="000000"/>
                <w:rFonts w:ascii="Times New Roman" w:hAnsi="Times New Roman" w:cs="Times New Roman" w:eastAsia="Times New Roman"/>
                <w:sz w:val="24"/>
              </w:rPr>
              <w:t>Zákon o ITVS neupravuje žiadne liberácie ani dôvody, ktoré by predpokladali oslobodenie správcu od zodpovednosti za správny delikt v rámci správneho konania. Zavinenie správcu nie je podmienkou pre vznik zodpovednosti, pričom subjektívny prístup k zavineniu sa uplatňuje iba pri určovaní druhu a výšky sankcie.</w:t>
              <w:br/>
            </w:r>
            <w:r>
              <w:rPr>
                <w:b w:val="off"/>
                <w:color w:val="000000"/>
                <w:rFonts w:ascii="Times New Roman" w:hAnsi="Times New Roman" w:cs="Times New Roman" w:eastAsia="Times New Roman"/>
                <w:sz w:val="24"/>
              </w:rPr>
              <w:t xml:space="preserve">Konanie o správnych deliktoch je sankčné, pretože jeho cieľom je postih porušenia práva a ochrana verejného poriadku prostredníctvom sankcie. Správne konanie nie je prostriedkom výlučne na dosiahnutie nápravy alebo odstránenie nedostatkov, ale má aj ďalšie funkcie. </w:t>
              <w:br/>
            </w:r>
            <w:r>
              <w:rPr>
                <w:b w:val="off"/>
                <w:color w:val="000000"/>
                <w:rFonts w:ascii="Times New Roman" w:hAnsi="Times New Roman" w:cs="Times New Roman" w:eastAsia="Times New Roman"/>
                <w:sz w:val="24"/>
              </w:rPr>
              <w:t>MIRRI SR sa v sankčnom konaní zaoberá všetkými hľadiskami. Rovnako už súčasná právna úprava s prihliadnutím na okolnosti uvedené v § 29 ods. 3 (po novele § 29 ods. 4) zákona o ITVS umožňuje upustiť od uloženia pokuty.</w:t>
              <w:br/>
            </w:r>
            <w:r>
              <w:rPr>
                <w:b w:val="off"/>
                <w:color w:val="000000"/>
                <w:rFonts w:ascii="Times New Roman" w:hAnsi="Times New Roman" w:cs="Times New Roman" w:eastAsia="Times New Roman"/>
                <w:sz w:val="24"/>
              </w:rPr>
              <w:t>Pre úplnosť uvádzame, že konanie o uložení pokuty teda nie je kontrolným konaním podľa § 9 ods. 1 písm. t)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č. 185/2015 Z. z. Autorský zákon § 93a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 93a predstavuje neprimeraný zásah do autorských práv a zmluvnej slobody zúčastnených strán. Navrhujeme ponechať zmluvnú voľnosť, aby si strany mohli dohodnúť spôsob uplatňovania autorských práv individuálne, v závislosti od charakteru projektu a rozsahu financovania z verejných zdrojov, s úččelom zachovať motiváciu dodávateľov pre vývoj univerzálnych riešení a zabrániť strate využiteľného know-how.</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Novelizácia Autorského zákona bola z návrhu zákona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21, 28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21, 28	Navrhujeme výslovne definovať pojem „projekt “ v zákone č. 95/2019 Z. z. v súlade so zámerom pôvodnej dôvodovej správy, najmä tak, aby bolo zrejmé, že tento pojem zahŕňa len prípady budovania informačných technológií na mieru, a nevzťahuje sa napríklad na obstarávanie štandardizovaných cloudových alebo iných informačných riešení;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„projekt“ uvedený v   prvej vete § 15 ods. 2 nie je v zákone výslovne definovaný. Podľa pôvodnej dôvodovej správy je tento pojem spájaný predovšetkým s budovaním informačných technológií. Tento výklad však nie je explicitne zakotvený v zákone, čo môže viesť k rôznorodým interpretáciám a potenciálnym sporom o aplikovateľnosť povinností podľa § 15 ods. 2 písm. g). Preto navrhujeme, aby bol pojem „projekt“ výslovne definovaný priamo v zákone a aby sa vyjasnilo, že sa vzťahuje výlučne na prípady budovania nových informačných technológií a výslovne sa nevzťahuje napríklad na obstarávanie  komerčných štandardizovaných cloudových alebo iných informačných riešení. Tým by sa predišlo nejasnostiam a zabezpečila právna istota pre všetky zúčastnené strany.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 je upravený v § 2 písm. x) Vyhlášky MIRRI SR č. 401/2023 o riadení projektov a zmenových požiadaviek v prevádzke informačných technológií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uvádzame, že pri definícii projektu nešlo len o to, aby sa obsiahli komplexné a unikátne systémy. Išlo aj o kontrolu hospodárnosti, preto sa upravovala hranica pre veľký projekt, napríklad. Z tohto pohľadu je irelevantné, či ide o štandardizované riešenie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Navrhujeme, aby zdravotné poisťovne boli vypustené ako subjekt z taxatívneho výpočtu orgánov riadenia, t. j. vypustené z ustanovenia § 5 ods. 2 písm. d) zákona o ITVS.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zákon o ITVS sa nevzťahoval na zdravotné poisťovne. Právnické osoby verejnej správy sú definované v ust. § 3 Zákona o rozpočtových pravidlách verejnej správy, podľa ktorého ide o právnické osoby zapísané v registri organizácií vedenom Štatistickým úradom a zaradené v sektore verejnej správy v súlade s jednotnou metodikou platnou pre Európsku úniu, teda v súlade s nariadením Európskeho parlamentu a Rady (ES) č. 549/2013 21. mája 2013 o európskom systéme národných a regionálnych účtov v Európskej únii. Dôvera ako súkromná zdravotná poisťovňa je však Štatistickým úradom zaradená v inštitucionálnom sektore Finančné pomocné inštitúcie pod zahraničnou kontrolou. [Len pre úplnosť dodávame, že spoločnosť DÔVERA zdravotná poisťovňa, a. s. (ďalej len „DÔVERA“)  je zaradená mimo sektor verejnej správy na základe záväzného stanoviska - „Final findings“ - Európskeho štatistického úradu zo dňa 22.10.2008]. Z uvedeného dôvodu DÔVERA ako súkromná právnická osoba nie je právnickou osobou verejnej správy. Povinnosti vo vzťahu k súkromných zdravotným poisťovniam vyplývajúce zo zákona o informačných technológiách vo verejnej správe považujeme za neprimeraný zásah do ich práv ako súkromných právnických osôb. V rámci zákona o informačných technológiách vo verejnej správe nie je zohľadnené osobitné postavenie súkromných zdravotných poisťovní. Ďalej poukazujeme na to, že zákon o zdravotných poisťovniach vychádza z toho, že zdravotné poisťovne sú založené ako podnikateľské subjekty (akciové spoločnosti) a samostatne vykonávajú sústavnú činnosť, vo vlastnom mene, na vlastnú zodpovednosť a za účelom dosiahnutia zisku. Podnikanie je upravené primárne v zákone č. 513/1991 Zb., Obchodný zákonník, ktorý obsahuje výpočet osôb, ktoré je potrebné považovať za podnikateľov a v zákone č. 455/1991 Zb. o živnostenskom podnikaní, ktorý podnikanie vymedzuje ako sústavnú činnosť vykonávanú samostatne, vo vlastnom mene, na vlastnú zodpovednosť, za účelom dosiahnutia zisku. Plnenie väčšiny povinnosti, vyplývajúcich zo zákona o ITVS pre zdravotnú poisťovňu ako orgán riadenia, neprimerane zasahuje do realizácie jej práva podnikať.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ide nad rámec návrhu zákona. </w:t>
              <w:br/>
            </w:r>
            <w:r>
              <w:rPr>
                <w:b w:val="off"/>
                <w:color w:val="000000"/>
                <w:rFonts w:ascii="Times New Roman" w:hAnsi="Times New Roman" w:cs="Times New Roman" w:eastAsia="Times New Roman"/>
                <w:sz w:val="24"/>
              </w:rPr>
              <w:t xml:space="preserve">Oproti aktuálne účinnej úprave sa návrhom zákona pripomienkujúcemu subjektu nezakladajú nové povinnosti. </w:t>
              <w:br/>
            </w:r>
            <w:r>
              <w:rPr>
                <w:b w:val="off"/>
                <w:color w:val="000000"/>
                <w:rFonts w:ascii="Times New Roman" w:hAnsi="Times New Roman" w:cs="Times New Roman" w:eastAsia="Times New Roman"/>
                <w:sz w:val="24"/>
              </w:rPr>
              <w:t xml:space="preserve">Pripomienkujúci subjekt upriamil pozornosť na to, že v postavení orgánu verejnej správy je len vo veľmi limitovaných oblastiach a navrhuje, aby sa povinnosti podľa zákona č. 95/2019 Z. z. o informačných technológiách vo verejnej správe a o zmene a doplnení niektorých zákonov v znení neskorších predpisov na zdravotné poisťovne vzťahovali, len keď vykonávajú pôsobnosť orgánu verejnej správy. </w:t>
              <w:br/>
            </w:r>
            <w:r>
              <w:rPr>
                <w:b w:val="off"/>
                <w:color w:val="000000"/>
                <w:rFonts w:ascii="Times New Roman" w:hAnsi="Times New Roman" w:cs="Times New Roman" w:eastAsia="Times New Roman"/>
                <w:sz w:val="24"/>
              </w:rPr>
              <w:t>Samotné zákonné definície informačnej technológie verejnej správy a informačného systému verejnej správy sú naviazané na účel, ktorému slúžia – podpora služby verejnej správy, služby vo verejnom záujme alebo verejnej služby, a teda aj na to naviazané povinnosti sú takto limitované.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8 ods. 3 až 5</w:t>
              <w:br/>
            </w:r>
            <w:r>
              <w:rPr>
                <w:b w:val="off"/>
                <w:color w:val="000000"/>
                <w:rFonts w:ascii="Times New Roman" w:hAnsi="Times New Roman" w:cs="Times New Roman" w:eastAsia="Times New Roman"/>
                <w:sz w:val="24"/>
              </w:rPr>
              <w:t>V novelizačnom § 8 ods. navrhujeme doplniť nový odsek 6 s nasledovným znením:</w:t>
              <w:br/>
            </w:r>
            <w:r>
              <w:rPr>
                <w:b w:val="off"/>
                <w:color w:val="000000"/>
                <w:rFonts w:ascii="Times New Roman" w:hAnsi="Times New Roman" w:cs="Times New Roman" w:eastAsia="Times New Roman"/>
                <w:sz w:val="24"/>
              </w:rPr>
              <w:t>„Povinnosti podľa odsekov 3 až 5 sa nevzťahujú na orgán riadenia, ktorým je zdravotná poisťovňa.“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predkladateľom navrhovanej úpravy, budú zdravotné poisťovne povinné s MIRRI zdieľať na posúdenie jej rozvojové aktivity o implementovaných technológiách. Uvedené bude znamenať riziko úniku detailných funkčných informácií o nových službách zdravotnej poisťovne ako aj IT zabezpečení. Okrem toho predkladateľom navrhovaná úprava bude znamenať aj pozdržanie nasadenia zmien a nových služieb pre prevádzku zdravotnej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Podotýkame, že zdravotné poisťovne sú založené ako podnikateľské subjekty (akciové spoločnosti), ktoré pôsobia v konkurenčnom prostredí. Nové predkladacie povinnosti budú neprimerane zasahovať do realizácie práva zdravotných poisťovní podnikať a predstavovať riziko úniku informácií o nových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Zavádzanie oznamovacích povinností v tomto rozsahu považujeme za neprimerané a duplicitné (pre-regulované), ak uvážime, že zdravotné poisťovne sú prevádzkovateľ podľa zákona o kybernetickej bezpečnosti a podľa tohto zákona podliehajú povinnému auditu, ktorý všetky dané skutočnosti overuje.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ide nad rámec návrhu zákona. </w:t>
              <w:br/>
            </w:r>
            <w:r>
              <w:rPr>
                <w:b w:val="off"/>
                <w:color w:val="000000"/>
                <w:rFonts w:ascii="Times New Roman" w:hAnsi="Times New Roman" w:cs="Times New Roman" w:eastAsia="Times New Roman"/>
                <w:sz w:val="24"/>
              </w:rPr>
              <w:t xml:space="preserve">Oproti aktuálne účinnej úprave sa návrhom zákona pripomienkujúcemu subjektu nezakladajú nové povinnosti. </w:t>
              <w:br/>
            </w:r>
            <w:r>
              <w:rPr>
                <w:b w:val="off"/>
                <w:color w:val="000000"/>
                <w:rFonts w:ascii="Times New Roman" w:hAnsi="Times New Roman" w:cs="Times New Roman" w:eastAsia="Times New Roman"/>
                <w:sz w:val="24"/>
              </w:rPr>
              <w:t xml:space="preserve">Pripomienkujúci subjekt upriamil pozornosť na to, že v postavení orgánu verejnej správy je len vo veľmi limitovaných oblastiach a navrhuje, aby sa povinnosti podľa zákona č. 95/2019 Z. z. o informačných technológiách vo verejnej správe a o zmene a doplnení niektorých zákonov v znení neskorších predpisov na zdravotné poisťovne vzťahovali, len keď vykonávajú pôsobnosť orgánu verejnej správy. </w:t>
              <w:br/>
            </w:r>
            <w:r>
              <w:rPr>
                <w:b w:val="off"/>
                <w:color w:val="000000"/>
                <w:rFonts w:ascii="Times New Roman" w:hAnsi="Times New Roman" w:cs="Times New Roman" w:eastAsia="Times New Roman"/>
                <w:sz w:val="24"/>
              </w:rPr>
              <w:t>Samotné zákonné definície informačnej technológie verejnej správy a informačného systému verejnej správy sú naviazané na účel, ktorému slúžia – podpora služby verejnej správy, služby vo verejnom záujme alebo verejnej služby, a teda aj na to naviazané povinnosti sú takto limitované.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 13a ods. 11 navrhujeme nasledujúce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Na zdravotnú poisťovňu sa nevzťahuje povinnosť podľa odseku 7 a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totožné ako uvádzame k ostatným pripomienkam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ide nad rámec návrhu zákona. </w:t>
              <w:br/>
            </w:r>
            <w:r>
              <w:rPr>
                <w:b w:val="off"/>
                <w:color w:val="000000"/>
                <w:rFonts w:ascii="Times New Roman" w:hAnsi="Times New Roman" w:cs="Times New Roman" w:eastAsia="Times New Roman"/>
                <w:sz w:val="24"/>
              </w:rPr>
              <w:t xml:space="preserve">Oproti aktuálne účinnej úprave sa návrhom zákona pripomienkujúcemu subjektu nezakladajú nové povinnosti. </w:t>
              <w:br/>
            </w:r>
            <w:r>
              <w:rPr>
                <w:b w:val="off"/>
                <w:color w:val="000000"/>
                <w:rFonts w:ascii="Times New Roman" w:hAnsi="Times New Roman" w:cs="Times New Roman" w:eastAsia="Times New Roman"/>
                <w:sz w:val="24"/>
              </w:rPr>
              <w:t xml:space="preserve">Pripomienkujúci subjekt upriamil pozornosť na to, že v postavení orgánu verejnej správy je len vo veľmi limitovaných oblastiach a navrhuje, aby sa povinnosti podľa zákona č. 95/2019 Z. z. o informačných technológiách vo verejnej správe a o zmene a doplnení niektorých zákonov v znení neskorších predpisov na zdravotné poisťovne vzťahovali, len keď vykonávajú pôsobnosť orgánu verejnej správy. </w:t>
              <w:br/>
            </w:r>
            <w:r>
              <w:rPr>
                <w:b w:val="off"/>
                <w:color w:val="000000"/>
                <w:rFonts w:ascii="Times New Roman" w:hAnsi="Times New Roman" w:cs="Times New Roman" w:eastAsia="Times New Roman"/>
                <w:sz w:val="24"/>
              </w:rPr>
              <w:t>Samotné zákonné definície informačnej technológie verejnej správy a informačného systému verejnej správy sú naviazané na účel, ktorému slúžia – podpora služby verejnej správy, služby vo verejnom záujme alebo verejnej služby, a teda aj na to naviazané povinnosti sú takto limitované.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 § 15 ods. 8</w:t>
              <w:br/>
            </w:r>
            <w:r>
              <w:rPr>
                <w:b w:val="off"/>
                <w:color w:val="000000"/>
                <w:rFonts w:ascii="Times New Roman" w:hAnsi="Times New Roman" w:cs="Times New Roman" w:eastAsia="Times New Roman"/>
                <w:sz w:val="24"/>
              </w:rPr>
              <w:t>Navrhujeme doplniť do novelizovaného znenia predmetného odseku na koniec nasledovnú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zdravotnú poisťovňu sa povinnosť podľa tohto odseku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ide nad rámec návrhu zákona. </w:t>
              <w:br/>
            </w:r>
            <w:r>
              <w:rPr>
                <w:b w:val="off"/>
                <w:color w:val="000000"/>
                <w:rFonts w:ascii="Times New Roman" w:hAnsi="Times New Roman" w:cs="Times New Roman" w:eastAsia="Times New Roman"/>
                <w:sz w:val="24"/>
              </w:rPr>
              <w:t xml:space="preserve">Oproti aktuálne účinnej úprave sa návrhom zákona pripomienkujúcemu subjektu nezakladajú nové povinnosti. </w:t>
              <w:br/>
            </w:r>
            <w:r>
              <w:rPr>
                <w:b w:val="off"/>
                <w:color w:val="000000"/>
                <w:rFonts w:ascii="Times New Roman" w:hAnsi="Times New Roman" w:cs="Times New Roman" w:eastAsia="Times New Roman"/>
                <w:sz w:val="24"/>
              </w:rPr>
              <w:t xml:space="preserve">Pripomienkujúci subjekt upriamil pozornosť na to, že v postavení orgánu verejnej správy je len vo veľmi limitovaných oblastiach a navrhuje, aby sa povinnosti podľa zákona č. 95/2019 Z. z. o informačných technológiách vo verejnej správe a o zmene a doplnení niektorých zákonov v znení neskorších predpisov na zdravotné poisťovne vzťahovali, len keď vykonávajú pôsobnosť orgánu verejnej správy. </w:t>
              <w:br/>
            </w:r>
            <w:r>
              <w:rPr>
                <w:b w:val="off"/>
                <w:color w:val="000000"/>
                <w:rFonts w:ascii="Times New Roman" w:hAnsi="Times New Roman" w:cs="Times New Roman" w:eastAsia="Times New Roman"/>
                <w:sz w:val="24"/>
              </w:rPr>
              <w:t>Samotné zákonné definície informačnej technológie verejnej správy a informačného systému verejnej správy sú naviazané na účel, ktorému slúžia – podpora služby verejnej správy, služby vo verejnom záujme alebo verejnej služby, a teda aj na to naviazané povinnosti sú takto limitované.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bod 35 návrhu zákona (§23 odseky 3 a 4) a k návrhu vyhlášky</w:t>
              <w:br/>
            </w:r>
            <w:r>
              <w:rPr>
                <w:b w:val="off"/>
                <w:color w:val="000000"/>
                <w:rFonts w:ascii="Times New Roman" w:hAnsi="Times New Roman" w:cs="Times New Roman" w:eastAsia="Times New Roman"/>
                <w:sz w:val="24"/>
              </w:rPr>
              <w:t>Navrhujeme upraviť novelizačný § 23 ods. 4 nasledovne:</w:t>
              <w:br/>
            </w:r>
            <w:r>
              <w:rPr>
                <w:b w:val="off"/>
                <w:color w:val="000000"/>
                <w:rFonts w:ascii="Times New Roman" w:hAnsi="Times New Roman" w:cs="Times New Roman" w:eastAsia="Times New Roman"/>
                <w:sz w:val="24"/>
              </w:rPr>
              <w:t>„Povinnosti podľa odseku 3 sa nevzťahujú na správcu, ktorý je orgánom riadenia podľa § 5 ods. 2 písm. f) a g) a zdravotnú poisťovňu.“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zdravotné poisťovne boli zaradené medzi subjekty, na ktoré sa povinností podľa novelizačného § 23 ods. 3, nevzťahujú.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kybernetickej bezpečnosti považujeme za dostatočné, že zdravotné poisťovne zdieľajú Národnému bezpečnostnému úradu (ďalej len „NBÚ“) údaje o svojich základných službách v súlade so zákonom č. 69/2018 Z. z. o kybernetickej bezpečnosti a v zmysle tohto zákona postupujú detailný audit kybernetickej bezpečnosti. Nie je žiaduce súčasne zdieľať citlivé informácie s ďalším štátnym orgánom. Považujeme za zbytočné a nedôvodné nahlasovať každý kybernetický bezpečnostný incident aj vládnej jednotke CSIRT, nakoľko túto povinnosť si zdravotné poisťovne plnia už voči NBÚ.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rozsah predkladaných údajov o IT prevádzke zdravotnej poisťovne v zmysle novej prílohy č. 4 návrhu vyhlášky MIRRI č. ...../2025, ktorou sa dopĺňa vyhláška Úradu podpredsedu vlády Slovenskej republiky pre investície a informatizáciu č. 179/2020 Z. z., ktorou sa ustanovuje spôsob kategorizácie a obsah bezpečnostných opatrení informačných technológií verejnej správy, bude pre zdravotné poisťovne predstavovať riziko prípadného úniku týchto údajov, ktoré predstavujú citlivé informácie z prevádzky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ide nad rámec návrhu zákona. </w:t>
              <w:br/>
            </w:r>
            <w:r>
              <w:rPr>
                <w:b w:val="off"/>
                <w:color w:val="000000"/>
                <w:rFonts w:ascii="Times New Roman" w:hAnsi="Times New Roman" w:cs="Times New Roman" w:eastAsia="Times New Roman"/>
                <w:sz w:val="24"/>
              </w:rPr>
              <w:t xml:space="preserve">Oproti aktuálne účinnej úprave sa návrhom zákona pripomienkujúcemu subjektu nezakladajú nové povinnosti. </w:t>
              <w:br/>
            </w:r>
            <w:r>
              <w:rPr>
                <w:b w:val="off"/>
                <w:color w:val="000000"/>
                <w:rFonts w:ascii="Times New Roman" w:hAnsi="Times New Roman" w:cs="Times New Roman" w:eastAsia="Times New Roman"/>
                <w:sz w:val="24"/>
              </w:rPr>
              <w:t xml:space="preserve">Pripomienkujúci subjekt upriamil pozornosť na to, že v postavení orgánu verejnej správy je len vo veľmi limitovaných oblastiach a navrhuje, aby sa povinnosti podľa zákona č. 95/2019 Z. z. o informačných technológiách vo verejnej správe a o zmene a doplnení niektorých zákonov v znení neskorších predpisov na zdravotné poisťovne vzťahovali, len keď vykonávajú pôsobnosť orgánu verejnej správy. </w:t>
              <w:br/>
            </w:r>
            <w:r>
              <w:rPr>
                <w:b w:val="off"/>
                <w:color w:val="000000"/>
                <w:rFonts w:ascii="Times New Roman" w:hAnsi="Times New Roman" w:cs="Times New Roman" w:eastAsia="Times New Roman"/>
                <w:sz w:val="24"/>
              </w:rPr>
              <w:t>Samotné zákonné definície informačnej technológie verejnej správy a informačného systému verejnej správy sú naviazané na účel, ktorému slúžia – podpora služby verejnej správy, služby vo verejnom záujme alebo verejnej služby, a teda aj na to naviazané povinnosti sú takto limitované.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Článok I. bod 3 návrhu zákona navrhujeme zmeniť nasledovne:</w:t>
              <w:br/>
            </w:r>
            <w:r>
              <w:rPr>
                <w:b w:val="off"/>
                <w:color w:val="000000"/>
                <w:rFonts w:ascii="Times New Roman" w:hAnsi="Times New Roman" w:cs="Times New Roman" w:eastAsia="Times New Roman"/>
                <w:sz w:val="24"/>
              </w:rPr>
              <w:t>V § 2 ods. 1 sa za slová „informačný systém“ vkladá čiarka a slová „vysokorizikový systém AI4b“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4b znie:</w:t>
              <w:br/>
            </w:r>
            <w:r>
              <w:rPr>
                <w:b w:val="off"/>
                <w:color w:val="000000"/>
                <w:rFonts w:ascii="Times New Roman" w:hAnsi="Times New Roman" w:cs="Times New Roman" w:eastAsia="Times New Roman"/>
                <w:sz w:val="24"/>
              </w:rPr>
              <w:t>„4b) Čl. 6 ods. 1 až 8 a príloha č. III nariadenia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(Ú. v. EÚ L 2024/1689, 12.7.2024).“.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Samotné Nariadenie (Akt o AI) predpokladá prísnejšiu reguláciu pre vysokorizikové systémy AI. Definícia systému AI podľa čl. 3, ods. 1 Aktu o AI je široká, pričom do jej rozsahu tak spadajú aj pomerne jednoduché, výhradne vnútropodnikové systémy nasadené v rámci vnútropodnikových prevádzkových a obchodných procesov bez dopadov na dotknuté osoby alebo koncových používateľov.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novelizačnom § 3 písmene c) v bode 3. navrhujeme na konci vložiť bodkočiarku a slová: „ak je informačnou technológiou systém AI, obsahuje metainformačný systém verejnej správy informácie týkajúce sa vysokorizikového systému AI4b“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4b znie:</w:t>
              <w:br/>
            </w:r>
            <w:r>
              <w:rPr>
                <w:b w:val="off"/>
                <w:color w:val="000000"/>
                <w:rFonts w:ascii="Times New Roman" w:hAnsi="Times New Roman" w:cs="Times New Roman" w:eastAsia="Times New Roman"/>
                <w:sz w:val="24"/>
              </w:rPr>
              <w:t>„4b) Čl. 6 ods. 1 až 8 a príloha č. III nariadenia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(Ú. v. EÚ L 2024/1689, 12.7.2024).“.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Samotné Nariadenie (Akt o AI) predpokladá prísnejšiu reguláciu pre vysokorizikové systémy AI, vrátane povinnosti registrácie systémov do príslušných registrov na úrovni EÚ. Definícia systému AI podľa čl. 3, ods. 1 Aktu o AI je široká, pričom do jej rozsahu tak spadajú aj pomerne jednoduché, výhradne vnútropodnikové systémy nasadené v rámci vnútropodnikových prevádzkových a obchodných procesov bez dopadov na dotknuté osoby alebo koncových používateľov.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novelizačnom § 8 odsek 4 navrhujeme pri slovách „s orgánom“ vložiť odkaz na poznámku pod čiarou, v ktorej bude zadefinovaný právny predpis, v ktorom je uvedený orgán, ktorému bola daná uvedená právomoc v oblasti týkajúcich sa systémov AI.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Právna istota pri plnení povinností daných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V novelizačnom § 13b odseku 1 a 3 až 5 sa slová „systém AI“  vo všetkých tvaroch nahrádza slovom  „vysokorizikový systém AI4b“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4b znie:</w:t>
              <w:br/>
            </w:r>
            <w:r>
              <w:rPr>
                <w:b w:val="off"/>
                <w:color w:val="000000"/>
                <w:rFonts w:ascii="Times New Roman" w:hAnsi="Times New Roman" w:cs="Times New Roman" w:eastAsia="Times New Roman"/>
                <w:sz w:val="24"/>
              </w:rPr>
              <w:t>„4b) Čl. 6 ods. 1 až 8 a príloha č. III nariadenia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(Ú. v. EÚ L 2024/1689, 12.7.2024).“.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Samotné Nariadenie (Akt o AI) predpokladá prísnejšiu reguláciu pre vysokorizikové systémy AI. Definícia systému AI podľa čl. 3, ods. 1 Aktu o AI je široká, pričom do jej rozsahu tak spadajú aj pomerne jednoduché, výhradne vnútropodnikové systémy nasadené v rámci vnútropodnikových prevádzkových a obchodných procesov bez dopadov na dotknuté osoby alebo koncových používateľov.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13b ods. 3</w:t>
              <w:br/>
            </w:r>
            <w:r>
              <w:rPr>
                <w:b w:val="off"/>
                <w:color w:val="000000"/>
                <w:rFonts w:ascii="Times New Roman" w:hAnsi="Times New Roman" w:cs="Times New Roman" w:eastAsia="Times New Roman"/>
                <w:sz w:val="24"/>
              </w:rPr>
              <w:t>V novelizačnom § 13b odseku 3 navrhujeme slová „účele, funkciách a použití“ nahradiť slovami „o použití a účele“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Existencia použitia a zrozumiteľne vysvetleného účelu použitia je užitočnejšia a pochopiteľnejšia pre dotknuté osoby, ako vysvetľovanie možnej zložitej „funkcie/funkcionality“ systému AI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13b ods. 3</w:t>
              <w:br/>
            </w:r>
            <w:r>
              <w:rPr>
                <w:b w:val="off"/>
                <w:color w:val="000000"/>
                <w:rFonts w:ascii="Times New Roman" w:hAnsi="Times New Roman" w:cs="Times New Roman" w:eastAsia="Times New Roman"/>
                <w:sz w:val="24"/>
              </w:rPr>
              <w:t>V novelizačnom § 13b odseku 3 navrhujeme za slovo „spôsobom“ doplniť slová „na svojej domovskej internetovej stránke“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Súhlasíme, ak by takáto informačná povinnosť bola obmedzená výhradne na vysokorizikové systémy AI, maximálne na systémy AI, ktoré majú priamu interakciu s používateľom (napr. chatbot).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Dostupnosť by sa mala vzťahovať aj na jazyk zrozumiteľný pre bežného používateľa.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bodom 6 a 12 [§ 3 písm. c) tretí a štvrtý bod a § 12 ods. 1 písm. b) šiesty a siedmy bod] – Z:</w:t>
              <w:br/>
            </w:r>
            <w:r>
              <w:rPr>
                <w:b w:val="off"/>
                <w:color w:val="000000"/>
                <w:rFonts w:ascii="Times New Roman" w:hAnsi="Times New Roman" w:cs="Times New Roman" w:eastAsia="Times New Roman"/>
                <w:sz w:val="24"/>
              </w:rPr>
              <w:t xml:space="preserve">Z navrhovanej právnej úpravy v nadväznosti na dôvodovú správu nie je zrejmé, aké údaje (osobné údaje, chránené údaje?) a aké oprávnenia majú byť obsahom informácií v centrálnom metainformačnom systéme verejnej správy. Nie je jednoznačne zrejmé, či sa oprávnenia vzťahujú napríklad na spracovateľské činnosti v zmysle určitého právneho základu, ktorý oprávňuje subjekt používať údaje evidované v informačných technológiách verejnej správy.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Žiadame v návrhu zákona a v dôvodovej správe precizovať aké údaje a oprávnenia na používanie údajov evidovaných v informačných technológiách verejnej správy majú byť obsahom centrálneho metainformačného systému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prerokovaná na rozporovom konaní dňa 2.9.2025 v sídle MIRRI SR.</w:t>
              <w:br/>
            </w:r>
            <w:r>
              <w:rPr>
                <w:b w:val="off"/>
                <w:color w:val="000000"/>
                <w:rFonts w:ascii="Times New Roman" w:hAnsi="Times New Roman" w:cs="Times New Roman" w:eastAsia="Times New Roman"/>
                <w:sz w:val="24"/>
              </w:rPr>
              <w:t>Znenie § 12 ods. 1 písm. b) bolo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analýze vplyvov na rozpočet verejnej správy, na zamestnanosť vo verejnej správe a financovanie návrhu – Z:</w:t>
              <w:br/>
            </w:r>
            <w:r>
              <w:rPr>
                <w:b w:val="off"/>
                <w:color w:val="000000"/>
                <w:rFonts w:ascii="Times New Roman" w:hAnsi="Times New Roman" w:cs="Times New Roman" w:eastAsia="Times New Roman"/>
                <w:sz w:val="24"/>
              </w:rPr>
              <w:t>Predložený návrh zákona v čl. I bodoch 18, 20 a 29 upravuje nové povinnosti orgánov riadenia, ktoré si vyžiadajú nevyhnutné výdavky na úpravu aktuálnych informačných systémov na zabezpečenie splnenia požiadavky elektronického, nepretržitého a automatizovaného spôsobu, monitorovania a hodnotenia dodržiavania úrovne poskytovania služieb, monitorovania a hodnotenia informačných technológií verejnej správy a poskytovania spätnej väzby k poskytovaným prioritným službám.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Žiadame v analýze vplyvov na rozpočet verejnej správy, na zamestnanosť vo verejnej správe a financovanie návrhu zapracovať všetky vplyvy na rozpočet za každý subjekt zvlášť.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ktoré sa konalo dňa 2.9.2025 v sídle MIRRI SR.</w:t>
              <w:br/>
            </w: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 ako aj monitoring nepretržitým a automatizovaným spôsobom [§ 14 ods. 6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3 (§ 2 ods. 1) – O:</w:t>
              <w:br/>
            </w:r>
            <w:r>
              <w:rPr>
                <w:b w:val="off"/>
                <w:color w:val="000000"/>
                <w:rFonts w:ascii="Times New Roman" w:hAnsi="Times New Roman" w:cs="Times New Roman" w:eastAsia="Times New Roman"/>
                <w:sz w:val="24"/>
              </w:rPr>
              <w:t>V bode 3 odporúčame slová „systém AI4b)“ nahradiť slovami ,,systém umelej inteligencie4b) (ďalej len „systém AI“)“.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používania systémov umelej inteligencie vo verejnej správe boli z návrhu novely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14 (§ 13 ods. 1) – O:</w:t>
              <w:br/>
            </w:r>
            <w:r>
              <w:rPr>
                <w:b w:val="off"/>
                <w:color w:val="000000"/>
                <w:rFonts w:ascii="Times New Roman" w:hAnsi="Times New Roman" w:cs="Times New Roman" w:eastAsia="Times New Roman"/>
                <w:sz w:val="24"/>
              </w:rPr>
              <w:t>V bode 14 odporúčame za slová „Koncepcia rozvoja informačných technológií“ vložiť slová „(ďalej len „koncepcia rozvoja“)“.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Príslušná legislatívna skratka je zadefinovaná v § 9, a teda došlo len k vypusteniu slov „informačných technológií“.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osobitnej časti dôvodovej správy k čl. I bodu 21 (§ 15 ods. 2) – O:</w:t>
              <w:br/>
            </w:r>
            <w:r>
              <w:rPr>
                <w:b w:val="off"/>
                <w:color w:val="000000"/>
                <w:rFonts w:ascii="Times New Roman" w:hAnsi="Times New Roman" w:cs="Times New Roman" w:eastAsia="Times New Roman"/>
                <w:sz w:val="24"/>
              </w:rPr>
              <w:t>Upozorňujeme na nesúlad odôvodnenia čl. I bodu 21 v osobitnej časti dôvodovej správy so znením čl. I bodu 21 návrhu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15 ods. 5, na ktorý odkazuje § 15 ods. 2 písm. k), nie je žiadna explicitná požiadavka na schválenie bezpečnostného projektu orgánom vedenia, ale povinnosť predložiť orgánu vedenia na schválenie veľkú zmenovú požiadavku v projekte.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zosúladená s paragrafovým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12 § 12 ods. 1 písm. b)</w:t>
              <w:br/>
            </w:r>
            <w:r>
              <w:rPr>
                <w:b w:val="off"/>
                <w:color w:val="000000"/>
                <w:rFonts w:ascii="Times New Roman" w:hAnsi="Times New Roman" w:cs="Times New Roman" w:eastAsia="Times New Roman"/>
                <w:sz w:val="24"/>
              </w:rPr>
              <w:t>V čl. I bode 12 § 12 ods. 1 písm. b) žiadame vypustiť body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Metainformačný systém je verejný systém a niektoré informácie o evidovaných údajoch a oprávneniach v informačnom systéme verejnej správy sú podľa klasifikácie zaradené do kategórie „chránené“ a nie sú určené na zverejnenie.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22.8.2025 v sídle MIRRI SR.</w:t>
              <w:br/>
            </w:r>
            <w:r>
              <w:rPr>
                <w:b w:val="off"/>
                <w:color w:val="000000"/>
                <w:rFonts w:ascii="Times New Roman" w:hAnsi="Times New Roman" w:cs="Times New Roman" w:eastAsia="Times New Roman"/>
                <w:sz w:val="24"/>
              </w:rPr>
              <w:t>Obsahom centrálneho metainformačného systému verejnej správy sú v zmysle § 3 písm. b) „informácie, ktoré bližšie špecifikujú určené kvalitatívne a kvantitatívne charakteristiky určených údajov“, teda metaúdaje opisujúce kontext, obsah, štruktúru (hlavné dátové prvky), správu, spôsob spracovania údajov (objektov evidencie), legislatívne oprávnenie na spracovanie údajov v evidenciách registrov a informačných systémov verejnej správy.</w:t>
              <w:br/>
            </w:r>
            <w:r>
              <w:rPr>
                <w:b w:val="off"/>
                <w:color w:val="000000"/>
                <w:rFonts w:ascii="Times New Roman" w:hAnsi="Times New Roman" w:cs="Times New Roman" w:eastAsia="Times New Roman"/>
                <w:sz w:val="24"/>
              </w:rPr>
              <w:t>Predmetom evidencie v METAIS nie sú podrobné informácie o konkrétnom nastavení oprávnení v konkrétnom informačnom systéme, ale ako z názvu systému (METAIS) vyplýva, ide len o metainformácie o legislatívnom oprávnení správcu a iných organizácií na spracovanie a použitie údajov v konkrétnom registri alebo informačnom systéme verejnej správy.</w:t>
              <w:br/>
            </w:r>
            <w:r>
              <w:rPr>
                <w:b w:val="off"/>
                <w:color w:val="000000"/>
                <w:rFonts w:ascii="Times New Roman" w:hAnsi="Times New Roman" w:cs="Times New Roman" w:eastAsia="Times New Roman"/>
                <w:sz w:val="24"/>
              </w:rPr>
              <w:t>Došlo k precizovaniu ustanovenia § 12 ods. 1 písm. b) a v zmysle vyššie uvedeného k doplneniu dôvodovej správy –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bode 14 § 13 ods. 1</w:t>
              <w:br/>
            </w:r>
            <w:r>
              <w:rPr>
                <w:b w:val="off"/>
                <w:color w:val="000000"/>
                <w:rFonts w:ascii="Times New Roman" w:hAnsi="Times New Roman" w:cs="Times New Roman" w:eastAsia="Times New Roman"/>
                <w:sz w:val="24"/>
              </w:rPr>
              <w:t>V čl. I bode 14 § 13 ods. 1 žiadame slovo „dlhodobé“ nahradiť slovom „štvorročné“ a zároveň odporúčame vypustiť slová „Koncepcia rozvoja informačných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Je potrebné definovať, čo znamená dlhodobé. Navrhujeme použiť explicitne údaj 4 roky. Zároveň k slovám „koncepcia rozvoja informačných technológií verejnej správy“ je zavedená legislatívna skratka „koncepcia rozvoja“. Navrhované slová „koncepcia rozvoja informačných technológií“ nie sú v súlade so zavedenou legislatívnou skratkou.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22.8.2025 v sídle MIRRI SR.</w:t>
              <w:br/>
            </w:r>
            <w:r>
              <w:rPr>
                <w:b w:val="off"/>
                <w:color w:val="000000"/>
                <w:rFonts w:ascii="Times New Roman" w:hAnsi="Times New Roman" w:cs="Times New Roman" w:eastAsia="Times New Roman"/>
                <w:sz w:val="24"/>
              </w:rPr>
              <w:t xml:space="preserve">Cieľom bolo a aj je vyhnúť sa určeniu konkrétnych časových úsekov. </w:t>
              <w:br/>
            </w:r>
            <w:r>
              <w:rPr>
                <w:b w:val="off"/>
                <w:color w:val="000000"/>
                <w:rFonts w:ascii="Times New Roman" w:hAnsi="Times New Roman" w:cs="Times New Roman" w:eastAsia="Times New Roman"/>
                <w:sz w:val="24"/>
              </w:rPr>
              <w:t xml:space="preserve">Platnosť Koncepcií rozvoja informačných technológií nie je potrebné určovať priamo v zákone. Koncepcia rozvoja informačných technológií sa obsahovo a časovo viaže na schválenie Národnej koncepcie informatizácie verejnej správy a má to byť živý dokument v zmysle, že má odrážať reálne potreby a vývoj v orgáne riadenia. </w:t>
              <w:br/>
            </w:r>
            <w:r>
              <w:rPr>
                <w:b w:val="off"/>
                <w:color w:val="000000"/>
                <w:rFonts w:ascii="Times New Roman" w:hAnsi="Times New Roman" w:cs="Times New Roman" w:eastAsia="Times New Roman"/>
                <w:sz w:val="24"/>
              </w:rPr>
              <w:t>Limitovať koncepciu časovo nemá žiaden zmysel.</w:t>
              <w:br/>
            </w:r>
            <w:r>
              <w:rPr>
                <w:b w:val="off"/>
                <w:color w:val="000000"/>
                <w:rFonts w:ascii="Times New Roman" w:hAnsi="Times New Roman" w:cs="Times New Roman" w:eastAsia="Times New Roman"/>
                <w:sz w:val="24"/>
              </w:rPr>
              <w:t>Slová „informačných technológií“ boli vypustené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Analýzy vplyvov na rozpočet verejnej správy, na zamestnanosť vo verejnej správe a financovanie</w:t>
              <w:br/>
            </w:r>
            <w:r>
              <w:rPr>
                <w:b w:val="off"/>
                <w:color w:val="000000"/>
                <w:rFonts w:ascii="Times New Roman" w:hAnsi="Times New Roman" w:cs="Times New Roman" w:eastAsia="Times New Roman"/>
                <w:sz w:val="24"/>
              </w:rPr>
              <w:t>Vzhľadom na čl. I bod 18 § 13a ods. 7 žiadame doplniť do Analýzy vplyvov na rozpočet verejnej správy, na zamestnanosť vo verejnej správe a financovanie návrhu navýšenie rozpočtu pre Ministerstvo dopravy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Oproti pôvodnému zneniu ide o zásadné navýšenie povinností orgánu riadenia. Bude nevyhnutné upraviť informačné systémy poskytujúce prioritné elektronické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zo dňa 22.8.2025 v sídle MIRRI SR.</w:t>
              <w:br/>
            </w:r>
            <w:r>
              <w:rPr>
                <w:b w:val="off"/>
                <w:color w:val="000000"/>
                <w:rFonts w:ascii="Times New Roman" w:hAnsi="Times New Roman" w:cs="Times New Roman" w:eastAsia="Times New Roman"/>
                <w:sz w:val="24"/>
              </w:rPr>
              <w:t>Z novelizačného bodu k § 13a ods. 7 bola vypustená požiadavka automatizácie zberu spätnej väzby a zmena frekvencie zberu.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35 § 23 ods. 3 a 4.</w:t>
              <w:br/>
            </w:r>
            <w:r>
              <w:rPr>
                <w:b w:val="off"/>
                <w:color w:val="000000"/>
                <w:rFonts w:ascii="Times New Roman" w:hAnsi="Times New Roman" w:cs="Times New Roman" w:eastAsia="Times New Roman"/>
                <w:sz w:val="24"/>
              </w:rPr>
              <w:t>V čl. I žiadame vypustiť bod 35 § 23 ods.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Predmetné ustanovenia predstavujú goldplating, pričom sa neúmerne zvyšujú povinnosti poskytovateľov základných služieb nad rámec zákona č. 69/2018 Z. z. o kybernetickej bezpečnosti a o zmene a doplnení niektorých zákonov v znení neskorších predpisov, pričom táto problematika je riešená v spomínanom zákone a smernici NIS2.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22.8.2025 v sídle MIRRI SR.</w:t>
              <w:br/>
            </w:r>
            <w:r>
              <w:rPr>
                <w:b w:val="off"/>
                <w:color w:val="000000"/>
                <w:rFonts w:ascii="Times New Roman" w:hAnsi="Times New Roman" w:cs="Times New Roman" w:eastAsia="Times New Roman"/>
                <w:sz w:val="24"/>
              </w:rPr>
              <w:t xml:space="preserve">Predkladateľ zdôrazňuje, že v danom prípade nejde o goldplating. </w:t>
              <w:br/>
            </w:r>
            <w:r>
              <w:rPr>
                <w:b w:val="off"/>
                <w:color w:val="000000"/>
                <w:rFonts w:ascii="Times New Roman" w:hAnsi="Times New Roman" w:cs="Times New Roman" w:eastAsia="Times New Roman"/>
                <w:sz w:val="24"/>
              </w:rPr>
              <w:t>Ustanovenie nadväzuje na existujúcu právnu úpravu, kedy všetky orgány riadenia, ktoré sú PZS, boli povinné hlásiť každý kybernetický bezpečnostný incident na NBÚ (SK CERT) a všetky orgány riadenia, ktoré nie sú PZS, hlásili povinne každý  kybernetický bezpečnostný incident  na VJ CSIRT. Navrhované ustanovenie toto zjednocuje aj na základe skutočnosti, že zákon je sektorovým právnym predpisom. Prostredníctvom funkcionality JISKB predpokladáme možnosť splniť si tuto povinnosť, bez toho aby sa to vnímalo ako administratívna záťaž. Zároveň platí, že pripomienkované ustanovenia boli už súčasťou aj súčasného znenia zákona o ITVS, len došlo k zmene ich poradia a malej aktualizácií niektorých z nich.</w:t>
              <w:br/>
            </w:r>
            <w:r>
              <w:rPr>
                <w:b w:val="off"/>
                <w:color w:val="000000"/>
                <w:rFonts w:ascii="Times New Roman" w:hAnsi="Times New Roman" w:cs="Times New Roman" w:eastAsia="Times New Roman"/>
                <w:sz w:val="24"/>
              </w:rPr>
              <w:t>Predmetná povinnosť vyplýva už z aktuálne účinného znenia § 23 ods. 3 písm. a) a ods. 5 písm. a) zákona o ITVS. Už dnes majú prevádzkovatelia základnej služby, ktorí sú orgánom riadenia, prísnejšie formulovanú povinnosť, než ju formuluje zákon o kybernetickej bezpečnosti pre iných prevádzkovateľov základnej služby. Ostatné orgány riadenia majú rovnakú povinnosť, akurát smerom k vládnej jednotke CSIRT a nie k NBÚ.</w:t>
              <w:br/>
            </w:r>
            <w:r>
              <w:rPr>
                <w:b w:val="off"/>
                <w:color w:val="000000"/>
                <w:rFonts w:ascii="Times New Roman" w:hAnsi="Times New Roman" w:cs="Times New Roman" w:eastAsia="Times New Roman"/>
                <w:sz w:val="24"/>
              </w:rPr>
              <w:t>Uvedené ustanovenie reaguje na vypustenie pojmu „poskytovateľ základnej služby“ zo zákona o kybernetickej bezpečnosti, prenos povinnosti z orgánov riadenia len na správcov a dochádza k úprave umiestnenia ustanovení do na seba nasledujúcich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navrhujeme spojiť body 4 a5 keďže oba novelizujú §2 ods. 5, napríklad takto: „V § 2 ods. 5 druhej vete sa .... bodkočiarkou a na konci sa pripája táto veta....“; v nadväznosti na uvedené vypustiť bod 5 a nasledujúce by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10 (§ 8 ods. 3), bode 30 (§ 18 ods. 1) a bode 35 (§ 23 ods. 3 písm. i))</w:t>
              <w:br/>
            </w:r>
            <w:r>
              <w:rPr>
                <w:b w:val="off"/>
                <w:color w:val="000000"/>
                <w:rFonts w:ascii="Times New Roman" w:hAnsi="Times New Roman" w:cs="Times New Roman" w:eastAsia="Times New Roman"/>
                <w:sz w:val="24"/>
              </w:rPr>
              <w:t>V čl. I bode 10 (§ 8 ods. 3), bode 30 (§ 18 ods. 1) a bode 35 (§ 23 ods. 3 písm. i)) navrhujeme tam obsiahnuté splnomocnenia presunúť do § 31 a v nadväznosti na uvedené vykonať súvisiace legislatívnotechnické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ustanovenia odkazujú na vykonávacie predpisy, ale príslušné splnomocňovacie ustanovenia sú obsiahnuté v § 31.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18</w:t>
              <w:br/>
            </w:r>
            <w:r>
              <w:rPr>
                <w:b w:val="off"/>
                <w:color w:val="000000"/>
                <w:rFonts w:ascii="Times New Roman" w:hAnsi="Times New Roman" w:cs="Times New Roman" w:eastAsia="Times New Roman"/>
                <w:sz w:val="24"/>
              </w:rPr>
              <w:t>V čl. I bode 18 navrhujeme vypustiť slová „v lehote“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19 v § 13b ods. 2</w:t>
              <w:br/>
            </w:r>
            <w:r>
              <w:rPr>
                <w:b w:val="off"/>
                <w:color w:val="000000"/>
                <w:rFonts w:ascii="Times New Roman" w:hAnsi="Times New Roman" w:cs="Times New Roman" w:eastAsia="Times New Roman"/>
                <w:sz w:val="24"/>
              </w:rPr>
              <w:t>V čl. I bode 19 v § 13b ods. 2 navrhujeme za slovo „dohovoru“ vložiť čiarku a slová „ktorým je Slovenská republika viazaná“. Alt. navrhujeme vypustiť časť vety za bodkočiarkou, keďže tak nariadenie EÚ ako aj dohovor Rady Európy majú vyššiu právny silu a teda zákon nemá pred nimi prednosť.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 13b boli z návrhu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bode 19 v 13b ods. 3</w:t>
              <w:br/>
            </w:r>
            <w:r>
              <w:rPr>
                <w:b w:val="off"/>
                <w:color w:val="000000"/>
                <w:rFonts w:ascii="Times New Roman" w:hAnsi="Times New Roman" w:cs="Times New Roman" w:eastAsia="Times New Roman"/>
                <w:sz w:val="24"/>
              </w:rPr>
              <w:t>V čl. bode 19 v 13b ods. 3 navrhujeme slová „vypustiť slová „je povinný“ a v nadväznosti na uvedené slovo „informovať“ nahradiť  slovom „informuje“ a slová „musí byť vždy poskytnutá“ slovami „sa vždy poskytne“.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 13b boli z návrhu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21 v § 15 ods. 2 písm. b)</w:t>
              <w:br/>
            </w:r>
            <w:r>
              <w:rPr>
                <w:b w:val="off"/>
                <w:color w:val="000000"/>
                <w:rFonts w:ascii="Times New Roman" w:hAnsi="Times New Roman" w:cs="Times New Roman" w:eastAsia="Times New Roman"/>
                <w:sz w:val="24"/>
              </w:rPr>
              <w:t>V čl. I bode 21 v § 15 ods. 2 písm. b) navrhujeme slová „realizované projekty boli uskutočňované“ nahradiť slovami „sa realizované projekty uskutočňovali“.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21 v § 15 ods. 2 písm. j)</w:t>
              <w:br/>
            </w:r>
            <w:r>
              <w:rPr>
                <w:b w:val="off"/>
                <w:color w:val="000000"/>
                <w:rFonts w:ascii="Times New Roman" w:hAnsi="Times New Roman" w:cs="Times New Roman" w:eastAsia="Times New Roman"/>
                <w:sz w:val="24"/>
              </w:rPr>
              <w:t>V čl. I bode 21 v § 15 ods. 2 písm. j) navrhujeme uprednostniť pred použitím dvojitého záporu „nevysloví ... nesúhlas“ pozitívne vyjadrenie, pripomienka platí primerane aj pre čl. I bod 35 - § 23 ods. 3 písm.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Naviazanie na „vyslovenie súhlasu“ by zmenilo význam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22 a 24</w:t>
              <w:br/>
            </w:r>
            <w:r>
              <w:rPr>
                <w:b w:val="off"/>
                <w:color w:val="000000"/>
                <w:rFonts w:ascii="Times New Roman" w:hAnsi="Times New Roman" w:cs="Times New Roman" w:eastAsia="Times New Roman"/>
                <w:sz w:val="24"/>
              </w:rPr>
              <w:t>V čl. I navrhujem spojiť body 22 a 24, napríklad takto „V § 15 sa vypúšťajú odseky 3, 4 a 11. Nasledujúce odseky 5 až 10, 12 a 13.“ z dôvodu legislatívnej hospodárnosti.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Vzhľadom na čl. I bod 29 § 17 ods. 2 písm. c) odporúčame upraviť doložku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Predmetné ustanovenie zavádza nepretržitý zber monitorovaných údajov a automatizáciu poskytovania údajov orgánu vedenia, čo bude mať vplyv na rozpočty orgánov verejnej moci a tým negatívny vplyv na štátny rozpočet, ktorý nie je zahrnutý v doložke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Novelizačný bod k § 17 ods. 2 písm. c)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35 v § 23 ods. 3 písm. i)</w:t>
              <w:br/>
            </w:r>
            <w:r>
              <w:rPr>
                <w:b w:val="off"/>
                <w:color w:val="000000"/>
                <w:rFonts w:ascii="Times New Roman" w:hAnsi="Times New Roman" w:cs="Times New Roman" w:eastAsia="Times New Roman"/>
                <w:sz w:val="24"/>
              </w:rPr>
              <w:t>V čl. I bode 35 v § 23 ods. 3 písm. i) navrhujeme slová „k zmene týchto údajov“ nahradiť slovami „k ich zmene“.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bodoch 41 a 42</w:t>
              <w:br/>
            </w:r>
            <w:r>
              <w:rPr>
                <w:b w:val="off"/>
                <w:color w:val="000000"/>
                <w:rFonts w:ascii="Times New Roman" w:hAnsi="Times New Roman" w:cs="Times New Roman" w:eastAsia="Times New Roman"/>
                <w:sz w:val="24"/>
              </w:rPr>
              <w:t>V čl. I bodoch 41 a 42 navrhujeme upraviť tak aby príslušná časť novelizačného bodu znela „sa čiarka za slovami...“.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Použitá formulácia predstavuje štandardnú a akceptovanú legislatívnu techniku.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44 v § 29 ods. 2 písm. a)</w:t>
              <w:br/>
            </w:r>
            <w:r>
              <w:rPr>
                <w:b w:val="off"/>
                <w:color w:val="000000"/>
                <w:rFonts w:ascii="Times New Roman" w:hAnsi="Times New Roman" w:cs="Times New Roman" w:eastAsia="Times New Roman"/>
                <w:sz w:val="24"/>
              </w:rPr>
              <w:t>V čl. I bode 44 v § 29 ods. 2 písm. a) navrhujeme vypustiť slová „podľa § 15“ v písm. b) navrhujeme vypustiť slová „vo výške“.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V čl. I bode 45 navrhujeme pred slovo „ak“ vložiť slov „vtedy“.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slova „vtedy“ nepovažujeme za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52 v § 33b ods. 1</w:t>
              <w:br/>
            </w:r>
            <w:r>
              <w:rPr>
                <w:b w:val="off"/>
                <w:color w:val="000000"/>
                <w:rFonts w:ascii="Times New Roman" w:hAnsi="Times New Roman" w:cs="Times New Roman" w:eastAsia="Times New Roman"/>
                <w:sz w:val="24"/>
              </w:rPr>
              <w:t>V čl. I bode 52 v § 33b ods. 1 navrhujeme slová „preukázateľne začatého“ nahradiť slovami „ , ktoré sa preukázateľne začalo“.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záujme jednotnosti formulácií (napr. § 33 ods. 6) to nepovažujeme za vhodné.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52 v § 33b ods. 2</w:t>
              <w:br/>
            </w:r>
            <w:r>
              <w:rPr>
                <w:b w:val="off"/>
                <w:color w:val="000000"/>
                <w:rFonts w:ascii="Times New Roman" w:hAnsi="Times New Roman" w:cs="Times New Roman" w:eastAsia="Times New Roman"/>
                <w:sz w:val="24"/>
              </w:rPr>
              <w:t>V čl. I bode 52 v § 33b ods. 2 navrhujeme slová „bolo začaté do 31. decembra 2025...neskončené“ nahradiť slovami „sa začalo...neskončilo“.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záujme jednotnosti formulácií to nepovažujeme za vhodné.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w:t>
              <w:br/>
            </w:r>
            <w:r>
              <w:rPr>
                <w:b w:val="off"/>
                <w:color w:val="000000"/>
                <w:rFonts w:ascii="Times New Roman" w:hAnsi="Times New Roman" w:cs="Times New Roman" w:eastAsia="Times New Roman"/>
                <w:sz w:val="24"/>
              </w:rPr>
              <w:t>V čl. II bode 1 navrhujeme slová „v postavení orgánu“ nahradiť slovami „ orgánom“.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ohľadom napr. na § 12 ods. 2 zákona o e-Governmente nepovažujeme navrhovanú zmenu za vhodnú.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2</w:t>
              <w:br/>
            </w:r>
            <w:r>
              <w:rPr>
                <w:b w:val="off"/>
                <w:color w:val="000000"/>
                <w:rFonts w:ascii="Times New Roman" w:hAnsi="Times New Roman" w:cs="Times New Roman" w:eastAsia="Times New Roman"/>
                <w:sz w:val="24"/>
              </w:rPr>
              <w:t>V čl. II bode 2 navrhujeme upraviť poradie „väzba“, „výkon detencie“ a „výkon trestu odňatia slobody“ podľa poradia na začiatku pododseku.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úvodnej vete</w:t>
              <w:br/>
            </w:r>
            <w:r>
              <w:rPr>
                <w:b w:val="off"/>
                <w:color w:val="000000"/>
                <w:rFonts w:ascii="Times New Roman" w:hAnsi="Times New Roman" w:cs="Times New Roman" w:eastAsia="Times New Roman"/>
                <w:sz w:val="24"/>
              </w:rPr>
              <w:t>V čl. III úvodnej vete navrhujeme pred slovo „dopĺňa“ vložiť slová „mení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článok III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bode 3</w:t>
              <w:br/>
            </w:r>
            <w:r>
              <w:rPr>
                <w:b w:val="off"/>
                <w:color w:val="000000"/>
                <w:rFonts w:ascii="Times New Roman" w:hAnsi="Times New Roman" w:cs="Times New Roman" w:eastAsia="Times New Roman"/>
                <w:sz w:val="24"/>
              </w:rPr>
              <w:t>V čl. III bode 3 navrhujeme slová „Ustanovenia odsekov“ nahradiť slovami „Odseky“.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Článok III bol z návrhu zákona vypustený. Navrhovanú zmenu pritom nepovažujeme za prínosnú s ohľadom na legislatívnu jednotnosť Autorského zákona (napr. § 12 ods. 3, § 24 ods. 3, § 41 ods. 2, § 73 ods.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bode 5</w:t>
              <w:br/>
            </w:r>
            <w:r>
              <w:rPr>
                <w:b w:val="off"/>
                <w:color w:val="000000"/>
                <w:rFonts w:ascii="Times New Roman" w:hAnsi="Times New Roman" w:cs="Times New Roman" w:eastAsia="Times New Roman"/>
                <w:sz w:val="24"/>
              </w:rPr>
              <w:t>V čl. III bode 5 navrhujeme slová „Ustanovenie...sa nepoužije“ nahradiť slovami „Ustanovenia...sa nepoužijú“.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článok III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1</w:t>
              <w:br/>
            </w:r>
            <w:r>
              <w:rPr>
                <w:b w:val="off"/>
                <w:color w:val="000000"/>
                <w:rFonts w:ascii="Times New Roman" w:hAnsi="Times New Roman" w:cs="Times New Roman" w:eastAsia="Times New Roman"/>
                <w:sz w:val="24"/>
              </w:rPr>
              <w:t>V čl. IV bode 1 navrhujeme vypustiť slová „úvodnej vete“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novelizácii úvodnej vety ustanovenia členeného na písmená sa štandardne špecifikuje skutočnosť, že sa nahrádzané slová nachádzajú v úvodnej vete, a to aj ak sa rovnaké slová nenachádzajú v príslušných písmenách.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V čl. V navrhujeme vypustiť nadpis,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(ďalej len „doložka vplyvov“) sa uvádza, že materiál má pozitívne aj negatívne vplyvy na rozpočet verejnej správy, ktoré sú čiastočne rozpočtovo zabezpečené a zároveň má materiál negatívny vplyv na limit verejných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Pozitívny vplyv na rozpočet verejnej správy sa predpokladá v súvislosti s navýšením sankcií za porušenie povinností pri projektovom riadení, pričom v Analýze vplyvov na rozpočet verejnej správy, na zamestnanosť vo verejnej správe a na financovanie návrhu (ďalej len „analýza vplyvov“) nie je tento vplyv kvantifikovaný, keďže doteraz tieto povinnosti neboli sankcionované a nie je možné predpovedať, koľko porušení bude v budúcnosti sankcionovaných.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sú v roku 2026 kvantifikované celkové výdavky v sume 3 622 901 eur, pričom nekrytý vplyv vyplývajúci z navýšenia počtu zamestnancov o dve osoby je vyčíslený v sume 106 106 eur. V rokoch 2027 a 2028 predkladateľ celkové výdavky kvantifikoval v sume 500 000 eur ročne, pričom nekrytý vplyv uviedol vo výške 606 106 eur ročne. V analýze vplyvov bode 2.1.1. Financovanie návrhu je uvedené, že „MIRRI SR ako predkladateľ návrhu počíta s financovaním zabezpečenia základných aktivít za účelom monitoringu 16 prioritných životných situácií s cieľom zabezpečiť lepšie elektronické služby štátu. Financovanie je predmetom Plánu obnovy a odolnosti tzn. financovanie je zabezpečené do 30.6.2026, následne sa počíta s financovaním zo štátneho rozpočtu.“.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prípravy návrhu rozpočtu nie sú v kapitole Všeobecná pokladničná správa na roky 2026 až 2028 na uvedený účel alokované prostriedky. S materiálom, z ktorého bude vyplývať nekrytý vplyv na rozpočet verejnej správy nie je možné súhlasiť. Všetky negatívne vplyvy na rozpočet žiadame zabezpečiť v rámci schválených limitov dotknutého subjektu verejnej správy tak, aby z materiálu nevyplýval negatívny, rozpočtovo nezabezpečený vplyv na rozpočet verejnej správy. Zároveň upozorňujeme, že uznesením Národnej rady SR č. 699 z 3. decembra 2024 bol schválený celkový limit verejných výdavkov na roky 2025 až 2027, ktorý je potrebné dodržať.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vplyvov a analýza na rozpočet upravené, materiál vykázaný ako rozpočtovo krytý.</w:t>
              <w:br/>
            </w:r>
            <w:r>
              <w:rPr>
                <w:b w:val="off"/>
                <w:color w:val="000000"/>
                <w:rFonts w:ascii="Times New Roman" w:hAnsi="Times New Roman" w:cs="Times New Roman" w:eastAsia="Times New Roman"/>
                <w:sz w:val="24"/>
              </w:rPr>
              <w:t>Materiál je rozpočtovo zabezpečený, presný popis je uvedený v analýze vplyvov na rozpočet. Nakoľko všetko je zabezpečené nepožadujeme financie z všeobecnej pokladničnej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Z technického hľadiska k analýze vplyvov uvádzame: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vo výdavkovej časti analýzy vplyvov žiadame uvádzať len subjekty verejnej správy (nie napr. združenia ako DEUS a pod.). Tiež žiadame vplyv za Sociálnu poisťovňu uviesť v časti „vplyv na ostatné subjekty verejnej správy“. Súčasne upozorňujeme, že príspevkové organizácie je potrebné uvádzať pod kapitolou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tabuľka č. 1/A nie je vyplnená korektne. V riadku „Výdavky verejnej správy celkom“ predkladateľ uviedol v roku 2026 sumu 3 622 901 eur ako vplyv zabezpečený zo zdrojov EÚ. Zároveň však predkladateľ kvantifikoval rozpočtovo nekrytý vplyv v sume 106 106 eur. Z uvedeného sa nejaví, že by celkové výdavky verejnej správy zohľadňovali aj vplyv, ktorý krytý nie je (t. j. +106 106 eur). Taktiež na roky 2027 a 2028 je v celkových výdavkoch uvedená suma 500 000 eur, pričom rozpočtovo nekrytý vplyv predkladateľ kvantifikoval v sume 606 106 eur. Uvedené žiadame upraviť vo všetkých relevantných častiach tabuľky č. 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 tabuľke č. 1/A riadku „vplyv na ŠR“ žiadame uvádzať vplyvy za všetky kapitoly štátneho rozpočtu, nielen nekrytý vplyv za kapitolu Ministerstva investícií, regionálneho rozvoja a informatizácie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v tabuľke č. 1/A žiadame jednoznačne špecifikovať zdroje krytia, t. j. zdroj POO a zdroj DPH k POO,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v tabuľke č. 1/A žiadame v riadku „Vplyv na mzdové výdavky“ uviesť výdavky na mzdy a nie na osobné výdavky,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v tabuľkách č. 1/B  a 4/B  je uvedený nulový vplyv na limit verejnej správy, čo je v rozpore s tvrdením v doložke vplyvov. Zároveň upozorňujeme predkladateľa na nevyplnenú tabuľku č. 4/A, ktorú žiadame vyplniť za každý subjekt verejnej správy zvlášť.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žiadame vyčísliť výdavky orgánu riadenia (Ministerstvo financií SR) potrebné najmä na obstaranie nových, alebo úpravu aktuálnych informačných systémov na zabezpečenie splnenia požiadaviek návrhu zákona v oblasti elektronického automatizovaného spôsobu poskytovania údajov orgánu vedenia.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dňa 21.8.2025 v sídle MIRRI SR.</w:t>
              <w:br/>
            </w: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 ako aj monitoring nepretržitým a automatizovaným spôsobom [§ 14 ods. 6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inštitúty, ktoré sú súčasťou legislatívy už dlhšie a napríklad pri poskytovaní služieb monitoringu je prirodzené, že dodávateľ služieb podpory prevádzky a aplikačnej podpory tieto služby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rovnako uvádza, že povinnosť orgánov riadenia poskytovať súčinnosť orgánu vedenia a zabezpečiť mu údaje zo spätného väzby je v súčasnosti upravená v § 8 ods. 2 zákona o ITVS.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predkladať výstupy zo spätnej väzby, ako aj monitoringu pre orgán vedenia už bola súčasťou platnej legislatívy.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Novelizácia predmetných ustanovení precizuje povinnosti, ktoré sa týkajú využívania elektronických služieb týkajúcich sa prioritných životných situácií.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nebude mať novela dopad na rozpočet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a k doložke vybraných vplyvov</w:t>
              <w:br/>
            </w:r>
            <w:r>
              <w:rPr>
                <w:b w:val="off"/>
                <w:color w:val="000000"/>
                <w:rFonts w:ascii="Times New Roman" w:hAnsi="Times New Roman" w:cs="Times New Roman" w:eastAsia="Times New Roman"/>
                <w:sz w:val="24"/>
              </w:rPr>
              <w:t>V predloženom materiáli žiadame uviesť spôsob výpočtu vplyvu na výdavky verejnej správy, vrátane použitých vstupných hodnôt. Podľa doložky vplyvov je odhadovaný negatívny vplyv vo výške 3,6 mil. eur. V doložke vplyvov je uvedený rozklad vplyvu na jednotlivé inštitúcie, avšak bez opísania spôsobu akým bol odhadnutý.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rozpočet upravená v zmysle pripomienky – doplnená informácia v časti 2.1.1.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9 (§ 8 ods. 2)</w:t>
              <w:br/>
            </w:r>
            <w:r>
              <w:rPr>
                <w:b w:val="off"/>
                <w:color w:val="000000"/>
                <w:rFonts w:ascii="Times New Roman" w:hAnsi="Times New Roman" w:cs="Times New Roman" w:eastAsia="Times New Roman"/>
                <w:sz w:val="24"/>
              </w:rPr>
              <w:t>V § 8 ods. 2 žiadame vypustiť slová „alebo prostredníctvom orgánom vedenia určenej informačnej technológie“. Máme za to, že poskytovanie údajov navrhovaným spôsobom predpokladá nasadenie softvérového komponentu informačnej technológie orgánu vedenia do infraštruktúry orgánu riadenia, čo aj v kontexte zmeny účelu zberu údajov zo štatistických účelov na analytické účely, kedy prirodzene dochádza k väčšej granularite poskytovaných údajov, predstavuje bezpečnostné riziko, rovnako ako aj samotný spôsob poskytovania údajov a centralizácia týchto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Rozpor prerokovaný dňa 21.8.2025 v sídle MIRRI SR.</w:t>
              <w:br/>
            </w:r>
            <w:r>
              <w:rPr>
                <w:b w:val="off"/>
                <w:color w:val="000000"/>
                <w:rFonts w:ascii="Times New Roman" w:hAnsi="Times New Roman" w:cs="Times New Roman" w:eastAsia="Times New Roman"/>
                <w:sz w:val="24"/>
              </w:rPr>
              <w:t>Pripomienku nie je možné akceptovať, keďže je potrebné, aby orgán vedenia mohol orgánom riadenia určiť najmä zasielanie údajov do IS KAV (konsolidovaná analytická vrstva) vytvoreného na zber týchto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10 (§ 8)</w:t>
              <w:br/>
            </w:r>
            <w:r>
              <w:rPr>
                <w:b w:val="off"/>
                <w:color w:val="000000"/>
                <w:rFonts w:ascii="Times New Roman" w:hAnsi="Times New Roman" w:cs="Times New Roman" w:eastAsia="Times New Roman"/>
                <w:sz w:val="24"/>
              </w:rPr>
              <w:t>V § 8 ods. 3 druhej vete žiadame slová „Orgán vedenia môže posudzovať“ nahradiť slovami „Orgán vedenia posudzuje“. Orgánu vedenia sa neustanovuje povinnosť posudzovať predložené dokumenty, na druhej strane sa orgánu riadenia ustanovuje povinnosť tieto dokumenty predkladať, čo považujeme za nevyvážené. Z navrhovaného znenia preto nie je zrejmý účel predkladania dokumentov a navrhované ustanovenie považujeme za navyšovanie administratívnej záťaže.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ktoré sa konalo dňa 21.9.2025 v sídle MIRRI SR.</w:t>
              <w:br/>
            </w:r>
            <w:r>
              <w:rPr>
                <w:b w:val="off"/>
                <w:color w:val="000000"/>
                <w:rFonts w:ascii="Times New Roman" w:hAnsi="Times New Roman" w:cs="Times New Roman" w:eastAsia="Times New Roman"/>
                <w:sz w:val="24"/>
              </w:rPr>
              <w:t>Znenie predmetného ustanovenia § 8 upravené na „Orgán vedenia posudzuje predložené dokumenty najmä ...“. Textácia doplnená tak, aby neevokovala obmedzenie posudzovania len na vymenované hľadiská t. j. aby MIRRI SR vedelo pri posudzovaní zohľadniť aj ďalšie aspekty.</w:t>
              <w:br/>
            </w:r>
            <w:r>
              <w:rPr>
                <w:b w:val="off"/>
                <w:color w:val="000000"/>
                <w:rFonts w:ascii="Times New Roman" w:hAnsi="Times New Roman" w:cs="Times New Roman" w:eastAsia="Times New Roman"/>
                <w:sz w:val="24"/>
              </w:rPr>
              <w:t>MF SR po oboznámení sa s novým navrhovaným znením § 8 považuje rozpor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12 [§ 12 ods. 1 písm. b)]</w:t>
              <w:br/>
            </w:r>
            <w:r>
              <w:rPr>
                <w:b w:val="off"/>
                <w:color w:val="000000"/>
                <w:rFonts w:ascii="Times New Roman" w:hAnsi="Times New Roman" w:cs="Times New Roman" w:eastAsia="Times New Roman"/>
                <w:sz w:val="24"/>
              </w:rPr>
              <w:t>V § 12 ods. 1 písm. b) žiadame upresniť body 5 až 7. Máme za to, že navrhované znenia sú príliš všeobecné a neumožňujú jednoznačný výklad rozsahu požadovaných informácií. Od rozsahu požadovaných informácii sa odvíjajú náklady a náročnosť výkonu danej povinnosti (napríklad pri registroch nie je zrejmé, či má ísť o referenčné registre a základné číselníky alebo vlastné registre informačných technológii verejnej správy; pri údajoch či má ísť o objekty evidencie alebo iné granularity; pri oprávneniach k používaniu údajov nie je jasné, či je to na úrovní organizácií, rolí používateľov alebo má ísť o niečo iné).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Obsahom centrálneho metainformačného systému verejnej správy sú v zmysle § 3 písm. b) „informácie, ktoré bližšie špecifikujú určené kvalitatívne a kvantitatívne charakteristiky určených údajov“, teda metaúdaje opisujúce kontext, obsah, štruktúru (hlavné dátové prvky), správu, spôsob spracovania údajov (objektov evidencie), legislatívne oprávnenie na spracovanie údajov v evidenciách registrov a inf. systémov verejnej správy.</w:t>
              <w:br/>
            </w:r>
            <w:r>
              <w:rPr>
                <w:b w:val="off"/>
                <w:color w:val="000000"/>
                <w:rFonts w:ascii="Times New Roman" w:hAnsi="Times New Roman" w:cs="Times New Roman" w:eastAsia="Times New Roman"/>
                <w:sz w:val="24"/>
              </w:rPr>
              <w:t xml:space="preserve"> Predmetom evidencie v METAIS nie sú podrobné informácie o konkrétnom nastavení oprávnení v konkrétnom informačnom systéme, ale ako z názvu systému (METAIS) vyplýva, ide len o metainformácie o legislatívnom oprávnení správcu a iných organizácií na spracovanie a použitie údajov v konkrétnom registri alebo informačnom systéme verejnej  správy. Ide teda o odvodené údaje z verejne dostupných informácií o aplikácii legislatívy na ISVS a ich údaje na vrcholovej agregovanej úrovni. </w:t>
              <w:br/>
            </w:r>
            <w:r>
              <w:rPr>
                <w:b w:val="off"/>
                <w:color w:val="000000"/>
                <w:rFonts w:ascii="Times New Roman" w:hAnsi="Times New Roman" w:cs="Times New Roman" w:eastAsia="Times New Roman"/>
                <w:sz w:val="24"/>
              </w:rPr>
              <w:t>Obsahom MetaIS nie sú  samotné hodnoty osobných alebo chránených údajov. Metaúdaje sú „údaje o údajoch“.</w:t>
              <w:br/>
            </w:r>
            <w:r>
              <w:rPr>
                <w:b w:val="off"/>
                <w:color w:val="000000"/>
                <w:rFonts w:ascii="Times New Roman" w:hAnsi="Times New Roman" w:cs="Times New Roman" w:eastAsia="Times New Roman"/>
                <w:sz w:val="24"/>
              </w:rPr>
              <w:t>V kontexte vyššie uvedeného bolo predmetné ustanovenie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18 (§ 13a ods. 7)</w:t>
              <w:br/>
            </w:r>
            <w:r>
              <w:rPr>
                <w:b w:val="off"/>
                <w:color w:val="000000"/>
                <w:rFonts w:ascii="Times New Roman" w:hAnsi="Times New Roman" w:cs="Times New Roman" w:eastAsia="Times New Roman"/>
                <w:sz w:val="24"/>
              </w:rPr>
              <w:t>V § 13a ods. 7 druhej vete žiadame vypustiť slová „elektronicky automatizovaným spôsobom“. Z návrhu nie je zrejmý spôsob výkonu tejto povinnosti, pričom jej zavedenie si bude vyžadovať úpravu všetkých informačných systémov, z ktorých sa bude požadovať automatizovaný elektronický zber spätnej väzby, čo si okrem iného vyžiada aj dodatočné náklady, ktoré nie sú vyčíslené. Z návrhu ani dôvodovej správy nie je zrejmý prínos takto získaných údajov vo vzťahu k nákladom vynaloženým na ich získanie.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19 (§ 13b)</w:t>
              <w:br/>
            </w:r>
            <w:r>
              <w:rPr>
                <w:b w:val="off"/>
                <w:color w:val="000000"/>
                <w:rFonts w:ascii="Times New Roman" w:hAnsi="Times New Roman" w:cs="Times New Roman" w:eastAsia="Times New Roman"/>
                <w:sz w:val="24"/>
              </w:rPr>
              <w:t>V § 13b ods. 1 žiadame za slová „zabezpečuje kontrolu nad“ vložiť slová „vstupmi a“. Máme za to, že na zabezpečenie dohľadu nad systémom AI ako celku je nevyhnutné zabezpečovať dohľad aj nad vstupmi, ktoré do systému vstupujú. Uvedené je potrebné aj z dôvodu zabezpečovania bezpečnosti údajov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21.9.2025 v sídle MIRRI SR.</w:t>
              <w:br/>
            </w: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21 (§ 15 ods. 2)</w:t>
              <w:br/>
            </w:r>
            <w:r>
              <w:rPr>
                <w:b w:val="off"/>
                <w:color w:val="000000"/>
                <w:rFonts w:ascii="Times New Roman" w:hAnsi="Times New Roman" w:cs="Times New Roman" w:eastAsia="Times New Roman"/>
                <w:sz w:val="24"/>
              </w:rPr>
              <w:t>V § 15 ods. 2 písm. h) úvodnej vete žiadame za slova „veľký projekt“ vložiť čiarku a slová „ktorý pozostáva z dodania viacerých funkčných celkov,“. Navrhované znenie pripúšťa dva možné výklady: Prvý možný výklad je, že každý veľký projekt (bez ohľadu na to, či pozostáva z dodania viacerých funkčných celkov) musí byť rozdelený na čiastkové plnenia, čo nie je možné vždy uskutočniť, pretože nie každý veľký projekt pozostáva z dodania viacerých funkčných celkov. Druhý možný výklad je ten, že len ten veľký projekt, ktorý pozostáva z dodania viacerých funkčných celkov, musí byť rozdelený na čiastkové plnenia. Máme za to, že doplnením navrhovaného textu dôjde k žiadúcemu precizovaniu navrhovaného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21.9.2025 v sídle MIRRI SR.</w:t>
              <w:br/>
            </w:r>
            <w:r>
              <w:rPr>
                <w:b w:val="off"/>
                <w:color w:val="000000"/>
                <w:rFonts w:ascii="Times New Roman" w:hAnsi="Times New Roman" w:cs="Times New Roman" w:eastAsia="Times New Roman"/>
                <w:sz w:val="24"/>
              </w:rPr>
              <w:t>V danom prípade ide o právnu úpravu, ktorá je účinná od roku 2019 a v projektovom riadení nespôsobuje problémy, preto predkladateľ nevidí dôvod ju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21 (§ 15 ods. 2)</w:t>
              <w:br/>
            </w:r>
            <w:r>
              <w:rPr>
                <w:b w:val="off"/>
                <w:color w:val="000000"/>
                <w:rFonts w:ascii="Times New Roman" w:hAnsi="Times New Roman" w:cs="Times New Roman" w:eastAsia="Times New Roman"/>
                <w:sz w:val="24"/>
              </w:rPr>
              <w:t>V § 15 ods. 2 písm. i) žiadame na konci pripojiť tieto slová: „ak orgán vedenia do 20 pracovných dní odo dňa predloženia veľkého projektu nevyjadrí nesúhlas s jeho schválením, platí, že veľký projekt schválil v predloženom znení,“. Uvedené doplnenie žiadame z dôvodu zachovania kontinuity procesu a časovej predvídateľnosti pri realizácii veľkých projektov a tiež z dôvodu zavedenia porovnateľnej fikcie schválenia ako sa navrhuje napríklad v písmene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Rozpor prerokovaný dňa 21.8.2025 v sídle MIRRI SR.</w:t>
              <w:br/>
            </w:r>
            <w:r>
              <w:rPr>
                <w:b w:val="off"/>
                <w:color w:val="000000"/>
                <w:rFonts w:ascii="Times New Roman" w:hAnsi="Times New Roman" w:cs="Times New Roman" w:eastAsia="Times New Roman"/>
                <w:sz w:val="24"/>
              </w:rPr>
              <w:t>Pripomienku nie je možné akceptovať, keďže prezumpcia správnosti a kvality podkladov spracúvaných a predkladaných zo strany orgánov riadenia nie je pri schvaľovaní veľkého projektu z pohľadu predkladateľa ako orgánu vedenia prípustná. Pripomienky orgánu vedenia sú v rámci procesu schvaľovania kľúčové.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29 [§ 17 ods. 2 písm. c)]</w:t>
              <w:br/>
            </w:r>
            <w:r>
              <w:rPr>
                <w:b w:val="off"/>
                <w:color w:val="000000"/>
                <w:rFonts w:ascii="Times New Roman" w:hAnsi="Times New Roman" w:cs="Times New Roman" w:eastAsia="Times New Roman"/>
                <w:sz w:val="24"/>
              </w:rPr>
              <w:t>V § 17 ods. 2 písm. c) žiadame vypustiť slová „elektronicky automatizovaným spôsobom“. Z návrhu nie je zrejmý spôsob výkonu tejto povinnosti, pričom jej zavedenie si bude vyžadovať úpravu všetkých informačných systémov z ktorých sa bude požadovať automatizovaný elektronický zber monitorovaných údajov, čo si okrem iného vyžiada aj dodatočné náklady, ktoré nie sú nijak vyčíslené. Z návrhu nie je zrejmý prínos takto získaných údajov vo vzťahu k nákladom vynaloženým na ich získanie.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35 (§ 23 ods. 3)</w:t>
              <w:br/>
            </w:r>
            <w:r>
              <w:rPr>
                <w:b w:val="off"/>
                <w:color w:val="000000"/>
                <w:rFonts w:ascii="Times New Roman" w:hAnsi="Times New Roman" w:cs="Times New Roman" w:eastAsia="Times New Roman"/>
                <w:sz w:val="24"/>
              </w:rPr>
              <w:t xml:space="preserve">V § 23 ods. 3 žiadame vypustiť písmeno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Bezpečnostné projekty obsahujú citlivé informácie o rizikách a zraniteľnostiach informačných systémov verejnej správy. Prípadné poskytovanie týchto dokumentov orgánu vedenia (a ich centralizáciu) vnímame ako bezpečnostné riziko. V predloženom materiáli chýba odôvodnenie navrhovaného riešenia.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základe rozporového konania, ktoré sa konalo dňa 21.9.2025 v sídle MIRRI SR.</w:t>
              <w:br/>
            </w:r>
            <w:r>
              <w:rPr>
                <w:b w:val="off"/>
                <w:color w:val="000000"/>
                <w:rFonts w:ascii="Times New Roman" w:hAnsi="Times New Roman" w:cs="Times New Roman" w:eastAsia="Times New Roman"/>
                <w:sz w:val="24"/>
              </w:rPr>
              <w:t xml:space="preserve">Uvedené ustanovenie súvisí aj s novelou vyhlášky č. 401/2023 Z. z., konkrétne s projektovým riadením, kde je  upravené predkladanie  bezpečnostného projektu ako jedného z výstupov realizačnej fázy projektu orgánu vedenia a to v prípade, keď má orgán riadenia povinnosť tento bezpečnostný projekt vyhotoviť. </w:t>
              <w:br/>
            </w:r>
            <w:r>
              <w:rPr>
                <w:b w:val="off"/>
                <w:color w:val="000000"/>
                <w:rFonts w:ascii="Times New Roman" w:hAnsi="Times New Roman" w:cs="Times New Roman" w:eastAsia="Times New Roman"/>
                <w:sz w:val="24"/>
              </w:rPr>
              <w:t>V tejto vyhláške budú špecifikované požadované informácie aj kde sa budú zbierať.</w:t>
              <w:br/>
            </w:r>
            <w:r>
              <w:rPr>
                <w:b w:val="off"/>
                <w:color w:val="000000"/>
                <w:rFonts w:ascii="Times New Roman" w:hAnsi="Times New Roman" w:cs="Times New Roman" w:eastAsia="Times New Roman"/>
                <w:sz w:val="24"/>
              </w:rPr>
              <w:t>Orgán vedenia chce mať zavedením tejto zákonnej povinnosti predkladania bezpečnostných projektov jemu na schválenie možnosť mať pod dohľadom, či sú všetky požiadavky obsiahnuté vo vyhláške a v metodike splnené. Zároveň tým, že je orgánom vedenia musí mať možnosť zásahu v prípade, že dôjde k pochybeniu prípadne nedodržaniu prijatých požiadaviek. Orgán vedenia zo svojej pozície zabezpečí maximálnu bezpečnosť pri posudzovaní týchto bezpečnostných projektov tak, aby nedošlo k žiadnemu bezpečnostnému riziku pri procese jeho sprístupnenia orgánu vedenia. Zavedená povinnosť je založená na kontrole prijímania  a vypracovania bezpečnostných projektov zo strany orgánov riadenia, vrátane dodržania metodiky.</w:t>
              <w:br/>
            </w:r>
            <w:r>
              <w:rPr>
                <w:b w:val="off"/>
                <w:color w:val="000000"/>
                <w:rFonts w:ascii="Times New Roman" w:hAnsi="Times New Roman" w:cs="Times New Roman" w:eastAsia="Times New Roman"/>
                <w:sz w:val="24"/>
              </w:rPr>
              <w:t>Cieľom tohto riešenia bolo aj to, aby orgán vedenia zistil, keď orgán riadenia nevytvoril bezpečnostný projekt, hoci v danom momente už vytvorený byť mal. Porušenie tejto povinnosti je potrebné zistiť včas.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35 (§ 23 ods. 3)</w:t>
              <w:br/>
            </w:r>
            <w:r>
              <w:rPr>
                <w:b w:val="off"/>
                <w:color w:val="000000"/>
                <w:rFonts w:ascii="Times New Roman" w:hAnsi="Times New Roman" w:cs="Times New Roman" w:eastAsia="Times New Roman"/>
                <w:sz w:val="24"/>
              </w:rPr>
              <w:t>V § 23 žiadame prehodnotiť odsek 3 a zosúladiť jeho znenie so zákonom č. 69/2018 Z. z. o kybernetickej bezpečnosti a o zmene a doplnení niektorých zákonov v znení neskorších predpisov (ďalej len „zákon o kybernetickej bezpečnosti“) tak, aby boli odstránené duplicitné ustanovenia. V § 23 ods. 3 písm. a) sa ustanovuje povinnosť správcu nahlasovať kybernetický bezpečnostný incident aj vtedy, ak sa naň nevzťahuje povinnosť nahlasovania podľa zákona o kybernetickej bezpečnosti a zároveň sa vo vzťahu k závažným kybernetickým incidentom zavádza ohlasovacia povinnosť, ktorá je už ustanovená v § 24 zákona o kybernetickej bezpečnosti. Navrhované znenie § 23 ods. 3 písm. b) a c) o riešení bezpečnostného incidentu a prijímaní bezpečnostných opatrení je duplicitné s § 19 ods. 6 zákona o kybernetickej bezpečnosti. Navrhované znenie § 23 ods. 3 písm. d) o vedení evidencie kybernetických bezpečnostných incidentov a vedení evidencie postupov na riešenie kybernetických bezpečnostných incidentov je duplicitné s § 20 ods. 4 písm. c) a d) zákona o kybernetickej bezpečnosti.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21.9.2025 v sídle MIRRI SR.</w:t>
              <w:br/>
            </w:r>
            <w:r>
              <w:rPr>
                <w:b w:val="off"/>
                <w:color w:val="000000"/>
                <w:rFonts w:ascii="Times New Roman" w:hAnsi="Times New Roman" w:cs="Times New Roman" w:eastAsia="Times New Roman"/>
                <w:sz w:val="24"/>
              </w:rPr>
              <w:t>Ustanovenie nadväzuje na existujúcu právnu úpravu, kedy všetky orgány riadenia, ktoré sú PZS boli povinní hlásiť každý KBI na NBÚ (SK CERT) a všetky orgány riadenia, ktoré nie sú PZS, hlásili povinne každý KBI na VJ CSIRT. Navrhované ustanovenie toto zjednocuje aj na základe skutočnosti, že zákon je sektorovým právnym predpisom. Prostredníctvom funkcionality JISKB predpokladáme možnosť splniť si túto povinnosť bez toho, aby sa to vnímalo ako administratívna záťaž. Zároveň platí, že pripomienkované ustanovenia boli už súčasťou aj súčasného znenia zákona, bolo zmenené len ich poradie a niektoré ustanovenia boli mierne aktualizované.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35 (§ 23 ods. 3)</w:t>
              <w:br/>
            </w:r>
            <w:r>
              <w:rPr>
                <w:b w:val="off"/>
                <w:color w:val="000000"/>
                <w:rFonts w:ascii="Times New Roman" w:hAnsi="Times New Roman" w:cs="Times New Roman" w:eastAsia="Times New Roman"/>
                <w:sz w:val="24"/>
              </w:rPr>
              <w:t xml:space="preserve">V § 23 ods. 3 žiadame vypustiť písmeno 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centralizácia zoznamu aktív predstavuje významné bezpečnostné riziko.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21.9.2025 v sídle MIRRI SR.</w:t>
              <w:br/>
            </w:r>
            <w:r>
              <w:rPr>
                <w:b w:val="off"/>
                <w:color w:val="000000"/>
                <w:rFonts w:ascii="Times New Roman" w:hAnsi="Times New Roman" w:cs="Times New Roman" w:eastAsia="Times New Roman"/>
                <w:sz w:val="24"/>
              </w:rPr>
              <w:t>Ide o pôvodné ustanovenie zákona, zmenilo sa len poradie jednotlivých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35 (§ 23 ods. 3)</w:t>
              <w:br/>
            </w:r>
            <w:r>
              <w:rPr>
                <w:b w:val="off"/>
                <w:color w:val="000000"/>
                <w:rFonts w:ascii="Times New Roman" w:hAnsi="Times New Roman" w:cs="Times New Roman" w:eastAsia="Times New Roman"/>
                <w:sz w:val="24"/>
              </w:rPr>
              <w:t xml:space="preserve">V § 23 ods. 3 žiadame vypustiť písmeno i). </w:t>
              <w:br/>
            </w:r>
            <w:r>
              <w:rPr>
                <w:b w:val="off"/>
                <w:color w:val="000000"/>
                <w:rFonts w:ascii="Times New Roman" w:hAnsi="Times New Roman" w:cs="Times New Roman" w:eastAsia="Times New Roman"/>
                <w:sz w:val="24"/>
              </w:rPr>
              <w:t>Máme za to, že zasielanie požadovaných informácií a ich centralizácia predstavuje významné bezpečnostné riziko.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21.9.2025 v sídle MIRRI SR.</w:t>
              <w:br/>
            </w:r>
            <w:r>
              <w:rPr>
                <w:b w:val="off"/>
                <w:color w:val="000000"/>
                <w:rFonts w:ascii="Times New Roman" w:hAnsi="Times New Roman" w:cs="Times New Roman" w:eastAsia="Times New Roman"/>
                <w:sz w:val="24"/>
              </w:rPr>
              <w:t>Ide o aktualizované pôvodné ustanovenie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39 (§ 23a ods. 3)</w:t>
              <w:br/>
            </w:r>
            <w:r>
              <w:rPr>
                <w:b w:val="off"/>
                <w:color w:val="000000"/>
                <w:rFonts w:ascii="Times New Roman" w:hAnsi="Times New Roman" w:cs="Times New Roman" w:eastAsia="Times New Roman"/>
                <w:sz w:val="24"/>
              </w:rPr>
              <w:t>Žiadame upresniť oprávnenie „využiť automatizované nástroje na spracúvanie údajov“. Z návrhu nie je zrejmé, či využitie automatizovaných nástrojov na spracúvanie údajov je realizované v rámci infraštruktúry orgánu vedenia alebo v rámci infraštruktúry orgánu 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základe rozporového konania dňa 21.9.2025 v sídle MIRRI SR.</w:t>
              <w:br/>
            </w:r>
            <w:r>
              <w:rPr>
                <w:b w:val="off"/>
                <w:color w:val="000000"/>
                <w:rFonts w:ascii="Times New Roman" w:hAnsi="Times New Roman" w:cs="Times New Roman" w:eastAsia="Times New Roman"/>
                <w:sz w:val="24"/>
              </w:rPr>
              <w:t>Zo znenia § 23a odsek 3 je zrejmé, že ide o oprávnenie orgánu vedenia, ktoré z povahy veci, ako štátny orgán, realizuje nástrojmi, ku ktorým disponuje príslušnými právami. Ide o použitie na úrovni MIRRI – VJ CSIRT, teda na úrovni infraštruktúry a sietí kde  MIRRI má oprávnenie zo zákona resp. kde je dohoda s orgánom riadenia, napr. pri skenovaní sietí a IS orgánov riadenia – možnosti sú otvorené podľa dostupných nástrojov.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bodom 43 a 44 (§ 29)</w:t>
              <w:br/>
            </w:r>
            <w:r>
              <w:rPr>
                <w:b w:val="off"/>
                <w:color w:val="000000"/>
                <w:rFonts w:ascii="Times New Roman" w:hAnsi="Times New Roman" w:cs="Times New Roman" w:eastAsia="Times New Roman"/>
                <w:sz w:val="24"/>
              </w:rPr>
              <w:t xml:space="preserve">Body 43 a 44 žiadame vypustiť alebo primerane upraviť. </w:t>
              <w:br/>
            </w:r>
            <w:r>
              <w:rPr>
                <w:b w:val="off"/>
                <w:color w:val="000000"/>
                <w:rFonts w:ascii="Times New Roman" w:hAnsi="Times New Roman" w:cs="Times New Roman" w:eastAsia="Times New Roman"/>
                <w:sz w:val="24"/>
              </w:rPr>
              <w:t>Vychádzajúc z platného znenia § 29 ods. 1 písm. d), podľa ktorého orgán vedenia uloží pokutu od 125 eur do 5 000 eur orgánu riadenia alebo osvedčujúcej osobe, ak poruší inú povinnosť podľa tohto zákona, ako je uvedená v písmenách a) až c), nevidíme opodstatnenie navrhovanej špeciálnej úpravy skutkových podstát správnych deliktov podľa navrhovaného § 29 ods. 2 a ani opodstatnenie zvyšovania sadzieb pokút. Navrhované sankcie pokladáme za neprimerané a nezohľadňujú princípy správneho trestania. Napríklad podľa platného znenia § 29 ods. 1 písm. c) druhého bodu orgán vedenia v prípade porušenia povinnosti  predložiť veľký projekt podľa § 15 ods. 4 písm. e) uloží pokutu od 250 eur do 25 000 eur. Podľa navrhovaného znenia § 29 ods. 2 písm. a) orgán vedenia v prípade porušenia povinnosti predložiť veľký projekt podľa § 15 ods. 2 písm. i) uloží pokutu  od 10 000 eur do 250 000 eur. Podľa princípu proporcionality sa majú ukladať pokuty len v rozsahu nevyhnutnom na dosiahnutie sledovaného cieľa. Prejavom princípu proporcionality v správnom trestaní je aj vyhýbanie sa ukladaniu likvidačných sankcií. V praxi môže nastať situácia, kedy naplnenie znakov skutkovej podstaty správneho deliktu nastane bez pričinenia zodpovednej osoby, napriek tomu bude zodpovednej osobe hroziť neprimerane vysoká pokuta.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21.9.2025 v sídle MIRRI SR.</w:t>
              <w:br/>
            </w:r>
            <w:r>
              <w:rPr>
                <w:b w:val="off"/>
                <w:color w:val="000000"/>
                <w:rFonts w:ascii="Times New Roman" w:hAnsi="Times New Roman" w:cs="Times New Roman" w:eastAsia="Times New Roman"/>
                <w:sz w:val="24"/>
              </w:rPr>
              <w:t>Zákon o ITVS neupravuje žiadne liberácie ani dôvody, ktoré by predpokladali oslobodenie správcu od zodpovednosti za správny delikt v rámci správneho konania.</w:t>
              <w:br/>
            </w:r>
            <w:r>
              <w:rPr>
                <w:b w:val="off"/>
                <w:color w:val="000000"/>
                <w:rFonts w:ascii="Times New Roman" w:hAnsi="Times New Roman" w:cs="Times New Roman" w:eastAsia="Times New Roman"/>
                <w:sz w:val="24"/>
              </w:rPr>
              <w:t xml:space="preserve">Administratívnoprávna zodpovednosť za správny delikt podľa ustanovení zákona o ITVS je konštruovaná na objektívnom princípe zodpovednosti. </w:t>
              <w:br/>
            </w:r>
            <w:r>
              <w:rPr>
                <w:b w:val="off"/>
                <w:color w:val="000000"/>
                <w:rFonts w:ascii="Times New Roman" w:hAnsi="Times New Roman" w:cs="Times New Roman" w:eastAsia="Times New Roman"/>
                <w:sz w:val="24"/>
              </w:rPr>
              <w:t>To znamená, že pri splnení zákonom stanovenej skutkovej podstaty správneho deliktu MIRRI SR ako správny orgán nepreskúmava subjektívnu stránku porušenia (ako je úmysel alebo nedbanlivosť), ale posudzuje výlučne rozpor medzi právnym stavom a stavom skutočným na základe predložených dôkazov a podkladov.</w:t>
              <w:br/>
            </w:r>
            <w:r>
              <w:rPr>
                <w:b w:val="off"/>
                <w:color w:val="000000"/>
                <w:rFonts w:ascii="Times New Roman" w:hAnsi="Times New Roman" w:cs="Times New Roman" w:eastAsia="Times New Roman"/>
                <w:sz w:val="24"/>
              </w:rPr>
              <w:t>Zavinenie správcu nie je podmienkou pre vznik zodpovednosti, pričom subjektívny prístup k zavineniu sa uplatňuje iba pri určovaní druhu a výšky sankcie.</w:t>
              <w:br/>
            </w:r>
            <w:r>
              <w:rPr>
                <w:b w:val="off"/>
                <w:color w:val="000000"/>
                <w:rFonts w:ascii="Times New Roman" w:hAnsi="Times New Roman" w:cs="Times New Roman" w:eastAsia="Times New Roman"/>
                <w:sz w:val="24"/>
              </w:rPr>
              <w:t>Konanie o správnych deliktoch je sankčné, pretože jeho cieľom je postih porušenia práva a ochrana verejného poriadku prostredníctvom sankcie.</w:t>
              <w:br/>
            </w:r>
            <w:r>
              <w:rPr>
                <w:b w:val="off"/>
                <w:color w:val="000000"/>
                <w:rFonts w:ascii="Times New Roman" w:hAnsi="Times New Roman" w:cs="Times New Roman" w:eastAsia="Times New Roman"/>
                <w:sz w:val="24"/>
              </w:rPr>
              <w:t xml:space="preserve">MIRRI SR sa v sankčnom konaní zaoberá všetkými hľadiskami. Rovnako už súčasná právna úprava s prihliadnutím na okolnosti uvedené v § 29 ods. 3 (po novele § 29 ods. 4) zákona o ITVS umožňuje upustiť od uloženia pokuty. </w:t>
              <w:br/>
            </w:r>
            <w:r>
              <w:rPr>
                <w:b w:val="off"/>
                <w:color w:val="000000"/>
                <w:rFonts w:ascii="Times New Roman" w:hAnsi="Times New Roman" w:cs="Times New Roman" w:eastAsia="Times New Roman"/>
                <w:sz w:val="24"/>
              </w:rPr>
              <w:t xml:space="preserve">Podľa názoru predkladateľa sú navrhované sadzby pokút sú stanovené tak, aby efektívne reflektovali závažnosť porušení, pričom sú primerané a nevedú k likvidačným sankciám. </w:t>
              <w:br/>
            </w:r>
            <w:r>
              <w:rPr>
                <w:b w:val="off"/>
                <w:color w:val="000000"/>
                <w:rFonts w:ascii="Times New Roman" w:hAnsi="Times New Roman" w:cs="Times New Roman" w:eastAsia="Times New Roman"/>
                <w:sz w:val="24"/>
              </w:rPr>
              <w:t xml:space="preserve">Striktný režim zodpovednosti slúži ako preventívny mechanizmus na zabezpečenie riadneho plnenia povinností a minimalizáciu rizík spojených s nesprávnym alebo nedostatočným riadením IT projektov, ktoré môžu mať vážne dopady na bezpečnosť a fungovanie verejnej správy. </w:t>
              <w:br/>
            </w:r>
            <w:r>
              <w:rPr>
                <w:b w:val="off"/>
                <w:color w:val="000000"/>
                <w:rFonts w:ascii="Times New Roman" w:hAnsi="Times New Roman" w:cs="Times New Roman" w:eastAsia="Times New Roman"/>
                <w:sz w:val="24"/>
              </w:rPr>
              <w:t>Z dôvodovej správy jasne vyplýva účel, pre ktorý sa navrhuje upraviť výšku pokút a doplniť samostatné skutkové podstaty pre delikty na úseku riadenia projektov. Ich cieľom je zohľadniť cenu projektu a v tejto súvislosti aj dôraz na plnenie povinností v tejto oblasti.</w:t>
              <w:br/>
            </w:r>
            <w:r>
              <w:rPr>
                <w:b w:val="off"/>
                <w:color w:val="000000"/>
                <w:rFonts w:ascii="Times New Roman" w:hAnsi="Times New Roman" w:cs="Times New Roman" w:eastAsia="Times New Roman"/>
                <w:sz w:val="24"/>
              </w:rPr>
              <w:t>Súčasná právna úprava nedostatočným spôsobom zohľadňuje hodnotu, resp. celkovú sumu projektov týkajúcich sa informačných technológií verejnej správy, ktorých cena je rádovo vyššia ako horná hranica sadzby pokuty za správny delikt podľa § 29 ods. 1 písm. d).</w:t>
              <w:br/>
            </w:r>
            <w:r>
              <w:rPr>
                <w:b w:val="off"/>
                <w:color w:val="000000"/>
                <w:rFonts w:ascii="Times New Roman" w:hAnsi="Times New Roman" w:cs="Times New Roman" w:eastAsia="Times New Roman"/>
                <w:sz w:val="24"/>
              </w:rPr>
              <w:t>Uvedené je tiež možné vyvodiť aj z predloženej pripomienky.</w:t>
              <w:br/>
            </w:r>
            <w:r>
              <w:rPr>
                <w:b w:val="off"/>
                <w:color w:val="000000"/>
                <w:rFonts w:ascii="Times New Roman" w:hAnsi="Times New Roman" w:cs="Times New Roman" w:eastAsia="Times New Roman"/>
                <w:sz w:val="24"/>
              </w:rPr>
              <w:t>Súčasná právna úprava správnych deliktov na tomto úseku preto neplní svoju preventívnu ani odstrašujúcu funkciu, ktoré sú predpokladom toho, aby orgány riadenia plnili povinnosti vyplývajúce zo zákona a neobchádzali ich.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Do čl. I žiadame doplniť novelizačný bod, ktorým sa v § 15 ods. 5 (terajší § 15 ods. 7) na konci druhej vety vloží bodkočiarka a slová „ak orgán vedenia do 20 pracovných dní odo dňa predloženia veľkej zmenovej požiadavky nevyjadrí nesúhlas, platí, že veľkú zmenovú požiadavku schválil v predloženom znení“. Uvedené doplnenie žiadame z dôvodu zachovania kontinuity procesu a časovej predvídateľnosti pri realizácii veľkej zmenovej požiadavky, a tiež z dôvodu zavedenia porovnateľnej fikcie ako je navrhovaná v § 15 ods. 2 písm.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Rozpor prerokovaný dňa 21.8.2025 v sídle MIRRI SR.</w:t>
              <w:br/>
            </w:r>
            <w:r>
              <w:rPr>
                <w:b w:val="off"/>
                <w:color w:val="000000"/>
                <w:rFonts w:ascii="Times New Roman" w:hAnsi="Times New Roman" w:cs="Times New Roman" w:eastAsia="Times New Roman"/>
                <w:sz w:val="24"/>
              </w:rPr>
              <w:t>Pripomienku nie je možné akceptovať, keďže prezumpcia správnosti a kvality podkladov spracúvaných a predkladaných zo strany orgánov riadenia nie je pri schvaľovaní veľkej zmenovej požiadavky z pohľadu predkladateľa ako orgánu vedenia prípustná. Pripomienky orgánu vedenia sú v rámci procesu schvaľovania kľúčové.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Do čl. I žiadame doplniť novelizačný bod, ktorým sa v § 16 ods. 3 písm. f) za slovo „schválení“ vloží bodkočiarka a slová „ak orgán vedenia do 20 pracovných dní odo dňa predloženia veľkej zmluvy v prevádzke nevyjadrí nesúhlas, platí, že veľkú zmluvu v prevádzke schválil v predloženom znení“. Uvedené doplnenie žiadame z dôvodu zachovania kontinuity procesu a časovej predvídateľnosti pri realizácii veľkých zmlúv v prevádzke, a tiež z dôvodu zavedenia porovnateľnej fikcie ako je navrhovaná v § 15 ods. 2 písm.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Rozpor prerokovaný dňa 21.8.2025 v sídle MIRRI SR.</w:t>
              <w:br/>
            </w:r>
            <w:r>
              <w:rPr>
                <w:b w:val="off"/>
                <w:color w:val="000000"/>
                <w:rFonts w:ascii="Times New Roman" w:hAnsi="Times New Roman" w:cs="Times New Roman" w:eastAsia="Times New Roman"/>
                <w:sz w:val="24"/>
              </w:rPr>
              <w:t>Pripomienku nie je možné akceptovať, keďže prezumpcia správnosti a kvality podkladov spracúvaných a predkladaných zo strany orgánov riadenia nie je pri schvaľovaní veľkej zmluvy v prevádzke z pohľadu predkladateľa ako orgánu vedenia prípustná. Pripomienky orgánu vedenia sú v rámci procesu schvaľovania kľúčové.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12 § 12 ods. 1 písm. b) siedmom bode slová „k používaniu“ nahradiť slovami „na používanie“, v bode 14 vypustiť slová „informačných technológií“ vzhľadom na zvadenú legislatívnu skratku, v bode 16 za slová „ods. 6“ vložiť slová „prvej vete“, v bode 17 za slová „ods. 5“ vložiť slová „druhej vete“, v bode 21 § 15 ods. 2 písm. a) slovo „pre“ nahradiť slovom „upravujúci“, v bode 30 § 18 ods. 2 odkaz 20 nahradiť odkazom 2a a vypustiť poznámku pod čiarou k odkazu 20, v bode 33 § 23 ods. 1 písm. d) za slovo „technickej“ vložiť slovo „dokumentácie“, v bode 35 § 23 ods. 3 písm. c) slovo „technológii“ nahradiť slovom „technológií“, na konci bodu 35 pripojiť túto vetu: „Poznámka pod čiarou k odkazu 26 sa vypúšťa.“, v súvislosti s vložením nového odseku 2 v § 29 v bode 44 je potrebné upraviť vnútorný odkaz v § 29 ods. 2 platného znenia zákona, v bode 45 § 30 ods. 1 prvej vete slová „správu majetku štátu37a) k informačnému systému“ nahradiť slovami „správu37a) informačného systému“, v poznámke pod čiarou k odkazu 37a slová „neskorších predpisov“ nahradiť slovami „zákona č. 72/1999 Z. z.“, v čl. III úvodnej vete za slovo „sa“ vložiť slová „mení a“, v bode 5 nadpise § 190d slovo „ustanovenia“ nahradiť slovom „ustanovenie“, v čl. IV bode 4 § 17 ods. 3 zosúladiť písmeno c) s úvodnou vetou odseku 3, v čl. V vypustiť nadpis „Účinnosť“ ako nadbytočný).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bodoch 16 a 17 sa nepridal odkaz na príslušné vety, keďže na vety sa odkazuje len ak je to nevyhnutné. V predmetných novelizačných bodoch sa nahrádzané slová vyskytujú len raz. Ani samotné odseky nie sú rozsiahle do takej miery, aby bolo potrebné zvážiť špecifikovanie viet aspoň z dôvodu prehľadnosti.</w:t>
              <w:br/>
            </w:r>
            <w:r>
              <w:rPr>
                <w:b w:val="off"/>
                <w:color w:val="000000"/>
                <w:rFonts w:ascii="Times New Roman" w:hAnsi="Times New Roman" w:cs="Times New Roman" w:eastAsia="Times New Roman"/>
                <w:sz w:val="24"/>
              </w:rPr>
              <w:t>V bode 30 § 18 ods. 2 sa odkaz 20 nenahradil odkazom 2a, ale sa vypustil v súlade s bodom 22.3 prílohy č. 1 k LPV SR.</w:t>
              <w:br/>
            </w:r>
            <w:r>
              <w:rPr>
                <w:b w:val="off"/>
                <w:color w:val="000000"/>
                <w:rFonts w:ascii="Times New Roman" w:hAnsi="Times New Roman" w:cs="Times New Roman" w:eastAsia="Times New Roman"/>
                <w:sz w:val="24"/>
              </w:rPr>
              <w:t>V bode 45 § 30 ods. 1 prvej vete sa slová „správu majetku štátu37a) k informačnému systému vo vlastníctve Slovenskej republiky“ nahradili slovami „správu majetku štátu,37a) ktorým je informačný systém“ z dôvodu, že predmetný zákon používa termín správa informačného systému v  inom význame ako zákon č. 278/1993 Z. z. o správe majetku štátu, ktorý v § 3 ods. 1 definuje „správu majetku štátu“ a nie „správu“.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 [§ 6 ods. 1 písm. d)]</w:t>
              <w:br/>
            </w:r>
            <w:r>
              <w:rPr>
                <w:b w:val="off"/>
                <w:color w:val="000000"/>
                <w:rFonts w:ascii="Times New Roman" w:hAnsi="Times New Roman" w:cs="Times New Roman" w:eastAsia="Times New Roman"/>
                <w:sz w:val="24"/>
              </w:rPr>
              <w:t>V návrhu zákona alebo v dôvodovej správe odporúčame upresniť pojem „odolné prostredie informačných technológii“. Podľa dôvodovej správy ide o vyjadrenie požiadavky bezpečnosti. Takéto odôvodnenie nepovažujeme za dostatočné, pretože nie je zrejmé, kedy sa prostredie informačných technológii považuje za bezpečné, čiže odolné. Aj v súčasnosti sa pri tvorbe a správe informačných systémov prihliada na bezpečnosť. Uvedeným pojmom predkladateľ sledoval určitý zámer, ktorý však z predloženého materiálu nie je zrejmý.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doplnená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10 (§ 8)</w:t>
              <w:br/>
            </w:r>
            <w:r>
              <w:rPr>
                <w:b w:val="off"/>
                <w:color w:val="000000"/>
                <w:rFonts w:ascii="Times New Roman" w:hAnsi="Times New Roman" w:cs="Times New Roman" w:eastAsia="Times New Roman"/>
                <w:sz w:val="24"/>
              </w:rPr>
              <w:t>V § 8 ods. 4 odporúčame upresniť pojem „orgán, ktorý vykonáva pôsobnosť v oblastiach týkajúcich sa systémov AI, dátového manažmentu a použitia údajov vo verejnej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19 (§ 13b)</w:t>
              <w:br/>
            </w:r>
            <w:r>
              <w:rPr>
                <w:b w:val="off"/>
                <w:color w:val="000000"/>
                <w:rFonts w:ascii="Times New Roman" w:hAnsi="Times New Roman" w:cs="Times New Roman" w:eastAsia="Times New Roman"/>
                <w:sz w:val="24"/>
              </w:rPr>
              <w:t>V § 13b ods. 2 prvej vete odporúčame vypustiť slovo „neprimerané", pretože je zavádzajúce a evokuje pripustenie primeraného rizika neoprávneného zásahu do základných práv a slobôd alebo iných práv a právom chránených záujmov orgánom riadenia pri používaní systému AI.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19 (§ 13b)</w:t>
              <w:br/>
            </w:r>
            <w:r>
              <w:rPr>
                <w:b w:val="off"/>
                <w:color w:val="000000"/>
                <w:rFonts w:ascii="Times New Roman" w:hAnsi="Times New Roman" w:cs="Times New Roman" w:eastAsia="Times New Roman"/>
                <w:sz w:val="24"/>
              </w:rPr>
              <w:t>V § 13b ods. 3 odporúčame doplniť spôsob a formu zverejňovania informácií podľa prvej vety, pretože účel a funkcia použitia systému AI sa môžu v čase dynamicky meniť.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35 (§ 23 ods. 3)</w:t>
              <w:br/>
            </w:r>
            <w:r>
              <w:rPr>
                <w:b w:val="off"/>
                <w:color w:val="000000"/>
                <w:rFonts w:ascii="Times New Roman" w:hAnsi="Times New Roman" w:cs="Times New Roman" w:eastAsia="Times New Roman"/>
                <w:sz w:val="24"/>
              </w:rPr>
              <w:t>V § 23 ods. 3 písm. f) odporúčame z dôvodu zjednodušenia postupu nahlasovania zraniteľností v aplikačnej praxi za slovo „svojom“ vložiť slovo „hlavnom“ a za slovo „pravidlá“ vložiť slová „a kontaktný bod“.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upresnenie, že ide o „hlavné“ webové sídlo. Zmienku o „kontaktnom bode“ nepovažujeme za potrebnú, kontaktný bod je bežne súčasťou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V súvislosti s čl. I bodom 45 § 30 ods. 1 odporúčame zvážiť doplnenie osobitnej právnej úpravy prevodu správy informačného systému, ktorý je prebytočným majetkom štátu (odlišnej od zákona NR SR č. 278/1993 Z. z. o správe majetku štátu v znení neskorších predpisov). Uvedené ustanovenie osobitne upravuje možnosť prevodu informačného systému ako majetku štátu, aj keď nie je prebytočným majetkom štátu. Aj z dôvodu neprebytočnosti sa na takýto prevod správy informačného systému nebude vzťahovať povinnosť ponukového konania podľa § 8 zákona NR SR č. 278/1993 Z. z. o správe majetku štátu v znení neskorších predpisov. Návrh zákona však explicitne neupravuje, či sa napríklad na prevod správy prebytočného informačného systému vzťahuje povinnosť vykonať ponukové konanie, resp. povinnosť vydania rozhodnutia o prebytočnosti majetku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predkladateľ nepovažuje za nevyhnutné v zákone upraviť osobitný režim aj pri prevode správy IS, ktorý je prebytočným majetkom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za slovo „sa“ vložiť slová „mení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 III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xml:space="preserve">K Čl. III </w:t>
              <w:br/>
            </w:r>
            <w:r>
              <w:rPr>
                <w:b w:val="off"/>
                <w:color w:val="000000"/>
                <w:rFonts w:ascii="Times New Roman" w:hAnsi="Times New Roman" w:cs="Times New Roman" w:eastAsia="Times New Roman"/>
                <w:sz w:val="24"/>
              </w:rPr>
              <w:t xml:space="preserve">Žiadame z predloženého návrhu zákona bez náhrady vypustiť Článok III, ktorým sa navrhuje novelizácia zákona č. 185/2015 Z. z. Autorský zákon v znení neskorších predpisov (ďalej len „Autorský zákon“).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úvod si dovoľujeme uviesť, že predbežná informácia (dostupná v systéme Slov-lex pod označením PI/2024/154) neobsahovala informáciu, že cieľom predmetnej právnej úpravy – návrhu zákona má byť aj novelizácia Autorského zákona. Z dôvodu, že novelizácia Autorského zákona nebola v predbežnej informácii predpokladaná, nedošlo k žiadnym konzultáciám s gestorom Autorského zákona, ktorým je Ministerstvo kultúry SR. Ďalej konštatujeme, že takáto novelizácia Autorského zákona nevyplýva ani z potreby implementácie európskych právnych aktov (ani z transpozície smernice Európskeho parlamentu a Rady (EÚ) 2022/2555 zo 14. decembra 2022 o opatreniach na zabezpečenie vysokej spoločnej úrovne kybernetickej bezpečnosti v Únii, rovnako ako ani z potreby zosúladenia právnej úpravy s Aktom o umelej inteligencii – nariadením Európskeho parlamentu a Rady (EÚ) 2024/1689 z 13. júna 2024, ktorým sa stanovujú harmonizované pravidlá v oblasti umelej inteligencie) ani z vnútroštátnych úloh (napr. z Plánu legislatívnych úloh vlády Slovenskej republiky na rok 2024). </w:t>
              <w:br/>
            </w:r>
            <w:r>
              <w:rPr>
                <w:b w:val="off"/>
                <w:color w:val="000000"/>
                <w:rFonts w:ascii="Times New Roman" w:hAnsi="Times New Roman" w:cs="Times New Roman" w:eastAsia="Times New Roman"/>
                <w:sz w:val="24"/>
              </w:rPr>
              <w:t xml:space="preserve">Článok III návrhu zákona, ktorý zavádza do ôsmej hlavy druhej časti Autorského zákona medzi osobitné režimy tvorby nový osobitný režim pre informačnú technológiu verejnej správy, je výrazným zásahom nielen do štruktúry a konceptov/princípov Autorského zákona, ale i do, v súčasnosti už existujúcich, osobitných režimov tvorby v rámci Autorského zákona. </w:t>
              <w:br/>
            </w:r>
            <w:r>
              <w:rPr>
                <w:b w:val="off"/>
                <w:color w:val="000000"/>
                <w:rFonts w:ascii="Times New Roman" w:hAnsi="Times New Roman" w:cs="Times New Roman" w:eastAsia="Times New Roman"/>
                <w:sz w:val="24"/>
              </w:rPr>
              <w:t xml:space="preserve">Predovšetkým sa navrhovaným doplnením § 93a – Informačná technológia verejnej správy (ďalej len „ITVS“) do Autorského zákona zavádza nový rozsiahly a prísny zákonný režim s minimálnou mierou výkonu majetkových i osobnostných práv autora. Autor je teda zásadne a zo zákona obmedzený disponovať/nakladať so svojím dielom alebo databázou, pokiaľ sú ITVS a sú vytvorené pre objednávateľa, ktorým je orgán riadenia. </w:t>
              <w:br/>
            </w:r>
            <w:r>
              <w:rPr>
                <w:b w:val="off"/>
                <w:color w:val="000000"/>
                <w:rFonts w:ascii="Times New Roman" w:hAnsi="Times New Roman" w:cs="Times New Roman" w:eastAsia="Times New Roman"/>
                <w:sz w:val="24"/>
              </w:rPr>
              <w:t xml:space="preserve">Hoci dôvodová správa uvádza ako vzor úpravu zamestnaneckého diela a čiastočne aj úpravu diela na objednávku podľa aktuálneho znenia Autorského zákona, uvedené nemožno porovnávať, a to najmä preto, že v navrhovanom osobitnom režime pre ITVS chýba právny základ, resp. právny titul zakladajúci vznik tohto režimu. Kým v prípade režimu zamestnaneckého diela je to podľa § 90 ods. 1 Autorského zákona pracovnoprávny vzťah alebo obdobný pracovný vzťah (najmä pracovná zmluva) a v prípade diela na objednávku podľa § 91 Autorského zákona je to zmluva o dielo podľa Občianskeho zákonníka, z navrhovaného znenia § 93a vôbec nie je zrejmé a nie je v ňom nijako špecifikované, na základe akého právneho titulu má navrhovaný nový režim vzniknúť (bude základom napr. objednávka na vytvorenie diela, zákazka verejného obstarávania alebo pôjde o iný zmluvný základ?). Ďalej, napriek tomu, že navrhovaný § 93a v ods. 1 stanovuje určité podmienky, keď objednávateľ bude zo zákona vykonávať majetkové práva autora vo svojom mene a na svoj účet, podmienky zmätočne a nejednoznačne „miešajú“ vytvorenie diela alebo databázy a použitie diela alebo databázy (kde by sa bez navrhovaného zákonného režimu vyžadovalo udelenie súhlasu autora – licencie). </w:t>
              <w:br/>
            </w:r>
            <w:r>
              <w:rPr>
                <w:b w:val="off"/>
                <w:color w:val="000000"/>
                <w:rFonts w:ascii="Times New Roman" w:hAnsi="Times New Roman" w:cs="Times New Roman" w:eastAsia="Times New Roman"/>
                <w:sz w:val="24"/>
              </w:rPr>
              <w:t xml:space="preserve">Okrem toho, z hľadiska právnej povahy a vymedzenia tzv. pojmových znakov diela podľa § 3 ods. 1 Autorského zákona je otázne, či ITVS bude spĺňať pojmové znaky diela a bude dielom, alebo pôjde vo väčšine prípadov iba o počítačový program (softvér) alebo databázu. Navyše, rozsah diel alebo databáz, ktoré by navrhovaný § 93a ods. 1 zahŕňal, by mohol byť až neprimerane veľký, a to aj z dôvodu, že dielo alebo databáza by podľa navrhovaného znenia mohli byť dokonca len časti ITVS alebo iba vytvorené na ten účel. Súčasne nie je jasný vzťah medzi ITVS a informačným systémom verejnej správy, špeciálne k počítačovým programom (softvérom) vytvoreným ako informačný systém verejnej správy alebo iným dielam obsiahnutým v informačných systémoch verejnej správy. </w:t>
              <w:br/>
            </w:r>
            <w:r>
              <w:rPr>
                <w:b w:val="off"/>
                <w:color w:val="000000"/>
                <w:rFonts w:ascii="Times New Roman" w:hAnsi="Times New Roman" w:cs="Times New Roman" w:eastAsia="Times New Roman"/>
                <w:sz w:val="24"/>
              </w:rPr>
              <w:t xml:space="preserve">Navrhované ustanovenie § 93a i navrhovaný bod 2 čl. III úplne obmedzujú autora pri nakladaní s dielom alebo databázou priamo zo zákona a priznávajú objednávateľovi rozsiahle oprávnenia – nielen na výkon majetkových práv, ale na základe zákonnej domnienky udelenia súhlasu od autora aj možnosť zásahu do osobnostných práv, vrátane zásahu do zdrojového kódu, a to bez akejkoľvek možnosti autora dohodnúť sa inak. Možnosť dohodnúť sa inak nie je stanovená ani pri postúpení výkonu majetkových práv od objednávateľa tretej osobe, čo opäť autora ešte viac limituje.  </w:t>
              <w:br/>
            </w:r>
            <w:r>
              <w:rPr>
                <w:b w:val="off"/>
                <w:color w:val="000000"/>
                <w:rFonts w:ascii="Times New Roman" w:hAnsi="Times New Roman" w:cs="Times New Roman" w:eastAsia="Times New Roman"/>
                <w:sz w:val="24"/>
              </w:rPr>
              <w:t xml:space="preserve">Zámer predkladateľa nie je zdôvodnený ani vo vzťahu k navrhovanému §93a ods. 6, t.j. z akého dôvodu a na základe zániku akého právneho vzťahu (keďže, ako je uvedené vyššie, v navrhovanej právnej úprave nie je bližšie špecifikovaný právny titul ani právny základ vzniku) by mali zostať práva a povinnosti nedotknuté (napr. prečo by odstúpenie od zmluvy nemalo spôsobiť zánik výkonu majetkových práv).   </w:t>
              <w:br/>
            </w:r>
            <w:r>
              <w:rPr>
                <w:b w:val="off"/>
                <w:color w:val="000000"/>
                <w:rFonts w:ascii="Times New Roman" w:hAnsi="Times New Roman" w:cs="Times New Roman" w:eastAsia="Times New Roman"/>
                <w:sz w:val="24"/>
              </w:rPr>
              <w:t>Zároveň, s ohľadom na bod 3 čl. III návrhu zákona nie je jasné, aké dôvody predkladateľa viedli k tomu, aby výslovne vylúčil uplatnenie režimu zamestnaneckého diela na ITVS.</w:t>
              <w:br/>
            </w:r>
            <w:r>
              <w:rPr>
                <w:b w:val="off"/>
                <w:color w:val="000000"/>
                <w:rFonts w:ascii="Times New Roman" w:hAnsi="Times New Roman" w:cs="Times New Roman" w:eastAsia="Times New Roman"/>
                <w:sz w:val="24"/>
              </w:rPr>
              <w:t xml:space="preserve">Predkladaná úprava v čl. III návrhu zákona môže narušiť aj systém verejných obstarávaní na ITVS, pretože, ak si autori budú vedomí, že stratia akúkoľvek dispozíciu s dielom alebo databázou na základe takéhoto nového zákonného ustanovenia a výkon ich práv prizná zákon objednávateľovi, môžu autori požadovať vyššiu odmenu (najmä licenčnú odmenu, ak zohľadnia rozsiahle obmedzenia svojich majetkových práv) alebo nový, pre autorov značne obmedzujúci, osobitný režim nemusia akceptovať vôbec.           </w:t>
              <w:br/>
            </w:r>
            <w:r>
              <w:rPr>
                <w:b w:val="off"/>
                <w:color w:val="000000"/>
                <w:rFonts w:ascii="Times New Roman" w:hAnsi="Times New Roman" w:cs="Times New Roman" w:eastAsia="Times New Roman"/>
                <w:sz w:val="24"/>
              </w:rPr>
              <w:t xml:space="preserve">Na základe vyššie uvádzaných dôvodov a skutočností gestor Autorského zákona – ministerstvo nesúhlasí s čl. III návrhu zákona a žiada ho z návrhu zákona vypustiť. Autorskoprávna regulácia s ohľadom na ITVS si vyžaduje rozsiahlu konzultáciu so širokým spektrom zainteresovaných subjektov s cieľom posúdiť rôzne možnosti úpravy alebo režimy a nájsť najvhodnejší spôsob, ako zachovať a nastaviť rovnováhu medzi právami autora i objednávateľa, resp. ďalších používateľov.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prerokovaný na online rozporovom konaní dňa 9.7.2025 a odstránený následnou komunikáciou.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III vrátane zavedenia osobitného autorskoprávneho režimu diela a databázy podľa § 131 Autorského zákona, ktorými sú ITVS, bol z návrhu zákona vypustený. V nadväznosti na to došlo k zmene a doplneniu ustanovení o dojednávaní zmlúv v § 15 ods. 2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 xml:space="preserve">Za čl. IV žiadame vložiť nový čl. V, ktorý znie: </w:t>
              <w:br/>
            </w:r>
            <w:r>
              <w:rPr>
                <w:b w:val="off"/>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Zákon č. 99/2024 Z. z. o centrálnom informačnom systéme štátnej služby a o zmene a doplnení zákona </w:t>
              <w:br/>
            </w:r>
            <w:r>
              <w:rPr>
                <w:b w:val="off"/>
                <w:color w:val="000000"/>
                <w:rFonts w:ascii="Times New Roman" w:hAnsi="Times New Roman" w:cs="Times New Roman" w:eastAsia="Times New Roman"/>
                <w:sz w:val="24"/>
              </w:rPr>
              <w:t xml:space="preserve">č. 55/2017 Z. z. o štátnej službe a o zmene a doplnení niektorých zákonov v znení neskorších predpisov sa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7 sa dopĺňa odsekom 10, ktorý znie: </w:t>
              <w:br/>
            </w:r>
            <w:r>
              <w:rPr>
                <w:b w:val="off"/>
                <w:color w:val="000000"/>
                <w:rFonts w:ascii="Times New Roman" w:hAnsi="Times New Roman" w:cs="Times New Roman" w:eastAsia="Times New Roman"/>
                <w:sz w:val="24"/>
              </w:rPr>
              <w:t xml:space="preserve">„(10) Ministerstvo obrany Slovenskej republiky a rozpočtové organizácie v jeho pôsobnosti neposkytujú údaje do centrálneho informačného systému; to neplatí pre údaje poskytované do modulu obsadzovania miest a modulu kvalifikovaných uchádzačov, ak ich poskytnutím nedôjde k ohrozeniu obrany štátu, bezpečnostných záujmov Slovenskej republiky, alebo plnenia úloh Ministerstva obrany Slovenskej republiky, ozbrojených síl Slovenskej republiky alebo Vojenského spravodajstva. Údaje týkajúce sa Vojenského spravodajstva sa do centrálneho informačného systému neposkytujú.“.“.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aby Ministerstvo obrany Slovenskej republiky a rozpočtové organizácie v jeho pôsobnosti poskytovali údaje len do vybraných modulov centrálneho informačného systému a v rozsahu, ktorý neohrozí záujmy a plnenie úloh Ministerstva obrany Slovenskej republiky. Vojenské spravodajstvo plní úlohy, vykonáva spravodajskú činnosť a bezpečnostné opatrenia na úseku obrany, obranyschopnosti a bezpečnosti Slovenskej republiky spravidla utajeným spôsobom. Poskytovaním údajov do centrálneho informačného systému by mohlo dôjsť k ohrozeniu plnenia týchto úloh, či k odhaleniu totožnosti zamestnancov a organizačnej štruktúry Vojenského spravodajstva a preto žiadame, aby sa údaje týkajúce sa Vojenského spravodajstva do centrálneho informačného systému neposkytovali.</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Novelizácia zákona č. 99/2024 Z. z. o centrálnom informačnom systéme štátnej služby a o zmene a doplnení zákona č. 55/2017 Z. z. o štátnej službe a o zmene a doplnení niektorých zákonov v znení neskorších predpisov (ďalej len „zákon o centrálnom informačnom systéme štátnej služby“),  vecne nesúvisí s predkladaným návrhom zákona. </w:t>
              <w:br/>
            </w:r>
            <w:r>
              <w:rPr>
                <w:b w:val="off"/>
                <w:color w:val="000000"/>
                <w:rFonts w:ascii="Times New Roman" w:hAnsi="Times New Roman" w:cs="Times New Roman" w:eastAsia="Times New Roman"/>
                <w:sz w:val="24"/>
              </w:rPr>
              <w:t>Podľa § 6 ods. 2 zákona č. 400/2015 Z. z. o tvorbe právnych predpisov a o Zbierke zákonov Slovenskej republiky a o zmene a doplnení niektorých zákonov (ďalej len „zákon o tvorbe právnych predpisov“) jedným právnym predpisom možno priamo novelizovať viac právnych predpisov, len ak je novelizácia týchto právnych predpisov vzájomne obsahovo súvisiaca a podľa § 6 ods. 3 zákona o tvorbe právnych predpisov návrh zákona nemôže obsahovať novelizáciu iného zákona, ktorá obsahovo nesúvisí s návrhom zákona. Máme za to, že navrhovaná novelizácia zákona o centrálnom informačnom systéme štátnej služby obsahovo nesúvisí s pripravovanou novelizáciou zákona o ITVS (súvislosť novelizácií, nie súvislosť novelizovaných zákonov).</w:t>
              <w:br/>
            </w:r>
            <w:r>
              <w:rPr>
                <w:b w:val="off"/>
                <w:color w:val="000000"/>
                <w:rFonts w:ascii="Times New Roman" w:hAnsi="Times New Roman" w:cs="Times New Roman" w:eastAsia="Times New Roman"/>
                <w:sz w:val="24"/>
              </w:rPr>
              <w:t xml:space="preserve">Zákon o ITVS upravuje organizáciu správy informačných technológií verejnej správy, práva a povinnosti orgánu vedenia a orgánu riadenia v oblasti informačných technológií verejnej správy, základné požiadavky kladené na informačné technológie verejnej správy a na ich správu a problematiku prijímania národnej koncepcie informatizácie verejnej správy. V rámci toho upravuje aj centrálny metainformačný systém verejnej správy (METAIS). Predmetom evidencie v METAIS sú najmä technologické, administratívne a organizačné údaje o prevádzkovaných informačných technológiách verejnej správy, nie  údaje, ktoré sa poskytujú do centrálneho informačného systému podľa zákona o centrálnom informačnom systéme štátnej služby. </w:t>
              <w:br/>
            </w:r>
            <w:r>
              <w:rPr>
                <w:b w:val="off"/>
                <w:color w:val="000000"/>
                <w:rFonts w:ascii="Times New Roman" w:hAnsi="Times New Roman" w:cs="Times New Roman" w:eastAsia="Times New Roman"/>
                <w:sz w:val="24"/>
              </w:rPr>
              <w:t>Tejto roviny sa drží aj samotný návrh zákona, ktorý je predmetom daného legislatívnehoprocesu.</w:t>
              <w:br/>
            </w:r>
            <w:r>
              <w:rPr>
                <w:b w:val="off"/>
                <w:color w:val="000000"/>
                <w:rFonts w:ascii="Times New Roman" w:hAnsi="Times New Roman" w:cs="Times New Roman" w:eastAsia="Times New Roman"/>
                <w:sz w:val="24"/>
              </w:rPr>
              <w:t xml:space="preserve">Predmetný návrh zákona nerieši problematiku vecných údajov zhromažďovaných Úradom vlády SR (prostredníctvom centrálneho informačného systému štátnej služby) v súvislosti so štátnozamestnaneckými vzťahmi a riadením ľudských zdrojov v štátnej službe a ani okruh subjektov, ktoré sú povinné tieto údaje zasielať. Ani pripomienkujúcim subjektom avizovaná potreba daného zásahu do zákona o centrálnom informačnom systéme štátnej služby nevyplýva z predmetného návrhu zákona a ani s ním nesúvisí (viaže sa k nerušenému utajenému plneniu úloh Vojenským spravodajstvom). </w:t>
              <w:br/>
            </w:r>
            <w:r>
              <w:rPr>
                <w:b w:val="off"/>
                <w:color w:val="000000"/>
                <w:rFonts w:ascii="Times New Roman" w:hAnsi="Times New Roman" w:cs="Times New Roman" w:eastAsia="Times New Roman"/>
                <w:sz w:val="24"/>
              </w:rPr>
              <w:t>Pritom aj samotný pripomienkujúci subjekt označil predmetnú pripomienku ako pripomienku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vyššie uvedené pripomienke nemôžeme vyhovieť. S ohľadom na uvedené tiež nemôžeme predmetnú pripomienku považovať za spôsobilú stať sa predmetom rozporu.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je potrebné dodať, že zákon o centrálnom informačnom systéme štátnej služby nepatrí do gescie Ministerstva investícií, regionálneho rozvoja a informatizácie Slovenskej republiky, preto odporúčame pripomienkujúcemu subjektu obrátiť sa s predmetnou požiadavkou priamo na Úrad vlády Slovenskej republiky, do ktorého gescie tento zákon patrí.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V § 18 ods. 2 žiadame za slovo "správy" vložiť čiarku a slová "prostredníctvom ktorého zabezpečuje základnú službu,".</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 Uvedené opatrenia by sa nemali týkať všetkých informačných systémov verejnej správy na rovnakej úrovni, tzn. napríklad informačných systémov zabezpečujúcich ekonomický a administratívny chod organizácie verejnej správy alebo prezentačných informačných systémov. Nepovažujeme za potrebné vzhľadom na možné dopady a vykonanú analýzu vplyvov na poskytovanie základnej služby  a agendy orgánov verejnej správy, aby sa prijímali také rozsiahle a hlavne finančne, administratívne a technicky náročné opatrenia.  Uvedené opatrenia by sa mali vzťahovať len na agendové informačné systémy, ktorými sa reálne poskytuje základná služba, vykonáva agenda orgánov verejnej správy a poskytujú služby vo verejnom záujme. Povinnosť prijímania bezpečnostných opatrení podľa tohto ustanovenia pre všetky informačné systémy verejnej správy v správe správcu značným spôsobom zvýši požiadavky na finančné prostriedky a ľudské kapacity pri správe ISVS.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dňa 27.6.2025 dohodou.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„základná služba“ bol zo zákona č. 69/2018 Z. z. o kybernetickej bezpečnosti a o zmene a doplnení niektorých zákonov v z. n. p. vypustený. Povinnosti sa vzťahujú na orgány riadenia/ správcov informačných technológií verejnej správy. Rozsah a spôsob prijímania opatrení pre jednotlivé informačné systémy verejnej správy sa bude riadiť výstupmi analýzy rizík organizácie, bezpečnostného projektu informačného systému a kategorizáciou informačných systémov verejnej správy. Uvedené ustanovenie hovorí práve o tom, že všetci správcovia informačných technológií verejnej správy,  ktorí sú poskytovateľom základnej služby sú povinní plniť zákon o ITVS a platí, že bezpečnostné opatrenia vyplývajúce zo zákona o kybernetickej bezpečnosti plnia iba v minimálnom rozsahu (§ 20 ods. 4 ZoKB), nakoľko zákon o ITVS je sektorovým predpisom. Uvedené tvrdenie je dôsledkom odstránenia dualizmu zo strany NBÚ, odkazujeme konkrétne na § 19 ods. 1 ZoKB.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 ods. 3 písm. c)</w:t>
              <w:br/>
            </w:r>
            <w:r>
              <w:rPr>
                <w:b w:val="off"/>
                <w:color w:val="000000"/>
                <w:rFonts w:ascii="Times New Roman" w:hAnsi="Times New Roman" w:cs="Times New Roman" w:eastAsia="Times New Roman"/>
                <w:sz w:val="24"/>
              </w:rPr>
              <w:t>V odseku 3 písm. c) navrhujeme za slovo "riešení" vložiť slovo "kybernetického". Ide o legislatívno-technickú pripomienku týkajúcu sa používanej terminológie.</w:t>
              <w:br/>
            </w:r>
            <w:r>
              <w:rPr>
                <w:b w:val="off"/>
                <w:color w:val="000000"/>
                <w:rFonts w:ascii="Times New Roman" w:hAnsi="Times New Roman" w:cs="Times New Roman" w:eastAsia="Times New Roman"/>
                <w:sz w:val="24"/>
              </w:rPr>
              <w:t>Zároveň navrhujeme vypustiť slová "alebo informačných systémov", pretože pojem informačný systém je obsahom pojmu informačná technológia, ktorý je definovaný v § 2 ods. 1 zákona č. 95/2019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23 ods. 3 písm. c), ako aj v § 19 ods. 1 písm. g) , ods. 2 písm. c) a ods. 3 písm. e) bolo vložené slovo ,,kybernetický“ pred slovo „bezpečnostný incident“ v príslušnom gramatickom tvare.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druhej časti pripomienky, ustanovenie preberá súčasné znenie zákona, pričom je potrebné ponechať dané znenie s ohľadom na skutočnosť, že nie každý informačný systém je zároveň informačnou technológiou.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 ods. 3 písm. i)</w:t>
              <w:br/>
            </w:r>
            <w:r>
              <w:rPr>
                <w:b w:val="off"/>
                <w:color w:val="000000"/>
                <w:rFonts w:ascii="Times New Roman" w:hAnsi="Times New Roman" w:cs="Times New Roman" w:eastAsia="Times New Roman"/>
                <w:sz w:val="24"/>
              </w:rPr>
              <w:t>V odseku 3 písm. i) navrhujeme vypustiť slovo "systémové". Rozsah údajov bude definovaný vo vyhláške, preto nepovažujeme za vhodné v uvedenom ustanovení uvádzať podrobnejší rozsah alebo možný obsah týchto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formulácia sa v zákone nachádza podľa súčasného znenia, t. j. pred predmetným návrhom novely. Systémové informácie budú upresnené vo vykonávacom predpise.</w:t>
              <w:br/>
            </w:r>
            <w:r>
              <w:rPr>
                <w:b w:val="off"/>
                <w:color w:val="000000"/>
                <w:rFonts w:ascii="Times New Roman" w:hAnsi="Times New Roman" w:cs="Times New Roman" w:eastAsia="Times New Roman"/>
                <w:sz w:val="24"/>
              </w:rPr>
              <w:t xml:space="preserve">Ide o existujúcu povinnosť podľa súčasného znenia § 23 ods. 3 písm. d) zákona o ITVS, a nie o novú povinnosť. Vzhľadom na to nie je nevyhnutné predložiť návrh vykonávacieho predpisu. </w:t>
              <w:br/>
            </w:r>
            <w:r>
              <w:rPr>
                <w:b w:val="off"/>
                <w:color w:val="000000"/>
                <w:rFonts w:ascii="Times New Roman" w:hAnsi="Times New Roman" w:cs="Times New Roman" w:eastAsia="Times New Roman"/>
                <w:sz w:val="24"/>
              </w:rPr>
              <w:t>Poukazujeme na skutočnosť, že vypustiť slovo “systémové” nie je vhodné, pretože MIRRI SR potrebuje práve systémové informácie. Ak by z navrhovaného ustanovenia bolo vypustené spojenie „systémové“, bolo by to potenciálne veľmi široko zasahujúce do vnútorných pomerov orgánu riadenia, čo nie je žiaduce.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slová „systém AI4b)“ nahradiť slovami „systém umelej inteligencie4b) (ďalej len „systém AI“)“.</w:t>
              <w:br/>
            </w:r>
            <w:r>
              <w:rPr>
                <w:b w:val="off"/>
                <w:color w:val="000000"/>
                <w:rFonts w:ascii="Times New Roman" w:hAnsi="Times New Roman" w:cs="Times New Roman" w:eastAsia="Times New Roman"/>
                <w:sz w:val="24"/>
              </w:rPr>
              <w:t>Odôvodnenie: Legislatívno-technická pripomienka. Potreba doplnenia legislatívnej skratky.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používania systémov umelej inteligencie vo verejnej správe boli z návrhu novely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Odporúčame v analýze vplyvov na rozpočet verejnej správy, na zamestnanosť vo verejnej správe a financovanie návrhu v tabuľke č. 1/A upraviť v riadku Výdavky verejnej správy celkom sumu za roky 2026 až 2028. Uvedenú sumu je potrebné navýšiť o výdavky štátneho rozpočtu. </w:t>
              <w:br/>
            </w:r>
            <w:r>
              <w:rPr>
                <w:b w:val="off"/>
                <w:color w:val="000000"/>
                <w:rFonts w:ascii="Times New Roman" w:hAnsi="Times New Roman" w:cs="Times New Roman" w:eastAsia="Times New Roman"/>
                <w:sz w:val="24"/>
              </w:rPr>
              <w:t xml:space="preserve">Odporúčame v analýze vplyvov na rozpočet verejnej správy, na zamestnanosť vo verejnej správe a financovanie návrhu v tabuľke č. 1/A v časti Výdavky verejnej správy celkom, riadok Rozpočtové prostriedky uviesť na roky 2026 až 2028 vyčíslené finančné prostriedky na štátny rozpočet v sume 500 tis. eur. </w:t>
              <w:br/>
            </w:r>
            <w:r>
              <w:rPr>
                <w:b w:val="off"/>
                <w:color w:val="000000"/>
                <w:rFonts w:ascii="Times New Roman" w:hAnsi="Times New Roman" w:cs="Times New Roman" w:eastAsia="Times New Roman"/>
                <w:sz w:val="24"/>
              </w:rPr>
              <w:t xml:space="preserve">Z analýzy vplyvov na rozpočet verejnej správy, na zamestnanosť vo verejnej správe </w:t>
              <w:br/>
            </w:r>
            <w:r>
              <w:rPr>
                <w:b w:val="off"/>
                <w:color w:val="000000"/>
                <w:rFonts w:ascii="Times New Roman" w:hAnsi="Times New Roman" w:cs="Times New Roman" w:eastAsia="Times New Roman"/>
                <w:sz w:val="24"/>
              </w:rPr>
              <w:t xml:space="preserve">a financovanie návrhu nie je zrejmé, či sa v prípade identifikovaných výdavkov v sume </w:t>
              <w:br/>
            </w:r>
            <w:r>
              <w:rPr>
                <w:b w:val="off"/>
                <w:color w:val="000000"/>
                <w:rFonts w:ascii="Times New Roman" w:hAnsi="Times New Roman" w:cs="Times New Roman" w:eastAsia="Times New Roman"/>
                <w:sz w:val="24"/>
              </w:rPr>
              <w:t xml:space="preserve">500 tis. eur jedná o rozpočtovo zabezpečený vplyv, resp. rozpočtovo nekrytý vplyv, nakoľko uvedená suma nie je zahrnutá vo výdavkoch verejnej správy celkom. </w:t>
              <w:br/>
            </w:r>
            <w:r>
              <w:rPr>
                <w:b w:val="off"/>
                <w:color w:val="000000"/>
                <w:rFonts w:ascii="Times New Roman" w:hAnsi="Times New Roman" w:cs="Times New Roman" w:eastAsia="Times New Roman"/>
                <w:sz w:val="24"/>
              </w:rPr>
              <w:t>Odporúčame v analýze vplyvov na rozpočet verejnej správy, na zamestnanosť vo verejnej správe a financovanie návrhu dopracovať tabuľky č. 4/A za každý subjekt verejnej správy zvlášť.</w:t>
              <w:br/>
            </w:r>
            <w:r>
              <w:rPr>
                <w:b w:val="off"/>
                <w:color w:val="000000"/>
                <w:rFonts w:ascii="Times New Roman" w:hAnsi="Times New Roman" w:cs="Times New Roman" w:eastAsia="Times New Roman"/>
                <w:sz w:val="24"/>
              </w:rPr>
              <w:t>Odôvodnenie: Potreba úpravy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K č. I bodu 10: Žiadame vypustiť navrhovaný § 8 ods. 3.</w:t>
              <w:br/>
            </w:r>
            <w:r>
              <w:rPr>
                <w:b w:val="off"/>
                <w:color w:val="000000"/>
                <w:rFonts w:ascii="Times New Roman" w:hAnsi="Times New Roman" w:cs="Times New Roman" w:eastAsia="Times New Roman"/>
                <w:sz w:val="24"/>
              </w:rPr>
              <w:t xml:space="preserve">Túto pripomienku uplatňujeme ako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Predkladanie projektových výstupov je toho času legislatívne upravené, pretože súčasťou predkladanej projektovej dokumentácie je aj bezpečnostná architektúra a prevádzka a údržba systému, čo je podľa nášho názoru dostatočné.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dňa 24.7.2025 v sídle MIRRI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zastáva názor, že aj keď k vecnej, obsahovej zmene nedochádza, je vhodné túto úpravu z dnešných podrobností projektového riadenia upraviť explicitne ako samostatnú povinnosť. Prispeje to k prehľadnosti povinností, ktoré sa pri projektovom riadení bude vyžadovať plniť.</w:t>
              <w:br/>
            </w:r>
            <w:r>
              <w:rPr>
                <w:b w:val="off"/>
                <w:color w:val="000000"/>
                <w:rFonts w:ascii="Times New Roman" w:hAnsi="Times New Roman" w:cs="Times New Roman" w:eastAsia="Times New Roman"/>
                <w:sz w:val="24"/>
              </w:rPr>
              <w:t>Predkladateľ ako kompromis navrhol doplnenie odkazu v § 8 na vykonávací predpis uvedený v splnomocňovacom ustanovení § 31, aby bolo zrejmé, že nejde o rozširovanie aktuálnych povinností  a regulácií v rámci projektového riadenia, keďže ide o aktuálne platné vykonávacie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K č. I bodu 10: Žiadame vypustiť navrhovaný § 8 ods. 5.</w:t>
              <w:br/>
            </w:r>
            <w:r>
              <w:rPr>
                <w:b w:val="off"/>
                <w:color w:val="000000"/>
                <w:rFonts w:ascii="Times New Roman" w:hAnsi="Times New Roman" w:cs="Times New Roman" w:eastAsia="Times New Roman"/>
                <w:sz w:val="24"/>
              </w:rPr>
              <w:t xml:space="preserve">Túto pripomienku uplatňujeme ako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monitoring a hodnotenie informačných technológií nie je potrebné poskytovať osobné údaje či informácie o konaniach/ podaniach/ úradných dokumentoch, a taktiež nie je potrebné tieto údaje spracúvať orgánom vedenia.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Rozpor prerokovaný na rozporovom konaní dňa 24.7.2025 v sídle MIRRI SR.</w:t>
              <w:br/>
            </w:r>
            <w:r>
              <w:rPr>
                <w:b w:val="off"/>
                <w:color w:val="000000"/>
                <w:rFonts w:ascii="Times New Roman" w:hAnsi="Times New Roman" w:cs="Times New Roman" w:eastAsia="Times New Roman"/>
                <w:sz w:val="24"/>
              </w:rPr>
              <w:t xml:space="preserve">MV SR bolo na stretnutí, ktoré sa uskutočnilo v mesiaci 05/2025, vysvetlené, čo znamená monitoring a hodnotenie informačných technológií a prečo sa dané ustanovenie do zákona navrhuje vložiť, a že súvisí s informačným systémom KAV (Konsolidovaná analytická vrstva). </w:t>
              <w:br/>
            </w:r>
            <w:r>
              <w:rPr>
                <w:b w:val="off"/>
                <w:color w:val="000000"/>
                <w:rFonts w:ascii="Times New Roman" w:hAnsi="Times New Roman" w:cs="Times New Roman" w:eastAsia="Times New Roman"/>
                <w:sz w:val="24"/>
              </w:rPr>
              <w:t xml:space="preserve">V rámci implementácie a monitoringu prioritných životných situácií, ktoré sú kľúčovou súčasťou digitálnej transformácie verejnej správy a súčasťou čerpania finančných prostriedkov z Plánu obnovy, je nevyhnutné zabezpečiť komplexný a prehľadný pohľad na aktuálny stav a efektivitu poskytovaných služieb. </w:t>
              <w:br/>
            </w:r>
            <w:r>
              <w:rPr>
                <w:b w:val="off"/>
                <w:color w:val="000000"/>
                <w:rFonts w:ascii="Times New Roman" w:hAnsi="Times New Roman" w:cs="Times New Roman" w:eastAsia="Times New Roman"/>
                <w:sz w:val="24"/>
              </w:rPr>
              <w:t xml:space="preserve">MIRRI SR ako orgán vedenia zohráva zásadnú úlohu v koordinácii, analýze a optimalizácii procesov verejnej správy súvisiacich s prioritnými životnými situáciami resp. životnými situáciami . Na dosiahnutie týchto cieľov je potrebné, aby orgány riadenia poskytovali MIRRI SR prístup k relevantným osobným údajom. </w:t>
              <w:br/>
            </w:r>
            <w:r>
              <w:rPr>
                <w:b w:val="off"/>
                <w:color w:val="000000"/>
                <w:rFonts w:ascii="Times New Roman" w:hAnsi="Times New Roman" w:cs="Times New Roman" w:eastAsia="Times New Roman"/>
                <w:sz w:val="24"/>
              </w:rPr>
              <w:t xml:space="preserve">Analýza osobných údajov umožňuje MIRRI SR identifikovať trendy, potreby a rizikové skupiny občanov a podnikateľov v rôznych životných situáciách, čo je základom pre efektívne plánovanie verejných služieb a alokáciu zdrojov. </w:t>
              <w:br/>
            </w:r>
            <w:r>
              <w:rPr>
                <w:b w:val="off"/>
                <w:color w:val="000000"/>
                <w:rFonts w:ascii="Times New Roman" w:hAnsi="Times New Roman" w:cs="Times New Roman" w:eastAsia="Times New Roman"/>
                <w:sz w:val="24"/>
              </w:rPr>
              <w:t xml:space="preserve">Na základe získaných údajov môže MIRRI SR navrhovať a implementovať opatrenia na zjednodušenie a personalizáciu služieb, čím sa napríklad minimalizuje aj administratívna záťaž pre občanov i podnikateľov (princíp „1x a dosť“). </w:t>
              <w:br/>
            </w:r>
            <w:r>
              <w:rPr>
                <w:b w:val="off"/>
                <w:color w:val="000000"/>
                <w:rFonts w:ascii="Times New Roman" w:hAnsi="Times New Roman" w:cs="Times New Roman" w:eastAsia="Times New Roman"/>
                <w:sz w:val="24"/>
              </w:rPr>
              <w:t xml:space="preserve">Poskytovanie komplexných dát umožňuje splniť monitorovacie povinnosti vyplývajúce z Plánu obnovy, vrátane transparentnosti využívania finančných prostriedkov a dosahovania nastavených cieľov. Osobné údaje umožňujú monitorovať, ako prioritné životné situácie skutočne ovplyvňujú životy občanov a podnikateľov, čím sa hodnotí úspešnosť implementovaných opatrení a poskytovaných služieb. </w:t>
              <w:br/>
            </w:r>
            <w:r>
              <w:rPr>
                <w:b w:val="off"/>
                <w:color w:val="000000"/>
                <w:rFonts w:ascii="Times New Roman" w:hAnsi="Times New Roman" w:cs="Times New Roman" w:eastAsia="Times New Roman"/>
                <w:sz w:val="24"/>
              </w:rPr>
              <w:t xml:space="preserve">Spracovanie osobných údajov pre analytické účely bude realizované v súlade s platnou legislatívou o ochrane osobných údajov, pričom budú prijaté všetky potrebné bezpečnostné opatrenia na zabezpečenie dôvernosti, integrity a dostupnosti údajov v spolupráci s Úradom na ochranu osobných údajov. </w:t>
              <w:br/>
            </w:r>
            <w:r>
              <w:rPr>
                <w:b w:val="off"/>
                <w:color w:val="000000"/>
                <w:rFonts w:ascii="Times New Roman" w:hAnsi="Times New Roman" w:cs="Times New Roman" w:eastAsia="Times New Roman"/>
                <w:sz w:val="24"/>
              </w:rPr>
              <w:t>Znenie predmetného ustanovenia bolo v rámci vyhodnocovania MPK preformulované a v tomto znení s ním súhlasil aj ÚOOÚ ako vecný gestor agendy ochrany osobných údajov, pričom následne ešte došlo k vloženiu nového odseku 4 a drobnej formulačnej zmene odseku 6.</w:t>
              <w:br/>
            </w:r>
            <w:r>
              <w:rPr>
                <w:b w:val="off"/>
                <w:color w:val="000000"/>
                <w:rFonts w:ascii="Times New Roman" w:hAnsi="Times New Roman" w:cs="Times New Roman" w:eastAsia="Times New Roman"/>
                <w:sz w:val="24"/>
              </w:rPr>
              <w:t>Predmetné cloudové služby KAV sú v súlade s katalógom vládnych cloudových služieb. Pri zápise týchto služieb do katalógu boli dotknuté cloudové služby a ich poskytovateľ posudzovaní aj z pohľadu GDPR či príslušných ISO noriem zahŕňajúcich celky ako sú kybernetická bezpečnosť, prevádzková bezpečnosť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 a 19</w:t>
              <w:br/>
            </w:r>
            <w:r>
              <w:rPr>
                <w:b w:val="off"/>
                <w:color w:val="000000"/>
                <w:rFonts w:ascii="Times New Roman" w:hAnsi="Times New Roman" w:cs="Times New Roman" w:eastAsia="Times New Roman"/>
                <w:sz w:val="24"/>
              </w:rPr>
              <w:t>K č. I bodom 3 a 19: Slová „systém AI“ vo všetkých tvaroch navrhujeme nahradiť slovami „systém umelej inteligencie“ v príslušnom tvare alebo zaviesť legislatívnu skratku v súlade s Legislatívnymi pravidlami vlády Slovenskej republiky, na mieste kde sa systém umelej inteligencie prvýkrát 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Systém AI je len legislatívna skratka pre systém umelej inteligencie, zavedená v nariadení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K č. I bodu 19: Navrhujeme vložiť do § 13b nový odsek 8 v znení:</w:t>
              <w:br/>
            </w:r>
            <w:r>
              <w:rPr>
                <w:b w:val="off"/>
                <w:color w:val="000000"/>
                <w:rFonts w:ascii="Times New Roman" w:hAnsi="Times New Roman" w:cs="Times New Roman" w:eastAsia="Times New Roman"/>
                <w:sz w:val="24"/>
              </w:rPr>
              <w:t>„(8) Správca informačnej technológie verejnej správy v oblasti využívania umelej inteligencie a strojového učenia je povinný najmä</w:t>
              <w:br/>
            </w:r>
            <w:r>
              <w:rPr>
                <w:b w:val="off"/>
                <w:color w:val="000000"/>
                <w:rFonts w:ascii="Times New Roman" w:hAnsi="Times New Roman" w:cs="Times New Roman" w:eastAsia="Times New Roman"/>
                <w:sz w:val="24"/>
              </w:rPr>
              <w:t xml:space="preserve">a)	vypracovať politiku bezpečného využitia umelej inteligencie a technológií strojového učenia, </w:t>
              <w:br/>
            </w:r>
            <w:r>
              <w:rPr>
                <w:b w:val="off"/>
                <w:color w:val="000000"/>
                <w:rFonts w:ascii="Times New Roman" w:hAnsi="Times New Roman" w:cs="Times New Roman" w:eastAsia="Times New Roman"/>
                <w:sz w:val="24"/>
              </w:rPr>
              <w:t>b)	udržiavať register používaných nástrojov umelej inteligencie a strojového učenia a prepojených informačných aktív,</w:t>
              <w:br/>
            </w:r>
            <w:r>
              <w:rPr>
                <w:b w:val="off"/>
                <w:color w:val="000000"/>
                <w:rFonts w:ascii="Times New Roman" w:hAnsi="Times New Roman" w:cs="Times New Roman" w:eastAsia="Times New Roman"/>
                <w:sz w:val="24"/>
              </w:rPr>
              <w:t>c)	klasifikovať údaje používané umelou inteligenciou a systémami strojového učenia na základe jeho citlivosti a aplikovať vhodné bezpečnostné opatrenia,</w:t>
              <w:br/>
            </w:r>
            <w:r>
              <w:rPr>
                <w:b w:val="off"/>
                <w:color w:val="000000"/>
                <w:rFonts w:ascii="Times New Roman" w:hAnsi="Times New Roman" w:cs="Times New Roman" w:eastAsia="Times New Roman"/>
                <w:sz w:val="24"/>
              </w:rPr>
              <w:t>d)	implementovať zásady a postupy pre bezpečné prenášanie dát do a z umelej inteligencie a systémov strojového učenia vrátane šifrovania a prístupových a ovládacích prvkov,</w:t>
              <w:br/>
            </w:r>
            <w:r>
              <w:rPr>
                <w:b w:val="off"/>
                <w:color w:val="000000"/>
                <w:rFonts w:ascii="Times New Roman" w:hAnsi="Times New Roman" w:cs="Times New Roman" w:eastAsia="Times New Roman"/>
                <w:sz w:val="24"/>
              </w:rPr>
              <w:t>e)	implementovať postup kontroly na zabezpečenie, že iba autorizovaní jednotlivci môžu pristupovať a upravovať systémy strojového učenia,</w:t>
              <w:br/>
            </w:r>
            <w:r>
              <w:rPr>
                <w:b w:val="off"/>
                <w:color w:val="000000"/>
                <w:rFonts w:ascii="Times New Roman" w:hAnsi="Times New Roman" w:cs="Times New Roman" w:eastAsia="Times New Roman"/>
                <w:sz w:val="24"/>
              </w:rPr>
              <w:t>f)	zabezpečiť, že systémy umelej inteligencie a strojového učenia využívané ako služby poskytované externými dodávateľmi preukázateľne spĺňajú bezpečnostné požiadavky počas celého životného cyklu dotknutých informačných aktív,</w:t>
              <w:br/>
            </w:r>
            <w:r>
              <w:rPr>
                <w:b w:val="off"/>
                <w:color w:val="000000"/>
                <w:rFonts w:ascii="Times New Roman" w:hAnsi="Times New Roman" w:cs="Times New Roman" w:eastAsia="Times New Roman"/>
                <w:sz w:val="24"/>
              </w:rPr>
              <w:t>g)	identifikovať a dodržiavať právne a zmluvné požiadavky súvisiace s využitím umelej inteligencie a technológií strojového učenia,</w:t>
              <w:br/>
            </w:r>
            <w:r>
              <w:rPr>
                <w:b w:val="off"/>
                <w:color w:val="000000"/>
                <w:rFonts w:ascii="Times New Roman" w:hAnsi="Times New Roman" w:cs="Times New Roman" w:eastAsia="Times New Roman"/>
                <w:sz w:val="24"/>
              </w:rPr>
              <w:t>h)	definovať a zdokumentovať prevádzkové postupy pre bezpečné využitie umelej inteligencie a strojového učenia, vrátane určenia zodpovedností pre riadenie umelej inteligencie a systémov strojového učenia,</w:t>
              <w:br/>
            </w:r>
            <w:r>
              <w:rPr>
                <w:b w:val="off"/>
                <w:color w:val="000000"/>
                <w:rFonts w:ascii="Times New Roman" w:hAnsi="Times New Roman" w:cs="Times New Roman" w:eastAsia="Times New Roman"/>
                <w:sz w:val="24"/>
              </w:rPr>
              <w:t>i)	implementovať proces riadenia zmien, aby akékoľvek zmeny v umelej inteligencii a systémoch strojového učenia boli nepretržite posudzované a kontrolované.“.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týchto ustanovení by bolo vhodné pre upresnenie požiadaviek za účelom bezpečného využitia a prevádzky umelej inteligencie a strojového učenia, ako aj zabezpečenie evidencie používaných nástrojov umelej inteligencie a strojového učenia a položenie základu pre kontrolný mechanizmus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 xml:space="preserve">K č. I bodu 21: Navrhujeme z § 15 ods. 2 písm. g) druhého bodu vypustiť slová „jediným a výhradným“.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znenie sa nachádza aj v súčasnom platnom a účinnom zákona, ale podľa nášho názoru je príliš striktné. Počas projektu totiž môže dôjsť k situácii, že určitými informáciami budú potrebovať disponovať napr. iné orgány verejnej moci, prípadne kontrolné subjekty, pričom predmetná formulácia to svojim obsahom znemožňuje.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úprava má za cieľ zabezpečiť, aby to bol výlučne správca, kto rozhoduje o tom, komu a aké informácie vzniknuté v projekte poskytne. Ustanovenie neznamená, že sa s nimi nikto nemôže oboznámiť ani disponovať. Znamená, že ak je niečo v projekte vytvorené, o nakladaní s tým rozhoduje správca a nie, napríklad aj dodávateľ.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K dôvodovej správe:  V dôvodovej správe (osobitná časť) k bodom 40 až 44 (§ 29) v štvrtom odseku navrhujeme slová „práva úprava“ nahradiť slovami  „právna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w:t>
              <w:br/>
            </w:r>
            <w:r>
              <w:rPr>
                <w:b w:val="off"/>
                <w:color w:val="000000"/>
                <w:rFonts w:ascii="Times New Roman" w:hAnsi="Times New Roman" w:cs="Times New Roman" w:eastAsia="Times New Roman"/>
                <w:sz w:val="24"/>
              </w:rPr>
              <w:t>K analýze vplyvov na rozpočet: Ministerstvo vnútra Slovenskej republiky s návrhom zákona súhlasí len v prípade, že celý krytý – financovaný z plánu obnovy a odolnosti.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Financovanie vplyvu na rozpočet kapitoly MV SR je zabezpečené z Plánu obnovy a odolnosti vo výške 2 082 590, 00 EUR.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odsek 1 písmena d)</w:t>
              <w:br/>
            </w:r>
            <w:r>
              <w:rPr>
                <w:b w:val="off"/>
                <w:color w:val="000000"/>
                <w:rFonts w:ascii="Times New Roman" w:hAnsi="Times New Roman" w:cs="Times New Roman" w:eastAsia="Times New Roman"/>
                <w:sz w:val="24"/>
              </w:rPr>
              <w:t>Vo vlastnom materiáli čl. I bode 1 odporúčame preformulovať znenie § 1 odsek 1 písmena d), nakoľko z navrhovaného ustanovenia nie je jednoznačne zrejmé či, zákon č. 95/2019 Z. z. o informačných technológiách vo verejnej správe upravuje samotnú národnú koncepciu ako nástroj riadenia informatizácie, ustanovuje povinnosť jej tvorby a uplatňovania alebo upravuje národnú koncepciu ako strategický dokument (bez explicitného výpočtu procesov).</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upravené nasledovne: „d) postup schvaľovania národnej koncepcie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8 odsek 3</w:t>
              <w:br/>
            </w:r>
            <w:r>
              <w:rPr>
                <w:b w:val="off"/>
                <w:color w:val="000000"/>
                <w:rFonts w:ascii="Times New Roman" w:hAnsi="Times New Roman" w:cs="Times New Roman" w:eastAsia="Times New Roman"/>
                <w:sz w:val="24"/>
              </w:rPr>
              <w:t xml:space="preserve">Vo vlastnom materiáli čl. I bode 10 odporúčame ustanovenie § 8 ods. 3 rozšíriť tak, aby sa pri posudzovaní zohľadňoval aj záujem a potreby orgánu riadenia so zreteľom na ním vypracovanú koncepciu rozvoja. </w:t>
              <w:br/>
            </w:r>
            <w:r>
              <w:rPr>
                <w:b w:val="off"/>
                <w:color w:val="000000"/>
                <w:rFonts w:ascii="Times New Roman" w:hAnsi="Times New Roman" w:cs="Times New Roman" w:eastAsia="Times New Roman"/>
                <w:sz w:val="24"/>
              </w:rPr>
              <w:t>Odôvodnenie: Precizovanie textu, nakoľko je žiaduce, aby mal orgán riadenia možnosť v primeranom rozsahu formulovať svoje potreby v procese rozhodovania o IT projektoch, ktoré sa ho bezprostredne týkajú.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Súlad s potrebami orgánu riadenia si primárne rieši orgán riadenia sám a má povinnosť budovať informačné technológie v súlade s KRIT.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MIRRI posudzuje vyššiu úroveň, keďže je orgánom vedenia a preto doplnenie nie je vhodné.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8 odsek 4</w:t>
              <w:br/>
            </w:r>
            <w:r>
              <w:rPr>
                <w:b w:val="off"/>
                <w:color w:val="000000"/>
                <w:rFonts w:ascii="Times New Roman" w:hAnsi="Times New Roman" w:cs="Times New Roman" w:eastAsia="Times New Roman"/>
                <w:sz w:val="24"/>
              </w:rPr>
              <w:t>Vo vlastnom materiáli čl. I bode 10 § 8 odseku 4 odporúčame adresne vymedziť subjekt “orgán, ktorý vykonáva pôsobnosť v oblastiach týkajúcich sa systémov AI, dátového manažmentu a použitia údajov vo verejnej správe”.</w:t>
              <w:br/>
            </w:r>
            <w:r>
              <w:rPr>
                <w:b w:val="off"/>
                <w:color w:val="000000"/>
                <w:rFonts w:ascii="Times New Roman" w:hAnsi="Times New Roman" w:cs="Times New Roman" w:eastAsia="Times New Roman"/>
                <w:sz w:val="24"/>
              </w:rPr>
              <w:t>Odôvodnenie: Precizovanie textu za účelom zabezpečenia právnej istoty a zamedzenia  prípadným výkladovým problémom právnej normy.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používania systémov umelej inteligencie vo verejnej správe boli z návrhu novely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13b odsek 1</w:t>
              <w:br/>
            </w:r>
            <w:r>
              <w:rPr>
                <w:b w:val="off"/>
                <w:color w:val="000000"/>
                <w:rFonts w:ascii="Times New Roman" w:hAnsi="Times New Roman" w:cs="Times New Roman" w:eastAsia="Times New Roman"/>
                <w:sz w:val="24"/>
              </w:rPr>
              <w:t xml:space="preserve">Vo vlastnom materiáli čl. I bode 19 § 13b odseku 1 odporúčame preformulovať ustanovenie nasledovne: “Ak orgán riadenia používa vo svojej činnosti systém umelej inteligencie, je povinný zabezpečiť nad ním primeraný dohľad tak, aby mal kontrolu nad jeho výstupmi a aby konečné rozhodnutie alebo úkon orgánu riadenia vždy podliehal ľudskej kontrole”. </w:t>
              <w:br/>
            </w:r>
            <w:r>
              <w:rPr>
                <w:b w:val="off"/>
                <w:color w:val="000000"/>
                <w:rFonts w:ascii="Times New Roman" w:hAnsi="Times New Roman" w:cs="Times New Roman" w:eastAsia="Times New Roman"/>
                <w:sz w:val="24"/>
              </w:rPr>
              <w:t>Odôvodnenie: Precizovanie textu, nakoľko nie je zrejmé, čo možno považovať za “obsah úkonu orgánu” kybernetickej bezpečnosti. Uvedeným sa predíde nejednoznačnému výkladu pri aplikácii predmetného ustanovenia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13b odsek 3</w:t>
              <w:br/>
            </w:r>
            <w:r>
              <w:rPr>
                <w:b w:val="off"/>
                <w:color w:val="000000"/>
                <w:rFonts w:ascii="Times New Roman" w:hAnsi="Times New Roman" w:cs="Times New Roman" w:eastAsia="Times New Roman"/>
                <w:sz w:val="24"/>
              </w:rPr>
              <w:t xml:space="preserve">Vo vlastnom materiáli čl. I bode 19 § 13b odseku 3 odporúčame preformulovať ustanovenie nasledovne: „Orgán riadenia je povinný zverejňovať jasné a zrozumiteľné informácie o účele, funkciách a použití systému umelej inteligencie, ako aj o konkrétnych činnostiach, na ktoré je tento systém využívaný. V prípade, že systém umelej inteligencie je používaný v komunikácii s koncovým používateľom, musí byť táto informácia poskytnutá používateľovi vopred, pred začatím komunikácie”. </w:t>
              <w:br/>
            </w:r>
            <w:r>
              <w:rPr>
                <w:b w:val="off"/>
                <w:color w:val="000000"/>
                <w:rFonts w:ascii="Times New Roman" w:hAnsi="Times New Roman" w:cs="Times New Roman" w:eastAsia="Times New Roman"/>
                <w:sz w:val="24"/>
              </w:rPr>
              <w:t>Odôvodnenie: Precizovanie textu za účelom zabezpečenia jeho presnosti a štylistickej správnosti.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13b odsek 5</w:t>
              <w:br/>
            </w:r>
            <w:r>
              <w:rPr>
                <w:b w:val="off"/>
                <w:color w:val="000000"/>
                <w:rFonts w:ascii="Times New Roman" w:hAnsi="Times New Roman" w:cs="Times New Roman" w:eastAsia="Times New Roman"/>
                <w:sz w:val="24"/>
              </w:rPr>
              <w:t>Vo vlastnom materiáli čl. I bode 19 § 13b odseku 5 odporúčame preformulovať ustanovenie nasledovne: „Orgán riadenia zabezpečuje pravidelnú kontrolu vstupov a postupov využívaných systémom umelej inteligencie, ako aj ich aktualizáciu, s cieľom predchádzať výstupom, ktoré by mohli byť v rozpore so zákonom alebo s dobrými mravmi“.</w:t>
              <w:br/>
            </w:r>
            <w:r>
              <w:rPr>
                <w:b w:val="off"/>
                <w:color w:val="000000"/>
                <w:rFonts w:ascii="Times New Roman" w:hAnsi="Times New Roman" w:cs="Times New Roman" w:eastAsia="Times New Roman"/>
                <w:sz w:val="24"/>
              </w:rPr>
              <w:t>Odôvodnenie: Precizovanie textu za účelom zabezpečenia jeho presnosti a štylistickej správnosti.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 § 23 odsek 3 písmena b)</w:t>
              <w:br/>
            </w:r>
            <w:r>
              <w:rPr>
                <w:b w:val="off"/>
                <w:color w:val="000000"/>
                <w:rFonts w:ascii="Times New Roman" w:hAnsi="Times New Roman" w:cs="Times New Roman" w:eastAsia="Times New Roman"/>
                <w:sz w:val="24"/>
              </w:rPr>
              <w:t>Vo vlastnom materiáli čl. I bode 35 § 23 odseku 3 písmena b) odporúčame preformulovať ustanovenie nasledovne: „bezodkladne riešiť kybernetický bezpečnostný incident a prijať opatrenia na zníženie rizika 27) vyplývajúceho zo zraniteľnosti po tom, ako sa o incidente alebo zraniteľnosti dozvedel“.</w:t>
              <w:br/>
            </w:r>
            <w:r>
              <w:rPr>
                <w:b w:val="off"/>
                <w:color w:val="000000"/>
                <w:rFonts w:ascii="Times New Roman" w:hAnsi="Times New Roman" w:cs="Times New Roman" w:eastAsia="Times New Roman"/>
                <w:sz w:val="24"/>
              </w:rPr>
              <w:t>Odôvodnenie: Precizovanie textu z dôvodu štylistickej korektúry.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ustanovenia mení jeho význam.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 8 ods. 5)</w:t>
              <w:br/>
            </w:r>
            <w:r>
              <w:rPr>
                <w:b w:val="off"/>
                <w:color w:val="000000"/>
                <w:rFonts w:ascii="Times New Roman" w:hAnsi="Times New Roman" w:cs="Times New Roman" w:eastAsia="Times New Roman"/>
                <w:sz w:val="24"/>
              </w:rPr>
              <w:t>Žiadame zúžiť rozsah spracúvaných osobných údajov len na tie, ktoré sú preukázateľne nevyhnutné na dosiahnutie zákonom určeného účelu alebo doplniť do zákona vymedzenie účelu spracúvania, ktoré bude zodpovedať rozsahu spracúvaných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 8 ods. 5 vymedzuje rozsah oprávnenia MIRRI na spracúvanie osobných údajov vrátane mena, priezviska, dátumu narodenia, adresy pobytu a štátneho občianstva osôb, ktoré sú predmetom monitoringu, spätnej väzby alebo iných činností vo vzťahu k IT verejnej správy. Tento rozsah považujeme za neprimeraný a v rozpore so zásadou minimalizácie osobných údajov podľa čl. 5 ods. 1 písm. c) nariadenia GDPR, ktorá vyžaduje, aby osobné údaje boli primerané, relevantné a obmedzené na nevyhnutný rozsah vzhľadom na účel, na ktorý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ktoré sa konalo dňa 16.7.2025 v sídle MIRRI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implementácie a monitoringu prioritných životných situácií, ktoré sú kľúčovou súčasťou digitálnej transformácie verejnej správy a súčasťou čerpania finančných prostriedkov z Plánu obnovy, je nevyhnutné zabezpečiť komplexný a prehľadný pohľad na aktuálny stav a efektivitu poskytovaných služieb. </w:t>
              <w:br/>
            </w:r>
            <w:r>
              <w:rPr>
                <w:b w:val="off"/>
                <w:color w:val="000000"/>
                <w:rFonts w:ascii="Times New Roman" w:hAnsi="Times New Roman" w:cs="Times New Roman" w:eastAsia="Times New Roman"/>
                <w:sz w:val="24"/>
              </w:rPr>
              <w:t xml:space="preserve">MIRRI SR ako orgán vedenia zohráva zásadnú úlohu v koordinácii, analýze a optimalizácii procesov verejnej správy súvisiacich s prioritnými životnými situáciami resp. životnými situáciami . Na dosiahnutie týchto cieľov je potrebné, aby orgány riadenia poskytovali MIRRI SR prístup k relevantným osobným údajom. </w:t>
              <w:br/>
            </w:r>
            <w:r>
              <w:rPr>
                <w:b w:val="off"/>
                <w:color w:val="000000"/>
                <w:rFonts w:ascii="Times New Roman" w:hAnsi="Times New Roman" w:cs="Times New Roman" w:eastAsia="Times New Roman"/>
                <w:sz w:val="24"/>
              </w:rPr>
              <w:t xml:space="preserve">Analýza osobných údajov umožňuje MIRRI SR identifikovať trendy, potreby a rizikové skupiny občanov a podnikateľov v rôznych životných situáciách, čo je základom pre efektívne plánovanie verejných služieb a alokáciu zdrojov. </w:t>
              <w:br/>
            </w:r>
            <w:r>
              <w:rPr>
                <w:b w:val="off"/>
                <w:color w:val="000000"/>
                <w:rFonts w:ascii="Times New Roman" w:hAnsi="Times New Roman" w:cs="Times New Roman" w:eastAsia="Times New Roman"/>
                <w:sz w:val="24"/>
              </w:rPr>
              <w:t xml:space="preserve">Na základe získaných údajov môže MIRRI SR navrhovať a implementovať opatrenia na zjednodušenie a personalizáciu služieb, čím sa napríklad minimalizuje aj administratívna záťaž pre občanov i podnikateľov (princíp „1x a dosť“). </w:t>
              <w:br/>
            </w:r>
            <w:r>
              <w:rPr>
                <w:b w:val="off"/>
                <w:color w:val="000000"/>
                <w:rFonts w:ascii="Times New Roman" w:hAnsi="Times New Roman" w:cs="Times New Roman" w:eastAsia="Times New Roman"/>
                <w:sz w:val="24"/>
              </w:rPr>
              <w:t xml:space="preserve">Poskytovanie komplexných dát umožňuje splniť monitorovacie povinnosti vyplývajúce z Plánu obnovy, vrátane transparentnosti využívania finančných prostriedkov a dosahovania nastavených cieľov. </w:t>
              <w:br/>
            </w:r>
            <w:r>
              <w:rPr>
                <w:b w:val="off"/>
                <w:color w:val="000000"/>
                <w:rFonts w:ascii="Times New Roman" w:hAnsi="Times New Roman" w:cs="Times New Roman" w:eastAsia="Times New Roman"/>
                <w:sz w:val="24"/>
              </w:rPr>
              <w:t xml:space="preserve">Osobné údaje umožňujú monitorovať, ako prioritné životné situácie skutočne ovplyvňujú životy občanov a podnikateľov, čím sa hodnotí úspešnosť implementovaných opatrení a poskytovaných služieb. </w:t>
              <w:br/>
            </w:r>
            <w:r>
              <w:rPr>
                <w:b w:val="off"/>
                <w:color w:val="000000"/>
                <w:rFonts w:ascii="Times New Roman" w:hAnsi="Times New Roman" w:cs="Times New Roman" w:eastAsia="Times New Roman"/>
                <w:sz w:val="24"/>
              </w:rPr>
              <w:t xml:space="preserve">Spracovanie osobných údajov pre analytické účely bude realizované v súlade s platnou legislatívou o ochrane osobných údajov (napríklad GDPR), pričom budú prijaté všetky potrebné bezpečnostné opatrenia na zabezpečenie dôvernosti, integrity a dostupnosti údajov v spolupráci s Úradom na ochranu osobných údajov.  </w:t>
              <w:br/>
            </w:r>
            <w:r>
              <w:rPr>
                <w:b w:val="off"/>
                <w:color w:val="000000"/>
                <w:rFonts w:ascii="Times New Roman" w:hAnsi="Times New Roman" w:cs="Times New Roman" w:eastAsia="Times New Roman"/>
                <w:sz w:val="24"/>
              </w:rPr>
              <w:t>Pre dosiahnutie cieľov v oblasti prioritných životných situácií, ktoré výrazne zlepšujú kvalitu, dostupnosť a efektivitu štátnych služieb pre občanov a podnikateľov, je nevyhnutné, aby orgány riadenia poskytovali MIRRI SR osobné údaje na analytické účely. Tieto údaje umožňujú vykonávať kvalifikované a dátovo podložené rozhodnutia, ktoré sú základom úspešnej implementácie Plánu obnovy a digitálnej transformácie verejnej správy.</w:t>
              <w:br/>
            </w:r>
            <w:r>
              <w:rPr>
                <w:b w:val="off"/>
                <w:color w:val="000000"/>
                <w:rFonts w:ascii="Times New Roman" w:hAnsi="Times New Roman" w:cs="Times New Roman" w:eastAsia="Times New Roman"/>
                <w:sz w:val="24"/>
              </w:rPr>
              <w:t xml:space="preserve">S Úradom na ochranu osobných údajov bolo dohodnuté nové znenie § 8 zákona o ITVS, ako vecným gestorom agendy ochrany osobných údajov. </w:t>
              <w:br/>
            </w:r>
            <w:r>
              <w:rPr>
                <w:b w:val="off"/>
                <w:color w:val="000000"/>
                <w:rFonts w:ascii="Times New Roman" w:hAnsi="Times New Roman" w:cs="Times New Roman" w:eastAsia="Times New Roman"/>
                <w:sz w:val="24"/>
              </w:rPr>
              <w:t>Pripomienkujúci subjekt na základe uvedeného znenia považuje rozpor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 ods. 2 písm. e)</w:t>
              <w:br/>
            </w:r>
            <w:r>
              <w:rPr>
                <w:b w:val="off"/>
                <w:color w:val="000000"/>
                <w:rFonts w:ascii="Times New Roman" w:hAnsi="Times New Roman" w:cs="Times New Roman" w:eastAsia="Times New Roman"/>
                <w:sz w:val="24"/>
              </w:rPr>
              <w:t xml:space="preserve">Žiadame vyňať školy a školské zariadenia podľa sústavy škôl a školských zariadení podľa § 27 a 112 zákona č. 245/2008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Školy a školské zariadenia netvoria a nespravujú vlastné informačné systémy, preto je dostačujúce, aby bol správcom informačného systému (orgánom riadenia) zriaďovateľ.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ktoré sa konalo dňa 16.7.2025 v sídle MIRRI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ide nad rámec návrhu novely zákona č. 95/2019 Z. z. o informačných technológiách vo verejnej správe a o zmene a doplnení niektorých zákonov v znení neskorších predpisov (ďalej len „zákon o ITVS“).</w:t>
              <w:br/>
            </w:r>
            <w:r>
              <w:rPr>
                <w:b w:val="off"/>
                <w:color w:val="000000"/>
                <w:rFonts w:ascii="Times New Roman" w:hAnsi="Times New Roman" w:cs="Times New Roman" w:eastAsia="Times New Roman"/>
                <w:sz w:val="24"/>
              </w:rPr>
              <w:t>Podľa § 2 ods. 1 zákona o ITVS sa informačnou technológiou rozumie prostriedok alebo postup, ktorý slúži na spracúvanie údajov alebo informácií v elektronickej podobe, najmä informačný systém, infraštruktúra, informačná činnosť a elektronické služby.</w:t>
              <w:br/>
            </w:r>
            <w:r>
              <w:rPr>
                <w:b w:val="off"/>
                <w:color w:val="000000"/>
                <w:rFonts w:ascii="Times New Roman" w:hAnsi="Times New Roman" w:cs="Times New Roman" w:eastAsia="Times New Roman"/>
                <w:sz w:val="24"/>
              </w:rPr>
              <w:t>Informačnými technológiami sú nielen programové prostriedky, technické prostriedky, informačné systémy, či infraštruktúra, ale aj ďalšie úzko súvisiace oblasti personálneho zabezpečenia a procesných postupov v oblasti informačných technológií, ako aj údaje samotné.</w:t>
              <w:br/>
            </w:r>
            <w:r>
              <w:rPr>
                <w:b w:val="off"/>
                <w:color w:val="000000"/>
                <w:rFonts w:ascii="Times New Roman" w:hAnsi="Times New Roman" w:cs="Times New Roman" w:eastAsia="Times New Roman"/>
                <w:sz w:val="24"/>
              </w:rPr>
              <w:t>Pod pojmem „informačné technológie verejnej správy“ nespadá len tvorba a spracovanie informačného systému, ale aj ďalšie dôležité aspekty riadenia, bezpečnosti, prevádzky a rozvoja informačných technológií vo verejnej správe.</w:t>
              <w:br/>
            </w:r>
            <w:r>
              <w:rPr>
                <w:b w:val="off"/>
                <w:color w:val="000000"/>
                <w:rFonts w:ascii="Times New Roman" w:hAnsi="Times New Roman" w:cs="Times New Roman" w:eastAsia="Times New Roman"/>
                <w:sz w:val="24"/>
              </w:rPr>
              <w:t>Pripomienkujúci subjekt špecifikoval, že školy a školské zariadenia spadajú pod orgány riadenia podľa § 5 ods. 2 písm. e) a g) zákona o ITVS. Orgán riadenia je poskytovateľom základnej služby z čoho mu vyplývajú ďalšie povinnosti, ktoré školy nedokážu plniť, najmä nie tzv. malotriedne školy.</w:t>
              <w:br/>
            </w:r>
            <w:r>
              <w:rPr>
                <w:b w:val="off"/>
                <w:color w:val="000000"/>
                <w:rFonts w:ascii="Times New Roman" w:hAnsi="Times New Roman" w:cs="Times New Roman" w:eastAsia="Times New Roman"/>
                <w:sz w:val="24"/>
              </w:rPr>
              <w:t xml:space="preserve">Predkladateľ konštatoval, že aktuálne (v predmetnom návrhu novely) nevidí priestor na vypustenie škôl a školských zariadení zo zoznamu orgánov riadenia podľa § 5 ods. 2 zákona o ITVS ani prenos plnenia povinností škôl a školských zariadení na zriaďovateľa. Takýto zásah do zákona si vyžaduje širšiu odbornú diskusiu (aj so zriaďovateľmi, samosprávami) a starostlivé zváženie všetkých aspektov. </w:t>
              <w:br/>
            </w:r>
            <w:r>
              <w:rPr>
                <w:b w:val="off"/>
                <w:color w:val="000000"/>
                <w:rFonts w:ascii="Times New Roman" w:hAnsi="Times New Roman" w:cs="Times New Roman" w:eastAsia="Times New Roman"/>
                <w:sz w:val="24"/>
              </w:rPr>
              <w:t>Z toho dôvodu sa predkladateľ s pripomienkujúcim subjektom dohodli, že pripomienkujúci subjekt preklasifikuje pripomienku na obyčajnú a predloží konkrétny návrh na úpravu pri príprave nasledujúcej novely zákona o ITVS, na základe čoho bude možné kvalifikovane vyhodnotiť všetky možnosti riešenia problematiky plnenia povinností škôl a školských zariadení. S týmto cieľom zostanú predkladateľ a pripomienkujúci subjekt v aktívnom kontakte.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vykonať posúdenie vplyvu na ochranu osobných údajov (DPIA) podľa čl. 35 GDPR, z dôvodu, že návrhom sa zavádza nové systematické spracúvanie údajov týkajúce sa veľkého počtu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Pripomienku berieme na vedomie. </w:t>
              <w:br/>
            </w:r>
            <w:r>
              <w:rPr>
                <w:b w:val="off"/>
                <w:color w:val="000000"/>
                <w:rFonts w:ascii="Times New Roman" w:hAnsi="Times New Roman" w:cs="Times New Roman" w:eastAsia="Times New Roman"/>
                <w:sz w:val="24"/>
              </w:rPr>
              <w:t>Navrhované ustanovenie § 8 ods. 5 novely má založiť právny základ na spracúvanie osobných údajov.</w:t>
              <w:br/>
            </w:r>
            <w:r>
              <w:rPr>
                <w:b w:val="off"/>
                <w:color w:val="000000"/>
                <w:rFonts w:ascii="Times New Roman" w:hAnsi="Times New Roman" w:cs="Times New Roman" w:eastAsia="Times New Roman"/>
                <w:sz w:val="24"/>
              </w:rPr>
              <w:t>DPIA je opatrenie podľa nariadenia GDPR, pred vykonaním spracovania osobných údajov.  Ide teda o dve rozdielne problematiky.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13a ods. 3</w:t>
              <w:br/>
            </w:r>
            <w:r>
              <w:rPr>
                <w:b w:val="off"/>
                <w:color w:val="000000"/>
                <w:rFonts w:ascii="Times New Roman" w:hAnsi="Times New Roman" w:cs="Times New Roman" w:eastAsia="Times New Roman"/>
                <w:sz w:val="24"/>
              </w:rPr>
              <w:t>Odporúčame v § 13a ods. 3 doplniť odkaz na predpis, v ktorom sú zadefinované kritériá pre prioritnú elektronickú službu. Zároveň odporúčame pojem „prioritná elektronická služba“ vymedziť v rámci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Doplnením odkazu na príslušný  predpis sa zabezpečí jednoznačnosť pri určovaní kritérií pre prioritnú elektronickú službu. Vysvetlenie pojmu „prioritná elektronická služba“ v časti základných pojmov prispeje k lepšej orientácii v texte zákona a zamedzí možným interpretačným nejasnostiam.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 na štandardy je obsiahnutý priamo v texte ustanovenia § 13a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Zadefinovanie kritérií pre prioritnú elektronickú službu bude upravené v samostatnom legislatívnom procese novely vyhlášky č. 78/2020 Z. z. o štandardoch pre informačné technológie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52. (§ 33b ods. 1)</w:t>
              <w:br/>
            </w:r>
            <w:r>
              <w:rPr>
                <w:b w:val="off"/>
                <w:color w:val="000000"/>
                <w:rFonts w:ascii="Times New Roman" w:hAnsi="Times New Roman" w:cs="Times New Roman" w:eastAsia="Times New Roman"/>
                <w:sz w:val="24"/>
              </w:rPr>
              <w:t>Odporúčame v § 33b ods. 1 prehodnotiť správnosť vnútorného odkazu.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kontexte odôvodnenia bodu 52 predpokladáme, že má ísť o odkaz na § 15 ods. 2 písm.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Vnútorný odkaz je správny, keďže ide o znenie účinné do 28.2.2026.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 celom materiáli nahradiť skratku "AI" iným vhodným slovným spojením, keďže podľa bodu 9.2. prílohy č. 1 Legislatívnych pravidiel vlády ako legislatívnu skratku nie je možné použiť skratku zostavenú zo začiatočných písmen slov.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novelizačnému bodu 10 vo vlastnom materiáli v § 8 ods. 5 žiadame vypustiť „aj osobné údaje, orgán vedenia je oprávnený takéto osobné údaje spracúvať v rozsahu, v akom sú orgánom vedenia získané alebo v akom sú poskytnuté orgánom riadenia, najmenej však v rozsahu identifikátor osoby, meno, priezvisko, dátum narodenia, adresa pobytu a štátne občianstvo. Ak sa údaje podľa prvej vety viažu ku konaniu, podaniu alebo úradnému dokumentu, obsahom oprávnenia podľa prvej vety je aj spracúvanie údajov o konaní, podaní alebo úradnom dokumente, oblasti, ktorej sa týkajú, priebehu a stavu ich vybavenia. Oprávnenie podľa prvej a druhej vety sa vzťahuje na osobné údaje v rozsahu nevyhnutnom na dosiahnutie účelu spracúvania a po dobu nevyhnutnú na dosiahnutie tohto účelu.“ na základe zákona č. 18/2018 Z. z. o ochrane osobných údajov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aby orgán riadenia poskytoval osobné údaje orgánu vedenia, ani v minimálnom rozsahu. Ich úlohou je v rámci monitorovania zabezpečiť funkčnosť, bezpečnosť, vyhľadávať riziká, kybernetické incidenty ap. ... a iné, a nie spracúvať osobné údaje taktiež spojené s procesnými úkonmi evidovanými v informačnom portáli (systéme) zabezpečovanými orgánom riadenia. V predloženom materiáli nie je pre navrhovanú povinnosť dostatočné odôvodnenie pre spracovávanie a zaobchádzanie s osobnými údajmi.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dňa 15.7.2025 po vysvetlení.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implementácie a monitoringu prioritných životných situácií, ktoré sú kľúčovou súčasťou digitálnej transformácie verejnej správy a súčasťou čerpania finančných prostriedkov z Plánu obnovy, je nevyhnutné zabezpečiť komplexný a prehľadný pohľad na aktuálny stav a efektivitu poskytovaných služieb. </w:t>
              <w:br/>
            </w:r>
            <w:r>
              <w:rPr>
                <w:b w:val="off"/>
                <w:color w:val="000000"/>
                <w:rFonts w:ascii="Times New Roman" w:hAnsi="Times New Roman" w:cs="Times New Roman" w:eastAsia="Times New Roman"/>
                <w:sz w:val="24"/>
              </w:rPr>
              <w:t xml:space="preserve">MIRRI SR ako orgán vedenia zohráva zásadnú úlohu v koordinácii, analýze a optimalizácii procesov verejnej správy súvisiacich s prioritnými životnými situáciami resp. životnými situáciami . Na dosiahnutie týchto cieľov je potrebné, aby orgány riadenia poskytovali MIRRI SR prístup k relevantným osobným údajom.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Analýza osobných údajov umožňuje MIRRI SR identifikovať trendy, potreby a rizikové skupiny občanov a podnikateľov v rôznych životných situáciách, čo je základom pre efektívne plánovanie verejných služieb a alokáciu zdrojov. </w:t>
              <w:br/>
            </w:r>
            <w:r>
              <w:rPr>
                <w:b w:val="off"/>
                <w:color w:val="000000"/>
                <w:rFonts w:ascii="Times New Roman" w:hAnsi="Times New Roman" w:cs="Times New Roman" w:eastAsia="Times New Roman"/>
                <w:sz w:val="24"/>
              </w:rPr>
              <w:t xml:space="preserve">Na základe získaných údajov môže MIRRI SR navrhovať a implementovať opatrenia na zjednodušenie a personalizáciu služieb, čím sa napríklad minimalizuje aj administratívna záťaž pre občanov i podnikateľov (princíp „1x a dosť“).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Poskytovanie komplexných dát umožňuje splniť monitorovacie povinnosti vyplývajúce z Plánu obnovy, vrátane transparentnosti využívania finančných prostriedkov a dosahovania nastavených cieľov. </w:t>
              <w:br/>
            </w:r>
            <w:r>
              <w:rPr>
                <w:b w:val="off"/>
                <w:color w:val="000000"/>
                <w:rFonts w:ascii="Times New Roman" w:hAnsi="Times New Roman" w:cs="Times New Roman" w:eastAsia="Times New Roman"/>
                <w:sz w:val="24"/>
              </w:rPr>
              <w:t xml:space="preserve">Osobné údaje umožňujú monitorovať, ako prioritné životné situácie skutočne ovplyvňujú životy občanov a podnikateľov, čím sa hodnotí úspešnosť implementovaných opatrení a poskytovaných služieb. </w:t>
              <w:br/>
            </w:r>
            <w:r>
              <w:rPr>
                <w:b w:val="off"/>
                <w:color w:val="000000"/>
                <w:rFonts w:ascii="Times New Roman" w:hAnsi="Times New Roman" w:cs="Times New Roman" w:eastAsia="Times New Roman"/>
                <w:sz w:val="24"/>
              </w:rPr>
              <w:t>Spracovanie osobných údajov pre analytické účely bude realizované v súlade splatnou legislatívou o ochrane osobných údajov (napríklad GDPR), pričom budú prijaté všetky potrebné bezpečnostné opatrenia na zabezpečenie dôvernosti, integrity a dostupnosti údajov v spolupráci s Úradom na ochranu osobných údajov.</w:t>
              <w:br/>
            </w:r>
            <w:r>
              <w:rPr>
                <w:b w:val="off"/>
                <w:color w:val="000000"/>
                <w:rFonts w:ascii="Times New Roman" w:hAnsi="Times New Roman" w:cs="Times New Roman" w:eastAsia="Times New Roman"/>
                <w:sz w:val="24"/>
              </w:rPr>
              <w:t xml:space="preserve">S Úradom na ochranu osobných údajov bolo dohodnuté nové znenie § 8 zákona o ITVS, ako vecným gestorom agendy ochrany osobných údajov. </w:t>
              <w:br/>
            </w:r>
            <w:r>
              <w:rPr>
                <w:b w:val="off"/>
                <w:color w:val="000000"/>
                <w:rFonts w:ascii="Times New Roman" w:hAnsi="Times New Roman" w:cs="Times New Roman" w:eastAsia="Times New Roman"/>
                <w:sz w:val="24"/>
              </w:rPr>
              <w:t>Pripomienkujúci subjekt na základe uvedeného znenia považuje rozpor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Konsolidované znenie k zákonu č. 95/2019 Z. z.</w:t>
              <w:br/>
            </w:r>
            <w:r>
              <w:rPr>
                <w:b w:val="off"/>
                <w:color w:val="000000"/>
                <w:rFonts w:ascii="Times New Roman" w:hAnsi="Times New Roman" w:cs="Times New Roman" w:eastAsia="Times New Roman"/>
                <w:sz w:val="24"/>
              </w:rPr>
              <w:t>Navrhujeme v konsolidovanom znení k zákonu č.95/2019 Z. z. zosúladiť v § 15 ods. 2 písm. h) slová „project“ s bodom 21 vo vlastnom materiáli.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Konsolidované znenie k zákonu č. 95/2019 Z. z.</w:t>
              <w:br/>
            </w:r>
            <w:r>
              <w:rPr>
                <w:b w:val="off"/>
                <w:color w:val="000000"/>
                <w:rFonts w:ascii="Times New Roman" w:hAnsi="Times New Roman" w:cs="Times New Roman" w:eastAsia="Times New Roman"/>
                <w:sz w:val="24"/>
              </w:rPr>
              <w:t xml:space="preserve">Navrhujeme zosúladiť konsolidované znenie k zákonu č. 95/2019 Z. z. s vlastným materiálom. V konsolidovanom znení k zákonu č. 95/2019 Z. z.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ods. 1 písm. b) v bode 6 slovo „ktorách“ nahradiť slovom „ktorých“,</w:t>
              <w:br/>
            </w:r>
            <w:r>
              <w:rPr>
                <w:b w:val="off"/>
                <w:color w:val="000000"/>
                <w:rFonts w:ascii="Times New Roman" w:hAnsi="Times New Roman" w:cs="Times New Roman" w:eastAsia="Times New Roman"/>
                <w:sz w:val="24"/>
              </w:rPr>
              <w:t>v §13b ods. 1 slovo „organ“ nahradiť slovom „orgán“,</w:t>
              <w:br/>
            </w:r>
            <w:r>
              <w:rPr>
                <w:b w:val="off"/>
                <w:color w:val="000000"/>
                <w:rFonts w:ascii="Times New Roman" w:hAnsi="Times New Roman" w:cs="Times New Roman" w:eastAsia="Times New Roman"/>
                <w:sz w:val="24"/>
              </w:rPr>
              <w:t>v § 15 ods. 2 písm. f) slovo „vybraté“ nahradiť slovom „vybrané“,</w:t>
              <w:br/>
            </w:r>
            <w:r>
              <w:rPr>
                <w:b w:val="off"/>
                <w:color w:val="000000"/>
                <w:rFonts w:ascii="Times New Roman" w:hAnsi="Times New Roman" w:cs="Times New Roman" w:eastAsia="Times New Roman"/>
                <w:sz w:val="24"/>
              </w:rPr>
              <w:t>v § 15 ods. 2 písm. g) bod 1 slovo „vrátanie“ nahradiť slovom „vrátane“,</w:t>
              <w:br/>
            </w:r>
            <w:r>
              <w:rPr>
                <w:b w:val="off"/>
                <w:color w:val="000000"/>
                <w:rFonts w:ascii="Times New Roman" w:hAnsi="Times New Roman" w:cs="Times New Roman" w:eastAsia="Times New Roman"/>
                <w:sz w:val="24"/>
              </w:rPr>
              <w:t>v § 15 ods. 2 písm. g) bod 2 slovo „inforáciami“ nahradiť slovom „informáciami“,</w:t>
              <w:br/>
            </w:r>
            <w:r>
              <w:rPr>
                <w:b w:val="off"/>
                <w:color w:val="000000"/>
                <w:rFonts w:ascii="Times New Roman" w:hAnsi="Times New Roman" w:cs="Times New Roman" w:eastAsia="Times New Roman"/>
                <w:sz w:val="24"/>
              </w:rPr>
              <w:t>v § 15 ods. 2 písm. j) slovo „prevádkovanie“ nahradiť slovom „prevádzkovanie“,</w:t>
              <w:br/>
            </w:r>
            <w:r>
              <w:rPr>
                <w:b w:val="off"/>
                <w:color w:val="000000"/>
                <w:rFonts w:ascii="Times New Roman" w:hAnsi="Times New Roman" w:cs="Times New Roman" w:eastAsia="Times New Roman"/>
                <w:sz w:val="24"/>
              </w:rPr>
              <w:t>v § 17 ods. 2 písm. c) slovo „electronicky“ nahradiť slovom „elektronicky“,</w:t>
              <w:br/>
            </w:r>
            <w:r>
              <w:rPr>
                <w:b w:val="off"/>
                <w:color w:val="000000"/>
                <w:rFonts w:ascii="Times New Roman" w:hAnsi="Times New Roman" w:cs="Times New Roman" w:eastAsia="Times New Roman"/>
                <w:sz w:val="24"/>
              </w:rPr>
              <w:t>v § 23 ods. 3 písm. b) slovo „incdidente“ nahradiť slovom „incidente“,</w:t>
              <w:br/>
            </w:r>
            <w:r>
              <w:rPr>
                <w:b w:val="off"/>
                <w:color w:val="000000"/>
                <w:rFonts w:ascii="Times New Roman" w:hAnsi="Times New Roman" w:cs="Times New Roman" w:eastAsia="Times New Roman"/>
                <w:sz w:val="24"/>
              </w:rPr>
              <w:t>v § 23 ods. 3 písm. c) za slová „verejnej správy“ doplniť čiarku,</w:t>
              <w:br/>
            </w:r>
            <w:r>
              <w:rPr>
                <w:b w:val="off"/>
                <w:color w:val="000000"/>
                <w:rFonts w:ascii="Times New Roman" w:hAnsi="Times New Roman" w:cs="Times New Roman" w:eastAsia="Times New Roman"/>
                <w:sz w:val="24"/>
              </w:rPr>
              <w:t>v § 23 ods. 3 písm. c) za slovami „jej zraniteľnosť“ vypustiť bodkočiarku,</w:t>
              <w:br/>
            </w:r>
            <w:r>
              <w:rPr>
                <w:b w:val="off"/>
                <w:color w:val="000000"/>
                <w:rFonts w:ascii="Times New Roman" w:hAnsi="Times New Roman" w:cs="Times New Roman" w:eastAsia="Times New Roman"/>
                <w:sz w:val="24"/>
              </w:rPr>
              <w:t>v § 23 ods. 3 písm. f) slovo „sidle“ nahradiť slovom „sídle“,</w:t>
              <w:br/>
            </w:r>
            <w:r>
              <w:rPr>
                <w:b w:val="off"/>
                <w:color w:val="000000"/>
                <w:rFonts w:ascii="Times New Roman" w:hAnsi="Times New Roman" w:cs="Times New Roman" w:eastAsia="Times New Roman"/>
                <w:sz w:val="24"/>
              </w:rPr>
              <w:t>v § 23 ods. 3 písm. f) slovo „zraniteľností“ nahradiť slovom „zraniteľnosti“,</w:t>
              <w:br/>
            </w:r>
            <w:r>
              <w:rPr>
                <w:b w:val="off"/>
                <w:color w:val="000000"/>
                <w:rFonts w:ascii="Times New Roman" w:hAnsi="Times New Roman" w:cs="Times New Roman" w:eastAsia="Times New Roman"/>
                <w:sz w:val="24"/>
              </w:rPr>
              <w:t>v § 23 ods. 3 písm. g) slovo „organ“ nahradiť slovom „orgán“,</w:t>
              <w:br/>
            </w:r>
            <w:r>
              <w:rPr>
                <w:b w:val="off"/>
                <w:color w:val="000000"/>
                <w:rFonts w:ascii="Times New Roman" w:hAnsi="Times New Roman" w:cs="Times New Roman" w:eastAsia="Times New Roman"/>
                <w:sz w:val="24"/>
              </w:rPr>
              <w:t>v § 23 ods. 4 slovo „ktorá“ nahradiť slovom „ktorý“,</w:t>
              <w:br/>
            </w:r>
            <w:r>
              <w:rPr>
                <w:b w:val="off"/>
                <w:color w:val="000000"/>
                <w:rFonts w:ascii="Times New Roman" w:hAnsi="Times New Roman" w:cs="Times New Roman" w:eastAsia="Times New Roman"/>
                <w:sz w:val="24"/>
              </w:rPr>
              <w:t>v § 33b slovo „ Januára“ nahradiť slovom „januára“.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23 ods. 3 písm. c) sa bodkočiarka nenachádza.</w:t>
              <w:br/>
            </w:r>
            <w:r>
              <w:rPr>
                <w:b w:val="off"/>
                <w:color w:val="000000"/>
                <w:rFonts w:ascii="Times New Roman" w:hAnsi="Times New Roman" w:cs="Times New Roman" w:eastAsia="Times New Roman"/>
                <w:sz w:val="24"/>
              </w:rPr>
              <w:t>Slovo „zraniteľností“ v § 23 ods. 3 písm. f) je v súlade s vlastným materiálom.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Konsolidovane znenie k zákonu č. 185/2015 Z. z.</w:t>
              <w:br/>
            </w:r>
            <w:r>
              <w:rPr>
                <w:b w:val="off"/>
                <w:color w:val="000000"/>
                <w:rFonts w:ascii="Times New Roman" w:hAnsi="Times New Roman" w:cs="Times New Roman" w:eastAsia="Times New Roman"/>
                <w:sz w:val="24"/>
              </w:rPr>
              <w:t>Navrhujeme zosúladiť konsolidované znenie k zákonu č. 185/2015 Z. z. s vlastným materiálom.</w:t>
              <w:br/>
            </w:r>
            <w:r>
              <w:rPr>
                <w:b w:val="off"/>
                <w:color w:val="000000"/>
                <w:rFonts w:ascii="Times New Roman" w:hAnsi="Times New Roman" w:cs="Times New Roman" w:eastAsia="Times New Roman"/>
                <w:sz w:val="24"/>
              </w:rPr>
              <w:t>V konsolidovanom znení k zákonu č. 185/2015 Z. z. 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93a ods. 1 slovo „database“ nahradiť slovom „databáze“.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 III, a teda aj konsolidované znenie boli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legislatívne vymedzenie alebo metodické usmernenie určujúce presný postup identifikácie „orgánu riadenia“ v zmysle zákona a jeho aplikácie v MetaIS. Navrhujeme zabezpečiť jednotnosť výkladu pojmu „orgán riadenia“ vo všetkých súvislostiach, najmä v oblasti plánovania, schvaľovania a evidencie IKT projektov. Zohľadniť uvedenú pripomienku buď v sprievodnom výklade k zákonu, alebo v príslušnej vykonávacej vyhláške, ktorá ustanoví spôsob a rozsah evidencie v centrálnom metainformačnom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novela rozširuje definíciu a pôsobnosť „orgánu riadenia“, čím dochádza k sprísneniu podmienok jeho identifikácie. V celom návrhu sa systematicky rozlišujú a formulujú povinnosti orgánu riadenia a správcu informačných technológií verejnej správy, pričom v mnohých prípadoch je správcom práve orgán riadenia. Vzhľadom na požiadavku viesť úplnú a presnú evidenciu v centrálnom metainformačnom systéme verejnej správy (MetaIS), žiadame doplniť zákon alebo sprievodnú vyhlášku o jednoznačné usmernenie alebo výklad, ktorý umožní jednoznačnú a nemennú identifikáciu subjektu „orgán riadenia“ v konkrétnom kontexte evidencie ISVS, projektov alebo ich komponentov. Z praktickej skúsenosti pri evidencii projektov v MetaIS totiž vyplýva, že subjekt – žiadateľ o schválenie projektu – sa automaticky stáva správcom ISVS, a teda aj „orgánom riadenia“. Tento postup je v rozpore so zámerom návrhu, podľa ktorého má byť orgán riadenia ustanovený s prihliadnutím na úlohy a právomoci definované najmä v § 2 ods. 5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 9 ods. 1 písm. j) zákona o ITVS  MIRRI SR ako orgán vedenia vydáva výkladové stanoviská. Ak má ministerstvo v konkrétnej situácii otázku ohľadom výkladu zákona, resp. zaradenia konkrétneho subjektu pod pojem „orgán riadenia“, môže sa vždy obrátiť na MIRRI SR a požiadať o výkladové stanovisko.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všeobecne</w:t>
              <w:br/>
            </w:r>
            <w:r>
              <w:rPr>
                <w:b w:val="off"/>
                <w:color w:val="000000"/>
                <w:rFonts w:ascii="Times New Roman" w:hAnsi="Times New Roman" w:cs="Times New Roman" w:eastAsia="Times New Roman"/>
                <w:sz w:val="24"/>
              </w:rPr>
              <w:t>V čl. I žiadame za novelizačný bod 1. vložiť nový novelizačný bod 2., ktorý znie:</w:t>
              <w:br/>
            </w:r>
            <w:r>
              <w:rPr>
                <w:b w:val="off"/>
                <w:color w:val="000000"/>
                <w:rFonts w:ascii="Times New Roman" w:hAnsi="Times New Roman" w:cs="Times New Roman" w:eastAsia="Times New Roman"/>
                <w:sz w:val="24"/>
              </w:rPr>
              <w:t>„2. V poznámke pod čiarou k odkazu 1a sa za citáciu „zákon č. 541/2004 Z. z. o mierovom využívaní jadrovej energie (atómový zákon) a o zmene a doplnení niektorých zákonov v znení neskorších predpisov,“ vkladá citácia „zákon č. 69/2018 Z. z. o kybernetickej bezpečnosti a o zmene a doplnení niektorých zákonov v znení neskorších predpisov,“.</w:t>
              <w:br/>
            </w:r>
            <w:r>
              <w:rPr>
                <w:b w:val="off"/>
                <w:color w:val="000000"/>
                <w:rFonts w:ascii="Times New Roman" w:hAnsi="Times New Roman" w:cs="Times New Roman" w:eastAsia="Times New Roman"/>
                <w:sz w:val="24"/>
              </w:rPr>
              <w:t>Nasledujúce novelizačné body sa primerane prečíslujú.</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poznámky pod čiarou žiadame s cieľom vylúčiť pochybnosti, že na informačné systémy Národného bezpečnostného úradu slúžiace na zabezpečovanie a riadenie kybernetickej bezpečnosti ako aj riešenie incidentov a iných foriem kybernetických hrozieb sa zákon č. 95/2019 Z. z. nevzťahuje.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vysvetlení dňa 15.7.2025.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ITVS sa netýka len bezpečnosti informačných systémov verejnej správy, preto nie je možné vylúčiť pôsobnosť zákona vo vzťahu k NBU a teda zákonu č. 69/2019. Pôsobnosť zákona o ITVS sa vzťahuje aj na informačné technológie NBÚ, keďže NBÚ je orgánom riadenia a zo zákona o ITVS mu vyplývajú povinnosti, ktoré sa netýkajú len bezpečnosti jeho informačných systémov.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21. (§ 15)</w:t>
              <w:br/>
            </w:r>
            <w:r>
              <w:rPr>
                <w:b w:val="off"/>
                <w:color w:val="000000"/>
                <w:rFonts w:ascii="Times New Roman" w:hAnsi="Times New Roman" w:cs="Times New Roman" w:eastAsia="Times New Roman"/>
                <w:sz w:val="24"/>
              </w:rPr>
              <w:t>V novelizačnom bode 21. v § 15 ods. 2 žiadame vypustiť písmeno j).</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predstavuje zásah do autonómie subjektov, čoho následkom môže byť spomalenie informatizácie.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vysvetlení dňa 15.7.2025.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MIRRI SR má oprávnený záujem dôsledne kontrolovať mobilné aplikácie verejnej správy z hľadiska ich bezpečnosti, kvality a súladu s platnou legislatívou. </w:t>
              <w:br/>
            </w:r>
            <w:r>
              <w:rPr>
                <w:b w:val="off"/>
                <w:color w:val="000000"/>
                <w:rFonts w:ascii="Times New Roman" w:hAnsi="Times New Roman" w:cs="Times New Roman" w:eastAsia="Times New Roman"/>
                <w:sz w:val="24"/>
              </w:rPr>
              <w:t xml:space="preserve">Predkladanie zámerov na schválenie umožňuje včasné odhalenie možných rizík a nastavenie riadenia projektu v súlade s bezpečnostnými a technologickými štandardmi.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zavedenie mechanizmu prezumpcie súhlasu po 20 pracovných dňoch zabezpečuje, že proces schvaľovania nebude neprimerane brzdený, a zároveň ponecháva MIRRI SR ako orgánu vedenia možnosť aktívneho zasahovania v prípade identifikácie závažných dôvodov na nesúhlas. </w:t>
              <w:br/>
            </w:r>
            <w:r>
              <w:rPr>
                <w:b w:val="off"/>
                <w:color w:val="000000"/>
                <w:rFonts w:ascii="Times New Roman" w:hAnsi="Times New Roman" w:cs="Times New Roman" w:eastAsia="Times New Roman"/>
                <w:sz w:val="24"/>
              </w:rPr>
              <w:t>Na záver uvádzame, že úprava ustanovenia § 15 ods. 2 písm. j) je nevyhnutná na zabezpečenie riadenia a koordinácie IT projektov v oblasti verejnej správy, čo je kľúčové pre efektívnu informatizáciu a minimalizáciu bezpečnostných rizík.</w:t>
              <w:br/>
            </w:r>
            <w:r>
              <w:rPr>
                <w:b w:val="off"/>
                <w:color w:val="000000"/>
                <w:rFonts w:ascii="Times New Roman" w:hAnsi="Times New Roman" w:cs="Times New Roman" w:eastAsia="Times New Roman"/>
                <w:sz w:val="24"/>
              </w:rPr>
              <w:t>Zároveň poukazujeme na skutočnosť, že nejde o zavádzanie novej povinnosti ale len o jej presun v rámci iného ustanovenia, keďže táto je upravená aj v súčasnom znení § 15 ods. 4 písm. f)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54.</w:t>
              <w:br/>
            </w:r>
            <w:r>
              <w:rPr>
                <w:b w:val="off"/>
                <w:color w:val="000000"/>
                <w:rFonts w:ascii="Times New Roman" w:hAnsi="Times New Roman" w:cs="Times New Roman" w:eastAsia="Times New Roman"/>
                <w:sz w:val="24"/>
              </w:rPr>
              <w:t>Novelizačný bod 54. žiadame vypustiť.</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ponechanie platného stavu v používaní pojmu „siete a informačné systémy“. Nie je jasný zmysel tejto úpravy a príslušný text odôvodnenia k novelizačnému bodu 54. nekorešponduje s realizovanou zmenou. Ide o zaužívaný pojem, ktorý je používaný aj v smernici Európskeho parlamentu a Rady (EÚ) 2022/2555 zo 14. decembra 2022 o opatreniach na zabezpečenie vysokej spoločnej úrovne kybernetickej bezpečnosti v Únii, ktorou sa mení nariadenie (EÚ) č. 910/2014 a smernica (EÚ) 2018/1972 a zrušuje smernica (EÚ) 2016/1148 (smernica NIS 2) (Ú. v. ES L 333, 27.12.2022). Odklon od tejto všeobecne akceptovanej terminológie môže viesť k mylnej interpretácii a k rôznemu prístupu k aplikácii právnej normy v praxi. Z dôvodovej správy nevyplýva, že cieľom zmeny v používaní pojmu je zúženie rámca právnej úpravy oblasti bezpečnosti podľa zákona č. 95/2019 Z. z. vo vzťahu k sieťam a informačným systémom, čo by samo o sebe odporovalo samotnej definícii informačnej technológie, ktorá zahŕňa okrem informačného systému aj infraštruktúru.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vysvetlení dňa 15.7.2025.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Spojenie „sieť a informačný systém“ sa v zákone používalo vo väzbe na zákon o kybernetickej bezpečnosti a na kategorizáciu sietí a informačných systémov. Po ostatnej novele zákona o kybernetickej bezpečnosti došlo k zmene a túto zmenu musí reflektovať aj zákon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IV všeobecne</w:t>
              <w:br/>
            </w:r>
            <w:r>
              <w:rPr>
                <w:b w:val="off"/>
                <w:color w:val="000000"/>
                <w:rFonts w:ascii="Times New Roman" w:hAnsi="Times New Roman" w:cs="Times New Roman" w:eastAsia="Times New Roman"/>
                <w:sz w:val="24"/>
              </w:rPr>
              <w:t>Žiadame článok IV upraviť jedným z týchto spôsobov:</w:t>
              <w:br/>
            </w:r>
            <w:r>
              <w:rPr>
                <w:b w:val="off"/>
                <w:color w:val="000000"/>
                <w:rFonts w:ascii="Times New Roman" w:hAnsi="Times New Roman" w:cs="Times New Roman" w:eastAsia="Times New Roman"/>
                <w:sz w:val="24"/>
              </w:rPr>
              <w:t>1.1 Preferujeme vypustenie článku IV a riešenie problematiky zápisu správcov informačných technológií verejnej správy (ďalej len „ITVS“) spolu s ostatnými úpravami v novele zákona č. 69/2018 Z. z. o kybernetickej bezpečnosti a o zmene a doplnení niektorých zákonov v znení neskorších predpisov (ďalej len „zákon č. 69/2018 Z. z.“), ktorú bude Národný bezpečnostný úrad predkladať do legislatívneho procesu v lete 2025.</w:t>
              <w:br/>
            </w:r>
            <w:r>
              <w:rPr>
                <w:b w:val="off"/>
                <w:color w:val="000000"/>
                <w:rFonts w:ascii="Times New Roman" w:hAnsi="Times New Roman" w:cs="Times New Roman" w:eastAsia="Times New Roman"/>
                <w:sz w:val="24"/>
              </w:rPr>
              <w:t>1.2 Ak otázka zápisu správcov ITVS neznesie odklad, žiadame upraviť článok IV spôsobom, ktorý nezasiahne do konania o zápise, ale dosiahne cieľ sledovaný predkladateľom tým, že upraví rozsah správcov informačných technológií verejnej správy, ktorí môžu byť prevádzkovateľom základnej služby. Žiadame, aby konkrétne znenie zmien bolo predmetom dohody medzi predkladateľom a Národným bezpečnostným úradom.</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bezpečnostný úrad v súlade s Plánom legislatívnych úloh vlády SR na rok 2025 pripravuje novelu zákona č. 69/2018 Z. z., ktorej predmetom bude okrem implementácie Nariadenia Európskeho parlamentu a Rady (EÚ) 2024/2847 z 23. októbra 2024 o horizontálnych požiadavkách kybernetickej bezpečnosti pre produkty s digitálnymi prvkami a o zmene nariadení (EÚ) č. 168/2013 a (EÚ) 2019/1020 a smernice (EÚ) 2020/1828 (akt o kybernetickej odolnosti) aj riešenie praktických problémov vyplývajúcich z aplikačnej praxe, vrátane zápisu osôb (napr. aj správcov ITVS) do registra prevádzkovateľov základnej služby.</w:t>
              <w:br/>
            </w:r>
            <w:r>
              <w:rPr>
                <w:b w:val="off"/>
                <w:color w:val="000000"/>
                <w:rFonts w:ascii="Times New Roman" w:hAnsi="Times New Roman" w:cs="Times New Roman" w:eastAsia="Times New Roman"/>
                <w:sz w:val="24"/>
              </w:rPr>
              <w:t>Napriek tomu, že ostatná novela zákona č. 69/2018 Z. z. uskutočnená zákonom č. 366/2024 Z. z. odstránila viaceré problémy vyplývajúce z hmotnoprávnej úpravy súvisiacej s dvojkoľajnosťou bezpečnostných opatrení pred jej účinnosťou, Národný bezpečnostný úrad vníma naďalej otázky týkajúce sa zaraďovania správcov ITVS do registra prevádzkovateľov základnej služby. Sme toho názoru, že nedostatok vykazuje samotná definícia, resp. obsah pojmu správca ITVS podľa zákona č. 95/2019 Z. z. o informačných technológiách vo verejnej správe a o zmene a doplnení niektorých zákonov v znení neskorších predpisov (ďalej len „zákon č. 95/2019 Z. z.“) na účely zabezpečenia kybernetickej bezpečnosti podľa zákona č. 69/2018 Z. z. s dôrazom na stanovenie určujúceho kritéria na zápis do registra prevádzkovateľov základnej služby. Pred účinnosťou zákona č. 366/2024 Z. z. uplatňovaný princíp kvantitatívneho ukazovateľa (obec nad 1 000 obyvateľov) pre zápis obce do registra prevádzkovateľov základnej služby je napríklad jednou z možností ako stanoviť kritérium pre zápis. Ďalšou možnosťou je precizovanie pojmu správca ITVS na účely zákona č. 69/2018 Z. z., prípadne zvážiť iné riešenie, ktoré by vzniklo z dohody na spoločnom stretnutí</w:t>
              <w:br/>
            </w:r>
            <w:r>
              <w:rPr>
                <w:b w:val="off"/>
                <w:color w:val="000000"/>
                <w:rFonts w:ascii="Times New Roman" w:hAnsi="Times New Roman" w:cs="Times New Roman" w:eastAsia="Times New Roman"/>
                <w:sz w:val="24"/>
              </w:rPr>
              <w:t>s predkladateľom. Cieľom aktivít Národného bezpečnostného úradu je naďalej podporovať budovanie kybernetickej odolnosti správcov informačnej technológie verejnej správy vrátane obcí a ostatných osôb, ktoré spadajú pod reguláciu zákona č. 69/2018 Z. z.</w:t>
              <w:br/>
            </w:r>
            <w:r>
              <w:rPr>
                <w:b w:val="off"/>
                <w:color w:val="000000"/>
                <w:rFonts w:ascii="Times New Roman" w:hAnsi="Times New Roman" w:cs="Times New Roman" w:eastAsia="Times New Roman"/>
                <w:sz w:val="24"/>
              </w:rPr>
              <w:t>Okrem vyššie uvedeného je možné, v rámci širšieho výkladu, vnímať ako problematické ustanovenie, ktoré umožňuje postup orgánu pri zaraďovaní osôb do registra prevádzkovateľov základnej služby mimo rámca štandardu uvedeného v zákone č. 69/2018 Z. z. a nezohľadnenie spätnej kontroly regulátorom kybernetickej bezpečnosti.</w:t>
              <w:br/>
            </w:r>
            <w:r>
              <w:rPr>
                <w:b w:val="off"/>
                <w:color w:val="000000"/>
                <w:rFonts w:ascii="Times New Roman" w:hAnsi="Times New Roman" w:cs="Times New Roman" w:eastAsia="Times New Roman"/>
                <w:sz w:val="24"/>
              </w:rPr>
              <w:t>Z vyššie uvedených dôvodov Národný bezpečnostný úrad žiada vypustenie článku IV, alebo jeho úpravu sledujúc niektorý z vyššie navrhnutých princípov. Na tento účel žiadame v najbližších dňoch zorganizovať stretnutie relevantných expertov z dotknutej oblasti, s cieľom viesť koordinovaný odborný dialóg a dosiahnuť konsenzuálne riešenie v danej veci, ktoré bude následne upravené v novele zákona č. 69/2018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čl. III (pôvodne čl. IV) bolo upravené na základe dohody.</w:t>
              <w:br/>
            </w:r>
            <w:r>
              <w:rPr>
                <w:b w:val="off"/>
                <w:color w:val="000000"/>
                <w:rFonts w:ascii="Times New Roman" w:hAnsi="Times New Roman" w:cs="Times New Roman" w:eastAsia="Times New Roman"/>
                <w:sz w:val="24"/>
              </w:rPr>
              <w:t>V nadväznosti na to došlo tiež k úprave znenia § 18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novelizačným bodom 6. a 12. (§ 3 a § 12 ods. 1)</w:t>
              <w:br/>
            </w:r>
            <w:r>
              <w:rPr>
                <w:b w:val="off"/>
                <w:color w:val="000000"/>
                <w:rFonts w:ascii="Times New Roman" w:hAnsi="Times New Roman" w:cs="Times New Roman" w:eastAsia="Times New Roman"/>
                <w:sz w:val="24"/>
              </w:rPr>
              <w:t>V texte návrhu odporúčame spresniť, že ide o údaje a oprávnenia na účely podľa nariadenia Európskeho Parlamentu a Rady (EÚ) 2022/868 z 30. mája 2022 o európskej správe údajov a o zmene nariadenia (EÚ) 2018/1724 (akt o správe údajov) (Ú. v. EÚ L 152, 3.6.2022) (ďalej len „nariadenie 2022/868“) napríklad formou vloženia nového odkazu nad slová „údajoch“ a „oprávneniach“ v § 3 písm. c) bod 3 a 4 a v § 12 ods. 1 písm. b) bod 6 a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je realizácia projektu registra dátových práv a povinností v rámci centrálneho metainformačného systému reakciou na povinnosti zavedené nariadením 2022/868, ktorý ustanovuje kategóriu údajov v držbe verejného sektora, vrátane podmienok ich opakovaného využitia. Z návrhu zákona však toto prepojenie nevyplýva a nie je teda zrejmé, aké údaje a oprávnenia a za akým účelom má orgán riadenia v centrálnom metainformačnom systéme evidovať. Čiastočnú implementáciu práva EÚ je potrebné zohľadniť aj v doložke zlučiteľnosti.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ustanovenia bol upravený.</w:t>
              <w:br/>
            </w:r>
            <w:r>
              <w:rPr>
                <w:b w:val="off"/>
                <w:color w:val="000000"/>
                <w:rFonts w:ascii="Times New Roman" w:hAnsi="Times New Roman" w:cs="Times New Roman" w:eastAsia="Times New Roman"/>
                <w:sz w:val="24"/>
              </w:rPr>
              <w:t>Pokiaľ ide o oprávnenia, akt o správe údajov pojem „oprávnenie“ nedefinuje, čiže nemôže ísť o oprávnenie podľa tohto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pojem „údaje“, ten je v akte o správe údajov definovaný všeobecne a určite pokryje aj údaje, informácie o ktorých budú v MetaIS vedené. To ale samé o sebe neznamená, že návrh zákona je implementáciou aktu o správe údajov, resp. že sa v legálnej definícii má odkázať na toto nariadenie.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10. (§ 8 ods. 3 až 5)</w:t>
              <w:br/>
            </w:r>
            <w:r>
              <w:rPr>
                <w:b w:val="off"/>
                <w:color w:val="000000"/>
                <w:rFonts w:ascii="Times New Roman" w:hAnsi="Times New Roman" w:cs="Times New Roman" w:eastAsia="Times New Roman"/>
                <w:sz w:val="24"/>
              </w:rPr>
              <w:t>V § 8 ods. 5 odporúčame bližšie špecifikovať účel spracúvania osobných údajov získaných z monitoringu a hodnotenia informačných technológií vo verejnej správe, zo zberu spätnej väzby k elektronickým službám od koncových používateľov alebo údajov získaných pri výkone pôsobnosti orgánu vedenia vo vzťahu k informačným technológiám.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môže mať orgán vedenia „potrebu“ spracúvať údaje na analytické účely, vzápätí sa však uvádza, že ide o úpravu obdobnú ako pri úprave notifikácií v zákone č. 305/2013 Z. z. o elektronickej podobe výkonu pôsobnosti orgánov verejnej moci a o zmene a doplnení niektorých zákonov (zákon o e-Governmente) v znení neskorších predpisov. Tieto tvrdenia si navzájom odporujú a nie je teda zrejmé, za akým účelom sa toto ustanovenie dopĺňa do zákona. Taktiež upozorňujeme, že účel a rozsah spracúvania osobných údajov je v § 18 ods. 9 zákona o e-Governmente precíznejší („na účely vytvorenia a zaslania notifikácie</w:t>
              <w:br/>
            </w:r>
            <w:r>
              <w:rPr>
                <w:b w:val="off"/>
                <w:color w:val="000000"/>
                <w:rFonts w:ascii="Times New Roman" w:hAnsi="Times New Roman" w:cs="Times New Roman" w:eastAsia="Times New Roman"/>
                <w:sz w:val="24"/>
              </w:rPr>
              <w:t>a plnenia povinností ministerstva investícií vo veci zasielania notifikácií podľa tohto zákona“), tento prístup odporúčame aplikovať aj v predloženom návrhu zákona s cieľom predísť neoprávnenému a nadbytočnému zberu nad rámec takých osobných údajov, ktoré sú pre plnenie úloh orgánu vedenia potrebné, má oprávnenie k ich spracúvaniu alebo takých údajov, ktoré orgán vedenia má už k dispozícii iným spôsobom.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Účelom spracovania osobných údajov je dosiahnutie cieľov v oblasti prioritných životných situácií, ktoré výrazne zlepšujú kvalitu, dostupnosť a efektivitu štátnych služieb pre občanov a podnikateľov, je nevyhnutné, aby orgány riadenia poskytovali MIRRI SR osobné údaje na analytické účely. Tieto údaje umožňujú vykonávať kvalifikované a dátovo podložené rozhodnutia, ktoré sú základom úspešnej implementácie Plánu obnovy a digitálnej transformácie verejnej správy.</w:t>
              <w:br/>
            </w:r>
            <w:r>
              <w:rPr>
                <w:b w:val="off"/>
                <w:color w:val="000000"/>
                <w:rFonts w:ascii="Times New Roman" w:hAnsi="Times New Roman" w:cs="Times New Roman" w:eastAsia="Times New Roman"/>
                <w:sz w:val="24"/>
              </w:rPr>
              <w:t xml:space="preserve">Na základe rokovaní s Úradom na ochranu osobných údajov, ako vecným gestorom agendy ochrany osobných údajov, došlo k úprave znenia § 8 zákona o ITVS.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18. (§ 13a ods. 7)</w:t>
              <w:br/>
            </w:r>
            <w:r>
              <w:rPr>
                <w:b w:val="off"/>
                <w:color w:val="000000"/>
                <w:rFonts w:ascii="Times New Roman" w:hAnsi="Times New Roman" w:cs="Times New Roman" w:eastAsia="Times New Roman"/>
                <w:sz w:val="24"/>
              </w:rPr>
              <w:t>Novelizačný bod 18. odporúčame preformulovať tak, aby orgán riadenia poskytoval údaje zo spätnej väzby orgánu vedenia len jedenkrát a len v jednom stanovenom intervale (buď len mesačne alebo len raz za kalendárny rok).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Ustanovením sa jednoznačne zavádza nová povinnosť nad rámec platného stavu a s tvrdením, že ide o precizovanie povinnosti z hľadiska spôsobu tohto výkonu, nemožno súhlasiť. Navyše z návrhu ani z dôvodovej správy nie je zrejmé, z akého dôvodu by mohla orgánu vedenia vzniknúť potreba opätovne žiadať od orgánu riadenia údaje za predchádzajúci rok, keď všetky informácie bude už mať dostupné na mesačnej báze. Pokiaľ ide o automatizáciu poskytovania údajov zo zberu spätnej väzby, odporúčame zvážiť nastavenie primeraného prechodného obdobia na organizačné a procesné zabezpečenie zmien pri zbere spätnej väzby u orgánov riadenia a zároveň vziať do úvahy čas potrebný na zosúladenie vyhlášky Úradu podpredsedu vlády SR pre investície a informatizáciu č. 547/2021 Z. z. o elektronizácii agendy verejnej správy, ktorou sa ustanovujú, okrem iného, aj podrobnosti o zbere spätnej väzby s navrhovanou zákonnou zmenou.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Frekvencia a forma poskytovania údajov ostanú nezmenené.</w:t>
              <w:br/>
            </w: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30. (§ 18)</w:t>
              <w:br/>
            </w:r>
            <w:r>
              <w:rPr>
                <w:b w:val="off"/>
                <w:color w:val="000000"/>
                <w:rFonts w:ascii="Times New Roman" w:hAnsi="Times New Roman" w:cs="Times New Roman" w:eastAsia="Times New Roman"/>
                <w:sz w:val="24"/>
              </w:rPr>
              <w:t>V novelizačnom bode 30. odporúčame upraviť poznámku pod čiarou k odkazu 21 tak, aby odkazovala na § 20 ods. 4 zákona č. 69/2018 Z. z., kde sa ustanovuje minimálny rozsah bezpečnostných opatrení, ktoré je povinný prevádzkovateľ základnej služby dodržiavať. Odkaz na celý § 20 nie je dostatočne presný, je mätúci a neopodstatnene rozširuje pravidlo ustanovené v § 19 ods. 1 druhá veta zákona č. 69/2018 Z. z., podľa ktorého prevádzkovateľ základnej služby prijíma, dodržiava a vykonáva sektorové bezpečnostné opatrenia, ak sú ustanovené, a zároveň opatrenia podľa § 20 ods. 4 zákona č. 69/2018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31. (§ 19 ods. 5)</w:t>
              <w:br/>
            </w:r>
            <w:r>
              <w:rPr>
                <w:b w:val="off"/>
                <w:color w:val="000000"/>
                <w:rFonts w:ascii="Times New Roman" w:hAnsi="Times New Roman" w:cs="Times New Roman" w:eastAsia="Times New Roman"/>
                <w:sz w:val="24"/>
              </w:rPr>
              <w:t>Novelizačný bod 31. odporúčame vypustiť alebo preformulovať nasledovne:</w:t>
              <w:br/>
            </w:r>
            <w:r>
              <w:rPr>
                <w:b w:val="off"/>
                <w:color w:val="000000"/>
                <w:rFonts w:ascii="Times New Roman" w:hAnsi="Times New Roman" w:cs="Times New Roman" w:eastAsia="Times New Roman"/>
                <w:sz w:val="24"/>
              </w:rPr>
              <w:t>„31. V § 19 ods. 5 písmeno a) znie:</w:t>
              <w:br/>
            </w:r>
            <w:r>
              <w:rPr>
                <w:b w:val="off"/>
                <w:color w:val="000000"/>
                <w:rFonts w:ascii="Times New Roman" w:hAnsi="Times New Roman" w:cs="Times New Roman" w:eastAsia="Times New Roman"/>
                <w:sz w:val="24"/>
              </w:rPr>
              <w:t>„a) dodržiava bezpečnostnú stratégiu kybernetickej bezpečnosti a bezpečnostné opatrenia schválené podľa odseku 2 písm. 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zrejmý účel navrhovanej zmeny. Z návrhu zákona ani nevyplýva, aký má zmysel vypracovanie, prerokovanie a schválenie bezpečnostnej stratégie kybernetickej bezpečnosti, keď ju nakoniec nemusí orgán riadenia/ správca ITVS dodržiavať. Odporúčame ponechať platný stav, resp. upraviť podľa pripomienky, prípadne presnejšie navrhovanú zmenu odôvodniť.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Textácia bola upravená nasledovne: „dodržiava opatrenia týkajúce sa bezpečnosti informačných technológií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32. (§ 21 ods. 2)</w:t>
              <w:br/>
            </w:r>
            <w:r>
              <w:rPr>
                <w:b w:val="off"/>
                <w:color w:val="000000"/>
                <w:rFonts w:ascii="Times New Roman" w:hAnsi="Times New Roman" w:cs="Times New Roman" w:eastAsia="Times New Roman"/>
                <w:sz w:val="24"/>
              </w:rPr>
              <w:t>Odporúčame bližšie špecifikovať pojem „informácie používané a prístupné len určeným skupinám oprávnených osôb, ktorých neoprávnené odhalenie, prezradenie alebo zničenie môže mať negatívny vplyv na poskytovanie služby verejnej správy“, vrátane označenia tohto druhu informácie v klasifikačnej schéme a určenia pravidiel prístupu.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zmeny v zákone č. 69/2018 Z. z. predkladateľ v dôvodovej správe k novelizačnému bodu 11. (§ 11 ods. 4) aj 50. (§ 31 písm. a) vyjadril úmysel ustanoviť klasifikáciu informácií a kategorizáciu sietí a informačných systémov vykonávacím predpisom vo svojej pôsobnosti, pričom však táto v priloženom návrhu vykonávacieho predpisu úplne chýba, preto túto časť odporúčame doplniť alebo aspoň konkrétnejšie vysvetliť podstatu zamýšľanej úpravy schém klasifikácie a kategorizácie v dôvodovej správe k návrhu zákona. Absencia nových pravidiel klasifikácie informácií a kategorizácie informačných systémov môže po prijatí právnej úpravy v navrhnutom znení spôsobiť v praxi nejednotný výklad a svojvôľu v postupe orgánov riadenia podľa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Snahou je rozšíriť povinné bezpečnostné testovanie na širší okruh zavádzaných ISVS.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o žiadnu zmenu. Dôvodom takejto formulácie je fakt, že v zákone o kybernetickej bezpečnosti sa upúšťa od kategorizácie a klasifikácie vyhláškou, preto dnešné znenie, ktoré odkazuje na zrušenú vyhlášku, je nevyhnutné zmeniť. Zmenilo sa tak, aby obsahovo korešpondovalo s dnes používanou úrovňou chránené alebo prísne chránené z pohľadu dôvernosti.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34. (§ 23 ods. 2)</w:t>
              <w:br/>
            </w:r>
            <w:r>
              <w:rPr>
                <w:b w:val="off"/>
                <w:color w:val="000000"/>
                <w:rFonts w:ascii="Times New Roman" w:hAnsi="Times New Roman" w:cs="Times New Roman" w:eastAsia="Times New Roman"/>
                <w:sz w:val="24"/>
              </w:rPr>
              <w:t>Odporúčame bližšie špecifikovať aká je „najvyššia kategória“ podľa kategorizácie informačných systémov, spôsob označenia tejto najvyššej kategórie v klasifikačnej schéme a aké sú kritériá a podmienky pre zaradenie do tejto kategórie.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zmeny v zákone č. 69/2018 Z. z. predkladateľ v dôvodovej správe k novelizačnému bodu 11. (§ 11 ods. 4) aj 50. (§ 31 písm. a) vyjadril úmysel ustanoviť klasifikáciu informácií a kategorizáciu sietí a informačných systémov vykonávacím predpisom vo svojej pôsobnosti, pričom však táto v priloženom návrhu vykonávacieho predpisu úplne chýba, preto túto časť odporúčame doplniť alebo aspoň konkrétnejšie vysvetliť podstatu zamýšľanej úpravy schém klasifikácie a kategorizácie v dôvodovej správe k návrhu zákona. Absencia nových pravidiel klasifikácie informácií a kategorizácie informačných systémov môže po prijatí právnej úpravy v navrhnutom znení spôsobiť v praxi nejednotný výklad a svojvôľu v postupe orgánov riadenia podľa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vypustený, ponechané súčasné znenie § 23 ods. 2 písm.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34. (§ 23 ods. 3)</w:t>
              <w:br/>
            </w:r>
            <w:r>
              <w:rPr>
                <w:b w:val="off"/>
                <w:color w:val="000000"/>
                <w:rFonts w:ascii="Times New Roman" w:hAnsi="Times New Roman" w:cs="Times New Roman" w:eastAsia="Times New Roman"/>
                <w:sz w:val="24"/>
              </w:rPr>
              <w:t>V novelizačnom bode 34. odporúčame v § 23 ods. 3 písmeno g) slová „bezpečnostný projekt“ nahradiť slovami „bezpečnostná dokumentácia“.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Používanie pojmov odporúčame zosúladiť s existujúcimi právnymi predpismi. Pojem „bezpečnostná dokumentácia“ je zaužívaným pojmom nielen v oblasti kybernetickej bezpečnosti (zákon č. 69/2018 Z. z., vyhláška č. 362/2018 Z. z. ktorou sa ustanovuje obsah bezpečnostných opatrení, obsah a štruktúra bezpečnostnej dokumentácie a rozsah všeobecných bezpečnostných opatrení), ale zároveň zo širšieho pohľadu aj naprieč celým právnym poriadkom, napr. aj zákon č. 541/2004 Z. z. o mierovom využívaní jadrovej energie (atómový zákon) a o zmene a doplnení niektorých zákonov v znení neskorších predpisov, vyhláška Ministerstva životného prostredia Slovenskej republiky č. 453/2000 Z. z. ktorou sa vykonávajú niektoré ustanovenia stavebného zákona v znení neskorších predpisov. Odporúčame zjednotiť terminológiu v záujme zjednodušovania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Bezpečnostný projekt je súčasťou bezpečnostnej dokumentácie. Cieľom je upraviť povinnosť predkladať bezpečnostný projekt na schválenie orgánu vedenia.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Návrh vykonávacieho predpisu odporúčame prepracovať tak, aby adekvátne reagoval na zmeny navrhnuté v čl. I návrhu vlastného materiálu (najmä zosúladenie terminológie, vnútorná konzistentnosť ustanovení, úprava odkazov na zákon, ktorý predpis vykonáva a aj na osobitné predpisy a pod.), a tiež reflektoval zmeny zavedené zákonom č. 69/2018 Z. z. (najmä zmenu v spôsobe určenia prevádzkovateľa základnej služby a zrušenie povinnosti ustanoviť klasifikáciu informácií a kategorizácií informačných systémov).</w:t>
              <w:br/>
            </w:r>
            <w:r>
              <w:rPr>
                <w:b w:val="off"/>
                <w:color w:val="000000"/>
                <w:rFonts w:ascii="Times New Roman" w:hAnsi="Times New Roman" w:cs="Times New Roman" w:eastAsia="Times New Roman"/>
                <w:sz w:val="24"/>
              </w:rPr>
              <w:t>Okrem vyššie uvedeného, predložený návrh doplnenia vyhlášky Úradu podpredsedu vlády Slovenskej republiky pre investície a informatizáciu č. 179/2020 z. z. ktorou sa ustanovuje spôsob kategorizácie a obsah bezpečnostných opatrení informačných technológií verejnej správy neobsahuje žiadny návrh klasifikácie informácií a návrh zákona v tomto smere neponúka postačujúce dočasné riešenie, čo spôsobí pre orgány riadenia právnu neistotu.</w:t>
              <w:br/>
            </w:r>
            <w:r>
              <w:rPr>
                <w:b w:val="off"/>
                <w:color w:val="000000"/>
                <w:rFonts w:ascii="Times New Roman" w:hAnsi="Times New Roman" w:cs="Times New Roman" w:eastAsia="Times New Roman"/>
                <w:sz w:val="24"/>
              </w:rPr>
              <w:t>Vzhľadom na povinnosť vyplývajúcu z § 4 ods. 3 zákona č. 400/2015 Z. z. odporúčame zvážiť úpravu informačného systému „vládneho informačného systému kybernetickej bezpečnosti“ priamo v návrhu zákona. Z návrhu zákona nevyplýva, o aký informačný systém ide, a v prípade, že ide o nový nástroj, ktorý budú musieť orgány riadenia povinne využívať v komunikácii s orgánom vedenia, je potrebné túto povinnosť ustanoviť v zákone č. 95/2019 Z. z. a túto skutočnosť primerane reflektovať vo vyznačených vplyvoch v doložke vplyvov a v analýze vplyvov na informatizáciu spoločnosti. V § 23 ods. 3 písm. d) návrhu zákona je vyjadrené zákonné splnomocnenie len na vydanie vykonávacieho predpisu v súvislosti s rozsahom zasielaných systémových informácií, pričom spôsob má byť ustanovený zákonom.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vyhlášky, ktorou dôjde k zmene právnej úpravy aktuálne obsiahnutej vo vyhláške č. 179/2020 Z. z., bude mať samostatný legislatívny proces a návrh novely zákona v nej bude zohľadnený.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3: V poznámke pod čiarou k odkazu 4b žiadame publikačný zdroj nariadenia (EÚ) 2024/1689 citovať nasledovne: (Ú. v. EÚ L, 2024/1689, 12.7.2024).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21: Upozorňujeme predkladateľa, že zmenou pôvodného § 15 ods. 2 písm. d) zákona 95/2019 Z. z.  došlo k vypusteniu odkazu na vykonávacie rozhodnutie Komisie (EÚ) 2017/863 z 18. mája 2017, ktorým sa aktualizuje verejná open source softvérová licencia Európskej únie (EUPL) v záujme ďalšej podpory zdieľania a opätovného používania softvéru vyvinutého verejnými správami (Ú. v. EÚ L 128, 19.5.2017). Žiadame predkladateľa odôvodniť prečo nepovažuje za potrebné na dané vykonávacie rozhodnutie odkazovať, keďže sa ním stanovujú podmienky verenej licencie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„povinných licenčných dojednaní“ sa vecne zmenila.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režimu povinnej EUPL licencie na zdrojový kód sa prešlo na povinnosť dojednať licencie tak, aby sa predišlo vendor lock-in a všeobecne obmedzeniam správcu v plnení svojich úloh a nakladaní s majetkom štátu. V novom zákonnom vyjadrení nemá odkaz na vykonávacie rozhodnutie Komisie zmysel, preto bol vypustený. To však neznamená, že tento typ licenčného dojednania nebude možný. Ide len o iný spôsob úpravy zákonnej povinnosti.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Predkladateľ v dôvodovej správe uvádza, že predkladaným návrhom zákona reflektuje aj na prijatie smernice (EÚ) 2022/2555 v platnom znení, napríklad aj zmenou § 18. V prípade, že dané zmeny sa vykonávajú z dôvodu transpozície niektorých ustanovení smernice (EÚ) 2022/2555 v platnom znení,</w:t>
              <w:br/>
            </w:r>
            <w:r>
              <w:rPr>
                <w:b w:val="off"/>
                <w:color w:val="000000"/>
                <w:rFonts w:ascii="Times New Roman" w:hAnsi="Times New Roman" w:cs="Times New Roman" w:eastAsia="Times New Roman"/>
                <w:sz w:val="24"/>
              </w:rPr>
              <w:t xml:space="preserve"> žiadame predkladateľa o vypracovanie čiastkovej tabuľky zhody, kde danú transpozíciu preukáže. Zároveň žiadame aj o pridanie smernice (EÚ) 2022/2555 v platnom znení  do transpozičnej prílohy zákona 95/2019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nepredstavuje transpozíciu smernice NIS2. Tá bola transponovaná zákonom č. 366/2024 Z. z., ktorým sa mení a dopĺňa zákon č. 69/2018 Z. z. o kybernetickej bezpečnosti a o zmene a doplnení niektorých zákonov v znení neskorších predpisov a ktorým sa menia a dopĺňajú niektoré zákony.</w:t>
              <w:br/>
            </w:r>
            <w:r>
              <w:rPr>
                <w:b w:val="off"/>
                <w:color w:val="000000"/>
                <w:rFonts w:ascii="Times New Roman" w:hAnsi="Times New Roman" w:cs="Times New Roman" w:eastAsia="Times New Roman"/>
                <w:sz w:val="24"/>
              </w:rPr>
              <w:t>Predmetnou novelou zákona o kybernetickej bezpečnosti sa však napr. vypustila definícia pojmu „základná služba“ a samostatne zadefinoval pojem „poskytovateľ základnej služby“, a teda je potrebné zohľadniť tieto zmeny v pojmovom nastavení aj v zákone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Zmluvu o fungovaní EÚ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nariadenie (EÚ) č. 910/2014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nariadenie (EÚ) 2018/1724 citovať spolu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publikačný zdroj nariadenia (EÚ) 2024/1689 citovať nasledovne: (Ú. v. EÚ L, 2024/1689, 12.7.2024).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Žiadame smernicu (EÚ) 2022/2555 citovať spolu s publikačným zdrojom a s dodatkom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smernica sa v materiáli upravenom po MPK neuvádza s ohľadom na jej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10</w:t>
              <w:br/>
            </w:r>
            <w:r>
              <w:rPr>
                <w:b w:val="off"/>
                <w:color w:val="000000"/>
                <w:rFonts w:ascii="Times New Roman" w:hAnsi="Times New Roman" w:cs="Times New Roman" w:eastAsia="Times New Roman"/>
                <w:sz w:val="24"/>
              </w:rPr>
              <w:t>Žiadame premietnuť rozsah predkladaných dokumentov do úprav Vyhlášky č. 401/2021 a č. 46/2025 za účelom zjednodušenia povinností uvedených v týchto vyhláškach. Predovšetkým sa jedná o zásadné zmeny v zoznamoch a kategóriách povinne predkladaných dokumentoch z prílohy číslo 1 a čiastkové zmeny v prílohe číslo 2 k Vyhláške č. 401/2021. Žiadame, aby MIRRI SR zabezpečilo novelizáciu Vyhlášky č. 401/2021 v znení Vyhlášky č. 46/2025 a prepracovaniu oboch príloh.  Konsolidované znenie Vyhlášky č. 401/2021 by malo byť súčasťou predkladaného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Prax ukazuje, že rozsah požadovanej dokumentácie zaťažuje orgány riadenia a neúmerne predlžuje prípravu a realizáciu projektov. Zvlášť neadekvátny je rozsah predkladanej dokumentácie pri malých a stredne veľkých projektoch. Zároveň to spôsobuje, že orgán vedenia sa venuje mikro-manažmentu namiesto, aby alokoval kapacity na veľké projekty (nad 10 miliónov €) a na koordináciu integračných projektov prepájajúcich viacero úsekov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ktoré sa konalo dňa 2.9.2025 v sídle MIRRI SR.</w:t>
              <w:br/>
            </w:r>
            <w:r>
              <w:rPr>
                <w:b w:val="off"/>
                <w:color w:val="000000"/>
                <w:rFonts w:ascii="Times New Roman" w:hAnsi="Times New Roman" w:cs="Times New Roman" w:eastAsia="Times New Roman"/>
                <w:sz w:val="24"/>
              </w:rPr>
              <w:t>Rozsah predkladaných dokumentov neupravuje zákon priamo ani predkladaná novela, ale vyhláška, preto pripomienke v rámci novely zákona nie je možné vyhovieť. MIRRI SR aktuálne neeviduje podnety orgánov riadenia k tejto problematike.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 xml:space="preserve">Navrhujeme vložiť do návrhu nový novelizačný bod, ktorým sa v §10 odsek 1, text „s cieľom budovania riadnej a efektívnej úrovne informatizácie vo verejnej správe.“ nahradí textom „s cieľom zvyšovať efektívnosť verejnej správy, znižovať náklady, prácnosť a trvanie procesov vo verejnej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Informatizácia verejnej správy doposiaľ nepriniesla transformačné efekty, ktoré prináša v súkromnom sektore a vo verejnej správe v zahraničí. Digitálne technológie sú všade bežným nástrojom na znižovanie nákladov a zvyšovanie výkonnosti. Na Slovensku sme sa k tomu nikde nedostali ani na úrovni pomenovania týchto zjavných benefitov digitálneho veku. V bežnom diskurze sa doterajší prístup označuje ako „digitalizácia papierových procesov“. Jeden z dôvodov je, že Národná koncepcia nikdy inú ambíciu nemala a koncentrovala sa na čisto informatické ukazovatele a technické parametre súvisiace s digitalizáciou. V čase intenzívnej konsolidácie verejných financií si už takýto prístup nemôžeme dovoliť. Národná koncepcia by mala pomenovať ciele a princípy digitálnej transformácie a vytvoriť tlak na presadzovanie týchto cieľov za pomoci adekvátnych a všeobecne známych nástrojov a postupov.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základe rozporového konania, ktoré sa konalo dňa 2.9.2025 v sídle MIRRI SR.</w:t>
              <w:br/>
            </w:r>
            <w:r>
              <w:rPr>
                <w:b w:val="off"/>
                <w:color w:val="000000"/>
                <w:rFonts w:ascii="Times New Roman" w:hAnsi="Times New Roman" w:cs="Times New Roman" w:eastAsia="Times New Roman"/>
                <w:sz w:val="24"/>
              </w:rPr>
              <w:t>Rozpor odstránený, autor pripomienky akceptoval v tomto štádiu  vysvetlenie predkladateľa.</w:t>
              <w:br/>
            </w:r>
            <w:r>
              <w:rPr>
                <w:b w:val="off"/>
                <w:color w:val="000000"/>
                <w:rFonts w:ascii="Times New Roman" w:hAnsi="Times New Roman" w:cs="Times New Roman" w:eastAsia="Times New Roman"/>
                <w:sz w:val="24"/>
              </w:rPr>
              <w:t>Znenie ustanovenia § 10 ods. 1 bolo upravené.</w:t>
              <w:br/>
            </w:r>
            <w:r>
              <w:rPr>
                <w:b w:val="off"/>
                <w:color w:val="000000"/>
                <w:rFonts w:ascii="Times New Roman" w:hAnsi="Times New Roman" w:cs="Times New Roman" w:eastAsia="Times New Roman"/>
                <w:sz w:val="24"/>
              </w:rPr>
              <w:t>Celý zákon o ITVS je o nástrojoch a o celkovom prostredí ktoré tvoria, t.j. o pravidlách, ako má byť prostredie budované. Zákon o ITVS sa zaoberá problematikou sektorovo z hľadiska IT. Nie je o efektívnej verejnej správe, efektívnosti procesov ako takých ani personálnych nárokoch a postupoch práce jednotlivých úradov, aj keď jeho riadnym uplatňovaním môže byť efektivita podporená. Preto pripomienke nie je možné vyhovieť. Samotný návrh NKIVS tému digitálnej transformácie obsahuje a zákon o ITVS obsahuje povinnosť o. i. budovať ITVS v súlade s NKIVS.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novelizačný bod, ktorým sa v § 12, odsek (1) písmená e) až l) zohľadnia schopnosti a možnosti malých orgánov verejnej správy napĺňať zákon. Teda žiadame, aby boli v novele zákona o ITVS orgány verejnej správy kategorizované buď z hľadiska veľkosti alebo z hľadiska závažnosti prevádzkovaných informačných technológií. Poprípade kombináciou oboch prístupov. Na OVS pod istou veľkostnou hranicou by sa mali vzťahovať iné, jednoduchšie povinnosti, poprípade malo by dôjsť k odloženiu časti ich povinností. Kategorizácia by s následne mala premietnuť aj do úprav Zákona 305/2013 Z.z. o elektronickej podobe výkonu pôsobnosti orgánov verejnej moci a o zmene a doplnení niektorých zákonov (zákon o e-Governmente), výnosu MV SR č. 525/2011 Z. z. o štandardoch pre elektronické informačné systémy na správu registratúry v znení opatrenia MV SR č. 203/2021 Z. z.  a Zákona č. 69/2018 Z. z. o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kontrolnej činnosti Najvyššieho kontrolného úradu vyplýva, že malé orgány verejnej správy nie sú schopné splniť plniť požiadavky Zákona 305/2013 Z.z. o elektronickej podobe výkonu pôsobnosti orgánov verejnej moci a o zmene a doplnení niektorých zákonov (zákon o e-Governmente), avšak ani požiadavky výnosu MV SR č. 525/2011 Z. z. o štandardoch pre elektronické informačné systémy na správu registratúry v znení opatrenia MV SR č. 203/2021 Z. z. Prax ešte musí ukázať, ako sa tieto subjekty dokážu vysporiadať s novelou Zákona č. 69/2018 Z. z. o kybernetickej bezpečnosti. Uvedené sa týka zhruba 3000 obcí a 6000 škôl, ktoré sa ocitnú v pozícii, že si nedokážu vytvoriť podmienky, aby boli schopné plniť povinnosti, ktoré im ukladá zákon. Nevidíme žiadnu možnosť, ako by uvedené subjekty mohli v dohľadnej získať kompetencie, dodatočný personál alebo finančné zdroje na kontrahovanie externých IT kapacít na naplnenie svojich zákonných povinností. Nedostatok informatikov, manažérov kybernetickej bezpečnosti a ďalších profesií je všeobecne známym faktom. Ignorovanie tohto faktu spôsobí, že zákon sa v istej kategórii povinných osôb stane nevykonateľným z vecných dôvodov.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ktoré sa konalo dňa 2.9.2025 v sídle MIRRI SR.</w:t>
              <w:br/>
            </w:r>
            <w:r>
              <w:rPr>
                <w:b w:val="off"/>
                <w:color w:val="000000"/>
                <w:rFonts w:ascii="Times New Roman" w:hAnsi="Times New Roman" w:cs="Times New Roman" w:eastAsia="Times New Roman"/>
                <w:sz w:val="24"/>
              </w:rPr>
              <w:t>Táto pripomienka presahuje rámec navrhovanej novely zákona.</w:t>
              <w:br/>
            </w:r>
            <w:r>
              <w:rPr>
                <w:b w:val="off"/>
                <w:color w:val="000000"/>
                <w:rFonts w:ascii="Times New Roman" w:hAnsi="Times New Roman" w:cs="Times New Roman" w:eastAsia="Times New Roman"/>
                <w:sz w:val="24"/>
              </w:rPr>
              <w:t>Zákon o ITVS ustanovuje základné požiadavky kladené na informačné technológie verejnej správy a na ich správu a s tým spojené práva a povinnosti orgánov riadenia za účelom zabezpečenia spoľahlivej, interoperabilnej a bezpečnej prevádzky informačných technológií verejnej správy.</w:t>
              <w:br/>
            </w:r>
            <w:r>
              <w:rPr>
                <w:b w:val="off"/>
                <w:color w:val="000000"/>
                <w:rFonts w:ascii="Times New Roman" w:hAnsi="Times New Roman" w:cs="Times New Roman" w:eastAsia="Times New Roman"/>
                <w:sz w:val="24"/>
              </w:rPr>
              <w:t>Preto nepovažujeme za správne, že informačné technológie verejnej správy v správe určitých obcí (aj keď menších), nemusia spĺňať požiadavky na ich správu, prevádzku, zabezpečenie bezpečnosti, či obstarávania alebo implementácie ako obdobné informačné technológie verejnej správy v správe napr. miest. To isté sa týka aj posudzovania „závažnosti prevádzkovaných informačných technológií verejnej správy“.</w:t>
              <w:br/>
            </w:r>
            <w:r>
              <w:rPr>
                <w:b w:val="off"/>
                <w:color w:val="000000"/>
                <w:rFonts w:ascii="Times New Roman" w:hAnsi="Times New Roman" w:cs="Times New Roman" w:eastAsia="Times New Roman"/>
                <w:sz w:val="24"/>
              </w:rPr>
              <w:t>Zároveň je potrebné uviesť, že zákon o ITVS je účinný od 01. mája 2019 pričom vecne nahradil zákon č. 275/2006 Z. z. o informačných systémoch verejnej správy v znení neskorších predpisov. Rovnako aj vykonávacie predpisy k zákonu o ITVS nie sú novou právnou úpravou. Vyhláška č. 78/2020 Z. z. o štandardoch pre informačné technológie verejnej správy v znení neskorších predpisov je účinná od 01. 05.2020 pričom rovnako vecne nahradila dovtedy platný výnos Ministerstva financií Slovenskej republiky č. 55/2014 Z. z. o štandardoch pre informačné systémy verejnej správy.</w:t>
              <w:br/>
            </w:r>
            <w:r>
              <w:rPr>
                <w:b w:val="off"/>
                <w:color w:val="000000"/>
                <w:rFonts w:ascii="Times New Roman" w:hAnsi="Times New Roman" w:cs="Times New Roman" w:eastAsia="Times New Roman"/>
                <w:sz w:val="24"/>
              </w:rPr>
              <w:t>Už podľa súčasnej právnej úpravy § 28 ods. 1 zákona o ITVS za orgán riadenia, ktorým je obec, a vo vzťahu k informačným technológiám verejnej správy, ktorých prevádzkovanie zabezpečuje obec prostredníctvom dátového centra obcí, plní povinnosti podľa § 8 ods. 2, § 12 ods. 1 písm. a) a b) a § 14 ods. 3 správca informačného systému dátového centra obcí.</w:t>
              <w:br/>
            </w:r>
            <w:r>
              <w:rPr>
                <w:b w:val="off"/>
                <w:color w:val="000000"/>
                <w:rFonts w:ascii="Times New Roman" w:hAnsi="Times New Roman" w:cs="Times New Roman" w:eastAsia="Times New Roman"/>
                <w:sz w:val="24"/>
              </w:rPr>
              <w:t>Predmetné ustanovenie reflektuje existenciu združenia DEUS, ktorého základným poslaním je práve aj výkon niektorých činností správy za obce a mestá.</w:t>
              <w:br/>
            </w:r>
            <w:r>
              <w:rPr>
                <w:b w:val="off"/>
                <w:color w:val="000000"/>
                <w:rFonts w:ascii="Times New Roman" w:hAnsi="Times New Roman" w:cs="Times New Roman" w:eastAsia="Times New Roman"/>
                <w:sz w:val="24"/>
              </w:rPr>
              <w:t>Okrem toho zákon o ITVS v § 27 umožňuje orgánom riadenia požiadať orgán vedenia o osobitný postup, a teda povolenie dočasnej úpravy rozsahu a spôsobu plnenia povinností podľa zákona o ITVS, resp. jeho vykonávacích predpisov, ak preukáže, splnenie zákonnom predpokladaných okolnosti uvedených v § 27 ods. 2 zákona o ITVS.</w:t>
              <w:br/>
            </w:r>
            <w:r>
              <w:rPr>
                <w:b w:val="off"/>
                <w:color w:val="000000"/>
                <w:rFonts w:ascii="Times New Roman" w:hAnsi="Times New Roman" w:cs="Times New Roman" w:eastAsia="Times New Roman"/>
                <w:sz w:val="24"/>
              </w:rPr>
              <w:t>Vzhľadom na súčasnú úpravu zákona a možnosť orgánov riadenia požiadať o dočasnú úpravu rozsahu či spôsobu plnenia povinností podľa zákona o ITVS, pripomienku neakceptujeme.</w:t>
              <w:br/>
            </w:r>
            <w:r>
              <w:rPr>
                <w:b w:val="off"/>
                <w:color w:val="000000"/>
                <w:rFonts w:ascii="Times New Roman" w:hAnsi="Times New Roman" w:cs="Times New Roman" w:eastAsia="Times New Roman"/>
                <w:sz w:val="24"/>
              </w:rPr>
              <w:t>Vo vzťahu k časti pripomienky týkajúcej sa zákona č. 305/2013 Z. z. o elektronickej podobe výkonu pôsobnosti orgánov verejnej moci a o zmene a doplnení niektorých zákonov (zákon o e-Governmente), tieto úpravy nie sú predmetom predkladanej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14</w:t>
              <w:br/>
            </w:r>
            <w:r>
              <w:rPr>
                <w:b w:val="off"/>
                <w:color w:val="000000"/>
                <w:rFonts w:ascii="Times New Roman" w:hAnsi="Times New Roman" w:cs="Times New Roman" w:eastAsia="Times New Roman"/>
                <w:sz w:val="24"/>
              </w:rPr>
              <w:t>Žiadame znenie upraviť takto: Koncepcia rozvoja informačných technológií má za cieľ zvýšenie efektívnosti orgánu verejnej správy, skrátenie časov a zníženie personálnych nárokov na realizáciu úkonov orgánu verejnej správy, ako aj dlhodobé plánovanie optimalizácie procesov, prevádzky a rozvoja informačnej technológie v správe orgánu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Transformačné benefity súvisiace s digitalizáciou nie je možné dosiahnuť bez zmien v organizácii práce, zmeny činností pracovníkov a transformácie procesov. Koncepcia rozvoja informačných technológií by mala tieto zmeny popísať a zreteľne prepojiť nasadzovanie digitálnych technológií so zvyšovaním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základe rozporového konania, ktoré sa konalo dňa 2.9.2025 v sídle MIRRI SR.</w:t>
              <w:br/>
            </w:r>
            <w:r>
              <w:rPr>
                <w:b w:val="off"/>
                <w:color w:val="000000"/>
                <w:rFonts w:ascii="Times New Roman" w:hAnsi="Times New Roman" w:cs="Times New Roman" w:eastAsia="Times New Roman"/>
                <w:sz w:val="24"/>
              </w:rPr>
              <w:t>Autor pripomienky akceptoval v tomto štádiu  vysvetlenie predkladateľa.</w:t>
              <w:br/>
            </w:r>
            <w:r>
              <w:rPr>
                <w:b w:val="off"/>
                <w:color w:val="000000"/>
                <w:rFonts w:ascii="Times New Roman" w:hAnsi="Times New Roman" w:cs="Times New Roman" w:eastAsia="Times New Roman"/>
                <w:sz w:val="24"/>
              </w:rPr>
              <w:t>Ustanovenie § 13 ods. 1 bolo upravené.</w:t>
              <w:br/>
            </w:r>
            <w:r>
              <w:rPr>
                <w:b w:val="off"/>
                <w:color w:val="000000"/>
                <w:rFonts w:ascii="Times New Roman" w:hAnsi="Times New Roman" w:cs="Times New Roman" w:eastAsia="Times New Roman"/>
                <w:sz w:val="24"/>
              </w:rPr>
              <w:t>Celý zákon o ITVS je o nástrojoch a o celkovom prostredí ktoré tvoria, t.j. o pravidlách, ako má byť prostredie budované. Zákon o ITVS sa zaoberá problematikou sektorovo z hľadiska IT. Nie je o efektívnej verejnej správe, efektívnosti procesov ako takých ani personálnych nárokoch a postupoch práce jednotlivých úradov, aj keď jeho riadnym uplatňovaním môže byť efektivita podporená. Preto pripomienke nie je možné vyhovieť. Samotný návrh NKIVS tému digitálnej transformácie obsahuje a zákon o ITVS obsahuje povinnosť o. i. budovať ITVS v súlade s NKIVS.</w:t>
              <w:br/>
            </w:r>
            <w:r>
              <w:rPr>
                <w:b w:val="off"/>
                <w:color w:val="000000"/>
                <w:rFonts w:ascii="Times New Roman" w:hAnsi="Times New Roman" w:cs="Times New Roman" w:eastAsia="Times New Roman"/>
                <w:sz w:val="24"/>
              </w:rPr>
              <w:t>RÚZ by uvítalo keby Koncepcia rozvoja informačných technológií obsahovala širší rozsah opatrení so zameraním na efektívnejšie fungovanie, nielen s uvedením samotnej formy elektronického fungovania. Uvedené je tiež v súlade s koncepciou konsolidácie – zefektívnenie procesov cez digitalizáciu agendy.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celý §16 vypustiť zo zákona a pripraviť nový právny prepis o Prevádzke, servise a podpore informačných technológií verejnej správy. Poprípade ponechať ho v obmedzenom rozsahu, ale koncentrovať a bližšie špecifikovať povinnosti prevádzkovateľov v novom právnom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Ku dnešnému dňu MIRRI vypracovalo niekoľko verzií vyššie uvádzaného predpisu. Neboli však nikdy predložené do legislatívneho procesu. Žiadny z ostatných vydaných predpisov neobsahuje relevantné časti, ktoré by sa venovali regulačnému rámcu v oblasti prevádzky ITVS. Ako dočasné riešenie je používaná vyhláška o riadení projektov, ktorá sa na tento účel vôbec nehodí. To spôsobuje významné nedostatky, medzi ktoré patria, neexistujúce procesy plánovania financií pre udržateľnosť prevádzky IS, vleklý schvaľovací proces obnovy HW a SW, nejasné prevádzkové náklady (TCO) a dodatočná administratíva, v ktorej orgány radenia nevidia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ktoré sa konalo dňa 2.9.2025 v sídle MIRRI SR.</w:t>
              <w:br/>
            </w:r>
            <w:r>
              <w:rPr>
                <w:b w:val="off"/>
                <w:color w:val="000000"/>
                <w:rFonts w:ascii="Times New Roman" w:hAnsi="Times New Roman" w:cs="Times New Roman" w:eastAsia="Times New Roman"/>
                <w:sz w:val="24"/>
              </w:rPr>
              <w:t>Vecne zostal v znení novely text v zmysle pôvodného návrhu predkladateľa. RÚZ bude vyhodnocovať aplikačnú prax a v prípade potreby zaujmeme stanovisko resp. navrhne rezortu ďalšie úpravy.</w:t>
              <w:br/>
            </w:r>
            <w:r>
              <w:rPr>
                <w:b w:val="off"/>
                <w:color w:val="000000"/>
                <w:rFonts w:ascii="Times New Roman" w:hAnsi="Times New Roman" w:cs="Times New Roman" w:eastAsia="Times New Roman"/>
                <w:sz w:val="24"/>
              </w:rPr>
              <w:t>Vyhláška o prevádzke je predmetom samostatného legislatívneho procesu (LP/2025/404).</w:t>
              <w:br/>
            </w:r>
            <w:r>
              <w:rPr>
                <w:b w:val="off"/>
                <w:color w:val="000000"/>
                <w:rFonts w:ascii="Times New Roman" w:hAnsi="Times New Roman" w:cs="Times New Roman" w:eastAsia="Times New Roman"/>
                <w:sz w:val="24"/>
              </w:rPr>
              <w:t xml:space="preserve"> Povinnosti k prevádzke možno  ukladať výlučne  zákonom, ktorým je v tomto prípade zákon o ITVS a preto prijímanie nového zákona upravujúceho len oblasť prevádzky nepovažujeme za vhodné a účelné.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súvislosti s vyššie uvedenými pripomienkami a na základe § 31, písmeno g) žiadame, aby bol návrh vyhlášky Prevádzke, servise a podpore informačných technológií verejnej správy bezodkladne vypracovaný a zaradený do predloženého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31 zákona je splnomocňovacie ustanovenie pre vydanie právneho predpisu (vyhlášky) ministerstvom pre investície, regionálny rozvoj a informatizáciu Slovenskej republiky (MIRRI), takzvanej „prevádzkovej vyhlášky“. Ku dnešnému dňu MIRRI takýto predpis nevydalo, resp. žiadny z predpisov, ktoré vydalo neobsahuje relevantné časti, ktoré by sa venovali regulačnému rámcu v oblasti prevádzky ITVS. Ako dočasné riešenie je používaná vyhláška o riadení projektov, ktorá sa na tento účel vôbec nehodí. To spôsobuje významné nedostatky, medzi ktoré patria, neexistujúce procesy plánovania financií pre udržateľnosť prevádzky IS, vleklý schvaľovací proces obnovy HW a SW, nejasné prevádzkové náklady (TCO) a dodatočná administratíva, v ktorej orgány radenia nevidia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ktoré sa konalo dňa 2.9.2025 v sídle MIRRI SR.</w:t>
              <w:br/>
            </w:r>
            <w:r>
              <w:rPr>
                <w:b w:val="off"/>
                <w:color w:val="000000"/>
                <w:rFonts w:ascii="Times New Roman" w:hAnsi="Times New Roman" w:cs="Times New Roman" w:eastAsia="Times New Roman"/>
                <w:sz w:val="24"/>
              </w:rPr>
              <w:t>Návrh predmetnej vyhlášky je predmetom samostatného legislatívneho procesu.</w:t>
              <w:br/>
            </w:r>
            <w:r>
              <w:rPr>
                <w:b w:val="off"/>
                <w:color w:val="000000"/>
                <w:rFonts w:ascii="Times New Roman" w:hAnsi="Times New Roman" w:cs="Times New Roman" w:eastAsia="Times New Roman"/>
                <w:sz w:val="24"/>
              </w:rPr>
              <w:t>Nie je potrebné priložiť návrh predmetnej vyhlášky k návrhu novely zákona o ITVS. Splnomocňovacie ustanovenia na jeho vydanie sú už aktuálne v zákone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V § 29 sa vkladá nový odsek 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po začatí konania o uložení pokuty za správny delikt dôjde k odstráneniu protiprávneho stavu, pre ktorý je konanie vedené, orgán vedenia konanie o uložení pokuty za správny delikt uvedený v odseku 1 zastaví. Pravidlo podľa predchádzajúcej vety tohto odseku sa nepoužije v prípade, ak rozhodnutie o uložení pokuty za správny delikt nadobudne právoplatnosť pred odstránením protiprávneho stavu.“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ktoré sa konalo dňa 2.9.2025 v sídle MIRRI SR.</w:t>
              <w:br/>
            </w:r>
            <w:r>
              <w:rPr>
                <w:b w:val="off"/>
                <w:color w:val="000000"/>
                <w:rFonts w:ascii="Times New Roman" w:hAnsi="Times New Roman" w:cs="Times New Roman" w:eastAsia="Times New Roman"/>
                <w:sz w:val="24"/>
              </w:rPr>
              <w:t xml:space="preserve">Administratívnoprávna zodpovednosť za správny delikt podľa ustanovení zákona o ITVS je konštruovaná na objektívnom princípe zodpovednosti. </w:t>
              <w:br/>
            </w:r>
            <w:r>
              <w:rPr>
                <w:b w:val="off"/>
                <w:color w:val="000000"/>
                <w:rFonts w:ascii="Times New Roman" w:hAnsi="Times New Roman" w:cs="Times New Roman" w:eastAsia="Times New Roman"/>
                <w:sz w:val="24"/>
              </w:rPr>
              <w:t>To znamená, že pri splnení zákonom stanovenej skutkovej podstaty správneho deliktu MIRRI SR ako správny orgán nepreskúmava subjektívnu stránku porušenia (ako je úmysel alebo nedbanlivosť), ale posudzuje výlučne rozpor medzi právnym stavom a stavom skutočným na základe predložených dôkazov a podkladov.</w:t>
              <w:br/>
            </w:r>
            <w:r>
              <w:rPr>
                <w:b w:val="off"/>
                <w:color w:val="000000"/>
                <w:rFonts w:ascii="Times New Roman" w:hAnsi="Times New Roman" w:cs="Times New Roman" w:eastAsia="Times New Roman"/>
                <w:sz w:val="24"/>
              </w:rPr>
              <w:t>Zákon o ITVS neupravuje žiadne liberácie ani dôvody, ktoré by predpokladali oslobodenie správcu od zodpovednosti za správny delikt v rámci správneho konania. Zavinenie správcu nie je podmienkou pre vznik zodpovednosti, pričom subjektívny prístup k  zavineniu sa uplatňuje iba pri určovaní druhu a výšky sankcie.</w:t>
              <w:br/>
            </w:r>
            <w:r>
              <w:rPr>
                <w:b w:val="off"/>
                <w:color w:val="000000"/>
                <w:rFonts w:ascii="Times New Roman" w:hAnsi="Times New Roman" w:cs="Times New Roman" w:eastAsia="Times New Roman"/>
                <w:sz w:val="24"/>
              </w:rPr>
              <w:t xml:space="preserve">Konanie o správnych deliktoch je sankčné, pretože jeho cieľom je postih porušenia práva a ochrana verejného poriadku prostredníctvom sankcie. Správne konanie nie je prostriedkom výlučne na dosiahnutie nápravy alebo odstránenie nedostatkov, ale má aj ďalšie funkcie. </w:t>
              <w:br/>
            </w:r>
            <w:r>
              <w:rPr>
                <w:b w:val="off"/>
                <w:color w:val="000000"/>
                <w:rFonts w:ascii="Times New Roman" w:hAnsi="Times New Roman" w:cs="Times New Roman" w:eastAsia="Times New Roman"/>
                <w:sz w:val="24"/>
              </w:rPr>
              <w:t>MIRRI SR sa v sankčnom konaní zaoberá všetkými hľadiskami. Rovnako už súčasná právna úprava s prihliadnutím na okolnosti uvedené v § 29 ods. 3 (po novele § 29 ods. 4) zákona o ITVS umožňuje upustiť od uloženia pokuty.</w:t>
              <w:br/>
            </w:r>
            <w:r>
              <w:rPr>
                <w:b w:val="off"/>
                <w:color w:val="000000"/>
                <w:rFonts w:ascii="Times New Roman" w:hAnsi="Times New Roman" w:cs="Times New Roman" w:eastAsia="Times New Roman"/>
                <w:sz w:val="24"/>
              </w:rPr>
              <w:t>Pre úplnosť uvádzame, že konanie o uložení pokuty teda nie je kontrolným konaním podľa § 9 ods. 1 písm. t)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ako celku</w:t>
              <w:br/>
            </w:r>
            <w:r>
              <w:rPr>
                <w:b w:val="off"/>
                <w:color w:val="000000"/>
                <w:rFonts w:ascii="Times New Roman" w:hAnsi="Times New Roman" w:cs="Times New Roman" w:eastAsia="Times New Roman"/>
                <w:sz w:val="24"/>
              </w:rPr>
              <w:t>Navrhujeme vypustiť celé navrhované ustanovenie § 93a zákona č. 185/2015 Z. z. Autorský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Odklon od európskych štandardov</w:t>
              <w:br/>
            </w:r>
            <w:r>
              <w:rPr>
                <w:b w:val="off"/>
                <w:color w:val="000000"/>
                <w:rFonts w:ascii="Times New Roman" w:hAnsi="Times New Roman" w:cs="Times New Roman" w:eastAsia="Times New Roman"/>
                <w:sz w:val="24"/>
              </w:rPr>
              <w:t>Navrhované ustanovenie § 93a predstavuje výnimku v rámci právnych poriadkov členských štátov Európskej únie, v  ktorých sme neidentifikovali existenciu obdobnej právnej úpravy. Naopak, vo väčšine členských štátov (napr. Belgicko, Fínsko, Francúzsko, Estónsko, Írsko, Maďarsko, Luxembursko, Slovinsko, Španielsko) je štandardom, že výkon majetkových práv autora v prípade verejných zákaziek je ponechaný dodávateľovi, t. j. verejné orgány si zmluvne zabezpečujú len licenciu na používanie diela v nevyhnutnom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Európska komisia vo svojom akčnom pláne pre práva duševného vlastníctva z roku 2020 (dostupný tu: https://digital-strategy.ec.europa.eu/sk/node/488?utm_source=chatgpt.com) výslovne odporúča, aby verejné orgány v rámci verejného obstarávania ponechali práva duševného vlastníctva dodávateľom, pokiaľ ich nadobudnutie štátom/verejnými orgánmi nie je výslovne nevyhnutné z dôvodov verejného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Neefektívne nakladanie s verejnými prostriedkami</w:t>
              <w:br/>
            </w:r>
            <w:r>
              <w:rPr>
                <w:b w:val="off"/>
                <w:color w:val="000000"/>
                <w:rFonts w:ascii="Times New Roman" w:hAnsi="Times New Roman" w:cs="Times New Roman" w:eastAsia="Times New Roman"/>
                <w:sz w:val="24"/>
              </w:rPr>
              <w:t>Navrhované ustanovenie znemožňuje verejnému obstarávateľovi zvoliť primeraný ekonomicky najefektívnejší model podľa typu diela a potrieb konkrétneho projektu.</w:t>
              <w:br/>
            </w:r>
            <w:r>
              <w:rPr>
                <w:b w:val="off"/>
                <w:color w:val="000000"/>
                <w:rFonts w:ascii="Times New Roman" w:hAnsi="Times New Roman" w:cs="Times New Roman" w:eastAsia="Times New Roman"/>
                <w:sz w:val="24"/>
              </w:rPr>
              <w:t>Pre viaceré softvérové riešenia by postačovala jednoduchá (a cenovo dostupnejšia) licencia, často aj nevýhradná, potenciálne aj časovo alebo účelovo obmedzená.</w:t>
              <w:br/>
            </w:r>
            <w:r>
              <w:rPr>
                <w:b w:val="off"/>
                <w:color w:val="000000"/>
                <w:rFonts w:ascii="Times New Roman" w:hAnsi="Times New Roman" w:cs="Times New Roman" w:eastAsia="Times New Roman"/>
                <w:sz w:val="24"/>
              </w:rPr>
              <w:t>Zákonné vyžadovanie prevodu vedie k tomu, že dodávatelia budú nútení premietnuť do ceny aj hodnotu práv, ktoré by inak neprevádzali, čo bude mať za následok:</w:t>
              <w:br/>
            </w:r>
            <w:r>
              <w:rPr>
                <w:b w:val="off"/>
                <w:color w:val="000000"/>
                <w:rFonts w:ascii="Times New Roman" w:hAnsi="Times New Roman" w:cs="Times New Roman" w:eastAsia="Times New Roman"/>
                <w:sz w:val="24"/>
              </w:rPr>
              <w:t xml:space="preserve">•	zvýšenie nákladov verejných zákaziek, </w:t>
              <w:br/>
            </w:r>
            <w:r>
              <w:rPr>
                <w:b w:val="off"/>
                <w:color w:val="000000"/>
                <w:rFonts w:ascii="Times New Roman" w:hAnsi="Times New Roman" w:cs="Times New Roman" w:eastAsia="Times New Roman"/>
                <w:sz w:val="24"/>
              </w:rPr>
              <w:t xml:space="preserve">•	zníženie hospodárnosti verejných výdavkov, a </w:t>
              <w:br/>
            </w:r>
            <w:r>
              <w:rPr>
                <w:b w:val="off"/>
                <w:color w:val="000000"/>
                <w:rFonts w:ascii="Times New Roman" w:hAnsi="Times New Roman" w:cs="Times New Roman" w:eastAsia="Times New Roman"/>
                <w:sz w:val="24"/>
              </w:rPr>
              <w:t>•	znemožnenie výberu vhodných riešení orgánmi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Zásah do vlastníckych práv bez právneho titulu a bez náhrady</w:t>
              <w:br/>
            </w:r>
            <w:r>
              <w:rPr>
                <w:b w:val="off"/>
                <w:color w:val="000000"/>
                <w:rFonts w:ascii="Times New Roman" w:hAnsi="Times New Roman" w:cs="Times New Roman" w:eastAsia="Times New Roman"/>
                <w:sz w:val="24"/>
              </w:rPr>
              <w:t>Tým, že § 93a predpokladá automatický prevod majetkových práv autorov, bez ohľadu na ich vôľu, dochádza k:</w:t>
              <w:br/>
            </w:r>
            <w:r>
              <w:rPr>
                <w:b w:val="off"/>
                <w:color w:val="000000"/>
                <w:rFonts w:ascii="Times New Roman" w:hAnsi="Times New Roman" w:cs="Times New Roman" w:eastAsia="Times New Roman"/>
                <w:sz w:val="24"/>
              </w:rPr>
              <w:t>•	zásahu do vlastníckeho práva fyzických osôb (čl. 20 Ústavy SR),</w:t>
              <w:br/>
            </w:r>
            <w:r>
              <w:rPr>
                <w:b w:val="off"/>
                <w:color w:val="000000"/>
                <w:rFonts w:ascii="Times New Roman" w:hAnsi="Times New Roman" w:cs="Times New Roman" w:eastAsia="Times New Roman"/>
                <w:sz w:val="24"/>
              </w:rPr>
              <w:t>•	obchádzaniu zákonnej úpravy režimu tzv. „zamestnaneckého diela“, ktorý umožňuje dohodnúť odlišný režim v pracovnej zmluve medzi zamestnávateľom a zamestnancom,</w:t>
              <w:br/>
            </w:r>
            <w:r>
              <w:rPr>
                <w:b w:val="off"/>
                <w:color w:val="000000"/>
                <w:rFonts w:ascii="Times New Roman" w:hAnsi="Times New Roman" w:cs="Times New Roman" w:eastAsia="Times New Roman"/>
                <w:sz w:val="24"/>
              </w:rPr>
              <w:t>•	situácii, keď autori (zamestnanci dodávateľov, prípadne subdodávateľov) – nemajú možnosť akokoľvek ovplyvniť osud svojich práv, hoci ani nie sú účastníkmi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zásah je v rozpore s princípmi právnej istoty, zmluvnej voľnosti a ústavne chránenými právami autorov.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Právna neistota ohľadom vzťahov medzi verejnou správou, dodávateľmi a autormi</w:t>
              <w:br/>
            </w:r>
            <w:r>
              <w:rPr>
                <w:b w:val="off"/>
                <w:color w:val="000000"/>
                <w:rFonts w:ascii="Times New Roman" w:hAnsi="Times New Roman" w:cs="Times New Roman" w:eastAsia="Times New Roman"/>
                <w:sz w:val="24"/>
              </w:rPr>
              <w:t>Navrhované znenie § 93a je právne nejasné a zmätočné, pretože sa vzťahuje na zmluvné vzťahy vyplývajúce z verejných zákaziek, kde v praxi ako zmluvný partner štátu/orgánu verejnej správy vystupuje právnická osoba – obchodná spoločnosť. Nakoľko sa však zároveň navrhovanou novelou dopĺňa v rámci § 90 (ktorý upravuje režim tzv. zamestnaneckého diela) nový ods. 10, v zmysle ktorého sa režim zamestnaneckého diela nepoužije v prípade diel podľa nového § 93a, uvedené vytvára stav, kedy zmluvný partner – obchodná spoločnosť ani nenadobudne práva k dielu od svojich zamestnancov (autorov), ale k prevodu dochádza automaticky zo strany zamestnancov (alebo subdodávateľov, prípadne zamestnancov subdodávateľov), ktorí však nie sú zmluvnými stranami.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vytvára právne neudržateľný stav aj pre samotných verejných obstarávateľom, ktorí namiesto vzťahu len s jedným subjektom (dodávateľom - obchodnou spoločnosťou) a úpravy všetkých z toho vyplývajúcich otázok, najmä zodpovednostných (čo platí podľa aktuálne platnej úpravy) v zmluve vo vzťahu k finálnemu dielu ako celku, budú mať nielen zmluvu s dodávateľom (ktorá by však nemala riešiť autorskoprávne otázky), ale implicitne budú vstupovať aj do osobitných vzťahov s každým jednotlivým autorom (ktorých môže byť veľký neurčitý počet) ohľadom časti diela, ktorú ten-ktorý autor vytvoril.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vytvára:</w:t>
              <w:br/>
            </w:r>
            <w:r>
              <w:rPr>
                <w:b w:val="off"/>
                <w:color w:val="000000"/>
                <w:rFonts w:ascii="Times New Roman" w:hAnsi="Times New Roman" w:cs="Times New Roman" w:eastAsia="Times New Roman"/>
                <w:sz w:val="24"/>
              </w:rPr>
              <w:t>•	nový „sui generis“ režim, podľa ktorého dochádza zo zákona k priamemu prevodu práv z fyzických osôb (autori – zamestnanci dodávateľa alebo subdodávateľov) na verejný orgán, bez toho, aby boli títo autori účastníkmi zmluvy,</w:t>
              <w:br/>
            </w:r>
            <w:r>
              <w:rPr>
                <w:b w:val="off"/>
                <w:color w:val="000000"/>
                <w:rFonts w:ascii="Times New Roman" w:hAnsi="Times New Roman" w:cs="Times New Roman" w:eastAsia="Times New Roman"/>
                <w:sz w:val="24"/>
              </w:rPr>
              <w:t>•	právne neudržateľný a netransparentný stav, pretože:</w:t>
              <w:br/>
            </w:r>
            <w:r>
              <w:rPr>
                <w:b w:val="off"/>
                <w:color w:val="000000"/>
                <w:rFonts w:ascii="Times New Roman" w:hAnsi="Times New Roman" w:cs="Times New Roman" w:eastAsia="Times New Roman"/>
                <w:sz w:val="24"/>
              </w:rPr>
              <w:t>o	neexistuje právny základ na takýto priamy prevod a fyzické osoby – autori sú nútení podriadiť sa tomuto zákonnému prevodu, aj keď nie sú zmluvnou stranou v rámci štátnej zákazky,</w:t>
              <w:br/>
            </w:r>
            <w:r>
              <w:rPr>
                <w:b w:val="off"/>
                <w:color w:val="000000"/>
                <w:rFonts w:ascii="Times New Roman" w:hAnsi="Times New Roman" w:cs="Times New Roman" w:eastAsia="Times New Roman"/>
                <w:sz w:val="24"/>
              </w:rPr>
              <w:t>o	dodávateľ nemôže garantovať prevod práv, ktoré sám nevlastní (z dôvodu zákonnej výluky uplatňovania režimu „zamestnaneckého diela“ v prípadoch verejných zákaziek),</w:t>
              <w:br/>
            </w:r>
            <w:r>
              <w:rPr>
                <w:b w:val="off"/>
                <w:color w:val="000000"/>
                <w:rFonts w:ascii="Times New Roman" w:hAnsi="Times New Roman" w:cs="Times New Roman" w:eastAsia="Times New Roman"/>
                <w:sz w:val="24"/>
              </w:rPr>
              <w:t>o	vznikajú nejasnosti a pochybnosti, či prechádzajú práva k dielu ako celku, alebo len k jeho častiam;</w:t>
              <w:br/>
            </w:r>
            <w:r>
              <w:rPr>
                <w:b w:val="off"/>
                <w:color w:val="000000"/>
                <w:rFonts w:ascii="Times New Roman" w:hAnsi="Times New Roman" w:cs="Times New Roman" w:eastAsia="Times New Roman"/>
                <w:sz w:val="24"/>
              </w:rPr>
              <w:t>pričom dôsledkom uvedeného budú spory o rozsah a platnosť prevodu práv medzi štátom/verejným orgánom, obchodnou spoločnosťou ako zmluvným dodávateľom, ako aj samotnými autormi.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Technická a zmluvná neudržateľnosť generálneho prevodu práv z dôvodu nezohľadnenia komplexnosti vývoja IT systémov</w:t>
              <w:br/>
            </w:r>
            <w:r>
              <w:rPr>
                <w:b w:val="off"/>
                <w:color w:val="000000"/>
                <w:rFonts w:ascii="Times New Roman" w:hAnsi="Times New Roman" w:cs="Times New Roman" w:eastAsia="Times New Roman"/>
                <w:sz w:val="24"/>
              </w:rPr>
              <w:t>Navrhovaná právna úprava v § 93a stavia dodávateľov do situácie, v ktorej títo nemajú právnu možnosť efektívne disponovať právami k dielu, ktoré sú povinní dodať, ale ktoré zároveň nikdy právne nenadobudnú. Ak totiž majetkové práva autora automaticky zo zákona prechádzajú priamo z fyzickej osoby – autora (napr. zamestnanca alebo subdodávateľa) na verejný orgán, dodávateľ – ako zmluvná strana – sa nachádza v právnom vákuu: nie je nositeľom práv, a preto nimi nemôže operovať, a teda ani zodpovedať za ich bezvadný a riadny prevod na verejný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konštrukcia vylučuje štandardný model riadenia práv a povinností v projektoch vývoja softvéru, v ktorom je základom úspešnej implementácie to, že dodávateľ má k dielu (alebo jeho častiam) primerané majetkové práva – či už ich sám vykonáva, alebo má garantované v rámci svojich pracovnoprávnych či obchodných vzťahov (napr. so zamestnancami alebo subdodávateľmi).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toto mu umožňuje:</w:t>
              <w:br/>
            </w:r>
            <w:r>
              <w:rPr>
                <w:b w:val="off"/>
                <w:color w:val="000000"/>
                <w:rFonts w:ascii="Times New Roman" w:hAnsi="Times New Roman" w:cs="Times New Roman" w:eastAsia="Times New Roman"/>
                <w:sz w:val="24"/>
              </w:rPr>
              <w:t>•	koordinovať vývoj a interný transfer práv v rámci svojho dodávateľského reťazca,</w:t>
              <w:br/>
            </w:r>
            <w:r>
              <w:rPr>
                <w:b w:val="off"/>
                <w:color w:val="000000"/>
                <w:rFonts w:ascii="Times New Roman" w:hAnsi="Times New Roman" w:cs="Times New Roman" w:eastAsia="Times New Roman"/>
                <w:sz w:val="24"/>
              </w:rPr>
              <w:t>•	narábať s dielom v rámci testovania, ladenia, integrácie, správy zmien a údržby,</w:t>
              <w:br/>
            </w:r>
            <w:r>
              <w:rPr>
                <w:b w:val="off"/>
                <w:color w:val="000000"/>
                <w:rFonts w:ascii="Times New Roman" w:hAnsi="Times New Roman" w:cs="Times New Roman" w:eastAsia="Times New Roman"/>
                <w:sz w:val="24"/>
              </w:rPr>
              <w:t>•	zabezpečiť právnu kontinuitu, integritu diela ako celku a plnú zodpovednosť voči objednávateľovi.</w:t>
              <w:br/>
            </w:r>
            <w:r>
              <w:rPr>
                <w:b w:val="off"/>
                <w:color w:val="000000"/>
                <w:rFonts w:ascii="Times New Roman" w:hAnsi="Times New Roman" w:cs="Times New Roman" w:eastAsia="Times New Roman"/>
                <w:sz w:val="24"/>
              </w:rPr>
              <w:t>Ak dodávateľ nemá možnosť tieto práva dočasne držať alebo spravovať, nemôže prakticky garantovať ich riadne a bezchybné odovzdanie, čím sa narúša základná logika právneho a projektového riadenia verejnej zákazky.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systém spôsobuje vážne právne a praktické problémy, vrátane:</w:t>
              <w:br/>
            </w:r>
            <w:r>
              <w:rPr>
                <w:b w:val="off"/>
                <w:color w:val="000000"/>
                <w:rFonts w:ascii="Times New Roman" w:hAnsi="Times New Roman" w:cs="Times New Roman" w:eastAsia="Times New Roman"/>
                <w:sz w:val="24"/>
              </w:rPr>
              <w:t xml:space="preserve">•	nemožnosti získať od subdodávateľov súhlas s použitím ich diel, </w:t>
              <w:br/>
            </w:r>
            <w:r>
              <w:rPr>
                <w:b w:val="off"/>
                <w:color w:val="000000"/>
                <w:rFonts w:ascii="Times New Roman" w:hAnsi="Times New Roman" w:cs="Times New Roman" w:eastAsia="Times New Roman"/>
                <w:sz w:val="24"/>
              </w:rPr>
              <w:t>•	celkovej právnej paralýzy štandardného projektového riadenia, kde sa s právami k dielu počíta ako s nástrojom riadenia práce (napr. zverenie práv konkrétnym tímom, modulárne prideľovanie práv, outsourcing konkrétnych komponentov),</w:t>
              <w:br/>
            </w:r>
            <w:r>
              <w:rPr>
                <w:b w:val="off"/>
                <w:color w:val="000000"/>
                <w:rFonts w:ascii="Times New Roman" w:hAnsi="Times New Roman" w:cs="Times New Roman" w:eastAsia="Times New Roman"/>
                <w:sz w:val="24"/>
              </w:rPr>
              <w:t>•	nejasností ohľadom zodpovednosti za vady diela a s tým spojené riziko vzniku autorskoprávnych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výsledku sa tak zásadne narúša možnosť dodávateľa efektívne riadiť a organizovať prácu na projekte, čo má negatívny dopad nielen na jeho právnu pozíciu, ale aj na samotnú kvalitu a včasnosť dodania informačného systému.</w:t>
              <w:br/>
            </w:r>
            <w:r>
              <w:rPr>
                <w:b w:val="off"/>
                <w:color w:val="000000"/>
                <w:rFonts w:ascii="Times New Roman" w:hAnsi="Times New Roman" w:cs="Times New Roman" w:eastAsia="Times New Roman"/>
                <w:sz w:val="24"/>
              </w:rPr>
              <w:t>Okrem uvedeného, vývoj informačných systémov, ktorý je dynamickým, odborne zložitým a komplexným procesom, často okrem iného zahŕňa:</w:t>
              <w:br/>
            </w:r>
            <w:r>
              <w:rPr>
                <w:b w:val="off"/>
                <w:color w:val="000000"/>
                <w:rFonts w:ascii="Times New Roman" w:hAnsi="Times New Roman" w:cs="Times New Roman" w:eastAsia="Times New Roman"/>
                <w:sz w:val="24"/>
              </w:rPr>
              <w:t>•	kombináciu proprietárnych a open source komponentov,</w:t>
              <w:br/>
            </w:r>
            <w:r>
              <w:rPr>
                <w:b w:val="off"/>
                <w:color w:val="000000"/>
                <w:rFonts w:ascii="Times New Roman" w:hAnsi="Times New Roman" w:cs="Times New Roman" w:eastAsia="Times New Roman"/>
                <w:sz w:val="24"/>
              </w:rPr>
              <w:t>•	viacerých zhotoviteľov a subdodávateľov,</w:t>
              <w:br/>
            </w:r>
            <w:r>
              <w:rPr>
                <w:b w:val="off"/>
                <w:color w:val="000000"/>
                <w:rFonts w:ascii="Times New Roman" w:hAnsi="Times New Roman" w:cs="Times New Roman" w:eastAsia="Times New Roman"/>
                <w:sz w:val="24"/>
              </w:rPr>
              <w:t>•	špecifické licenčné podmienky pre jednotlivé komponenty.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sa autorskoprávne a licenčné ustanovenia v praxi koncipujú individuálne a podrobne, s ohľadom na technické špecifiká, rozsah diela a práva všetkých zúčastnených subjektov (autori, dodávateľ, subdodávatelia, tretie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Veľká časť moderných a komplexných IT riešení je štandardne tvorená pomerne veľkým počtom integrovaných komponentov, modulov a iných čiastkových riešení. Často pritom ide o už existujúce proprietárne softvéry dodávateľa a/alebo tretích strán, prípadne o open source softvér, pri ktorom nie je možné vykonať prevod/postúpenie výkonu majetkových práv autora – namiesto toho sa udeľujú špecifické verejné licencie (napr. GNU GPL, MIT, Apache). Kategorické vyžadovanie prevodu výkonu všetkých majetkových práv autora podľa § 93a by dodávateľa (resp. konkrétneho autora) automaticky v týchto prípadoch staval do pozície porušovateľa zmluvy, resp. priamo zákona, nakoľko tento nemôže previesť práva, ktoré nevlastní (napr. k open source softvéru alebo softvéru tretích strán). V dôsledku toho by museli dodávatelia hľadať náhradné riešenia, ktoré by nepochybne boli časovo aj ekonomicky neefektívne, čo by v konečnom dôsledku mohlo viesť k strate záujmu kvalifikovaných dodávateľov zúčastňovať sa verejných obstarávaní, zníženiu konkurencii a tým aj k zníženiu kvality verejného obstarávania.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 93a by tak:</w:t>
              <w:br/>
            </w:r>
            <w:r>
              <w:rPr>
                <w:b w:val="off"/>
                <w:color w:val="000000"/>
                <w:rFonts w:ascii="Times New Roman" w:hAnsi="Times New Roman" w:cs="Times New Roman" w:eastAsia="Times New Roman"/>
                <w:sz w:val="24"/>
              </w:rPr>
              <w:t xml:space="preserve">•	znemožnil alebo výrazne obmedzil použitie štandardných, overených, bezpečných, komunitne podporovaných  a nákladovo efektívnych technológií, </w:t>
              <w:br/>
            </w:r>
            <w:r>
              <w:rPr>
                <w:b w:val="off"/>
                <w:color w:val="000000"/>
                <w:rFonts w:ascii="Times New Roman" w:hAnsi="Times New Roman" w:cs="Times New Roman" w:eastAsia="Times New Roman"/>
                <w:sz w:val="24"/>
              </w:rPr>
              <w:t>•	viedol k zvyšovaniu nákladov, právnej neistote a technologickému zaostávaniu, a</w:t>
              <w:br/>
            </w:r>
            <w:r>
              <w:rPr>
                <w:b w:val="off"/>
                <w:color w:val="000000"/>
                <w:rFonts w:ascii="Times New Roman" w:hAnsi="Times New Roman" w:cs="Times New Roman" w:eastAsia="Times New Roman"/>
                <w:sz w:val="24"/>
              </w:rPr>
              <w:t>•	zníženiu konkurencie na trhu verejných zákaziek.</w:t>
              <w:br/>
            </w:r>
            <w:r>
              <w:rPr>
                <w:b w:val="off"/>
                <w:color w:val="000000"/>
                <w:rFonts w:ascii="Times New Roman" w:hAnsi="Times New Roman" w:cs="Times New Roman" w:eastAsia="Times New Roman"/>
                <w:sz w:val="24"/>
              </w:rPr>
              <w:t>Zavedenie univerzálneho zákonného pravidla o automatickom a povinnom prevode všetkých majetkových práv autora preto nereflektuje spomínanú zmluvnú a technickú realitu, a preto je:</w:t>
              <w:br/>
            </w:r>
            <w:r>
              <w:rPr>
                <w:b w:val="off"/>
                <w:color w:val="000000"/>
                <w:rFonts w:ascii="Times New Roman" w:hAnsi="Times New Roman" w:cs="Times New Roman" w:eastAsia="Times New Roman"/>
                <w:sz w:val="24"/>
              </w:rPr>
              <w:t>•	technicky nevykonateľné,</w:t>
              <w:br/>
            </w:r>
            <w:r>
              <w:rPr>
                <w:b w:val="off"/>
                <w:color w:val="000000"/>
                <w:rFonts w:ascii="Times New Roman" w:hAnsi="Times New Roman" w:cs="Times New Roman" w:eastAsia="Times New Roman"/>
                <w:sz w:val="24"/>
              </w:rPr>
              <w:t>•	právne neudržateľné,</w:t>
              <w:br/>
            </w:r>
            <w:r>
              <w:rPr>
                <w:b w:val="off"/>
                <w:color w:val="000000"/>
                <w:rFonts w:ascii="Times New Roman" w:hAnsi="Times New Roman" w:cs="Times New Roman" w:eastAsia="Times New Roman"/>
                <w:sz w:val="24"/>
              </w:rPr>
              <w:t>•	nákladovo neefektívne, a</w:t>
              <w:br/>
            </w:r>
            <w:r>
              <w:rPr>
                <w:b w:val="off"/>
                <w:color w:val="000000"/>
                <w:rFonts w:ascii="Times New Roman" w:hAnsi="Times New Roman" w:cs="Times New Roman" w:eastAsia="Times New Roman"/>
                <w:sz w:val="24"/>
              </w:rPr>
              <w:t>•	vysoko rizikové z hľadiska právnej neistoty všetkých dotknutých subjektov, t. j. orgánov verejnej moci, dodávateľov, ako aj konkrétnych autorov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prerokovaná na rozporovom konaní, ktoré sa konalo dňa 2.9.2025 v sídle MIRRI SR.</w:t>
              <w:br/>
            </w:r>
            <w:r>
              <w:rPr>
                <w:b w:val="off"/>
                <w:color w:val="000000"/>
                <w:rFonts w:ascii="Times New Roman" w:hAnsi="Times New Roman" w:cs="Times New Roman" w:eastAsia="Times New Roman"/>
                <w:sz w:val="24"/>
              </w:rPr>
              <w:t>Novela autorského zákona, t. j. článok III návrhu zákona (vrátane celého navrhovaného ustanovenia § 93a zákona č. 185/2015 Z. z. Autorský zákon v znení neskorších predpisov), bola z návrhu zákona vypustená. V nadväznosti na uvedené, došlo k zmene a doplneniu § 15 ods. 2 zákona o ITVS. RÚZ bude vyhodnocovať aplikačnú prax a v prípade potreby zaujmeme stanovisko resp. navrhne rezortu ďalšie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novelizačný bod 3</w:t>
              <w:br/>
            </w:r>
            <w:r>
              <w:rPr>
                <w:b w:val="off"/>
                <w:color w:val="000000"/>
                <w:rFonts w:ascii="Times New Roman" w:hAnsi="Times New Roman" w:cs="Times New Roman" w:eastAsia="Times New Roman"/>
                <w:sz w:val="24"/>
              </w:rPr>
              <w:t>V navrhovanom §2 odsek 1 navrhujeme definíciu formulovať „informačný systém vrátane informačného systému s prvkami umelej inteligencie“.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Definovanie informačného systému a systému umelej inteligencie ako dvoch jasne odlíšiteľných typov riešení nie je praktické. Systémy umelej inteligencie nebudú existovať samostatne. Vždy budú súčasťou informačných systémov s komplexnou end-to end-funkcionalitou.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novela z. o e-Governmente - nad rámec návrhu - zásadná pripomienka</w:t>
              <w:br/>
            </w:r>
            <w:r>
              <w:rPr>
                <w:b w:val="off"/>
                <w:color w:val="000000"/>
                <w:rFonts w:ascii="Times New Roman" w:hAnsi="Times New Roman" w:cs="Times New Roman" w:eastAsia="Times New Roman"/>
                <w:sz w:val="24"/>
              </w:rPr>
              <w:t xml:space="preserve">Navrhujeme, aby fyzickým osobám – podnikateľom,  uvedeným v § 11 ods. 1 písm. d) zákona č. 305/2013 Z. z.  o elektronickej podobe výkonu pôsobnosti orgánov verejnej moci a o zmene a doplnení niektorých zákonov (zákon o e-Governmente) v znení neskorších predpisov, bola zo zákona aktivovaná elektronická schránka na doručovanie,  obdobne ako právnickým osobám a orgánom  verejnej moci,  t. j. nie len na žiadosť tejto osoby. Zavedením  povinnosti využívať elektronickú schránku sa vytvorí  priestor pre rozšírenie elektronickej komunikácie orgánov verejnej moci s fyzickými osobami – podnikateľmi a zároveň na strane orgánov verejnej moci by došlo k úspore  finančných  prostriedkov  v súvislosti s doručovaním rozhodnutí a iných písomností uvedenej skupine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nad rámec obsahu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povinnej aktivácie elektronických schránok fyzických osôb – podnikateľov je opatrením, ktoré má obrovský dopad na jeho adresátov a vyžaduje si nemalé množstvo úkonov aj na strane štátu pri jeho príprave a zavádzaní. Má tiež dopad na potrebnú infraštruktúru, na ktorej je príslušné riešenie prevádzkované. Rovnako je potrebné zohľadniť dosah navrhovanej zmeny na staršiu populáciu vrátane osôb, ktoré nedisponujú občianskym preukazom vyhotoveným s čipom alebo dostatočnými zručnosťami s výpočtovou technikou. Z tohto dôvodu je možné k takejto zmene pristúpiť až po riadnom prerokovaní so zástupcami adresátov, s dotknutými orgánmi na strane štátu a po dôslednej príprave príslušnej infraštruktúry. Z uvedeného dôvodu túto zmenu nie je možné realizovať v štádiu po medzirezortnom pripomienkovom konaní, kedy sa nikto so zainteresovaných nemá možnosť k nej vyjadriť.</w:t>
              <w:br/>
            </w:r>
            <w:r>
              <w:rPr>
                <w:b w:val="off"/>
                <w:color w:val="000000"/>
                <w:rFonts w:ascii="Times New Roman" w:hAnsi="Times New Roman" w:cs="Times New Roman" w:eastAsia="Times New Roman"/>
                <w:sz w:val="24"/>
              </w:rPr>
              <w:t>Zároveň aktuálne na MIRRI SR prebieha príprava nového zákona o e-governmente, v rámci ktorej už prebehla fáza predbežnej informácie a konzultácií s podnikateľským prostredím. Zároveň sa stretáva pracovná skupina Governence a ľudské zdroje, ktorá informovala o príprave nového zákona o e-governmente. Uvedené teda berieme ako podnet, ktorý budeme vyhodnocovať v rámci prípravy iného právneho predpisu, a nie tejto novely zákona č. 95/2019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SOZA</w:t>
              <w:br/>
            </w:r>
            <w:r>
              <w:rPr>
                <w:b w:val="off"/>
                <w:color w:val="000000"/>
                <w:rFonts w:ascii="Times New Roman" w:hAnsi="Times New Roman" w:cs="Times New Roman" w:eastAsia="Times New Roman"/>
                <w:sz w:val="24"/>
              </w:rPr>
              <w:t>Slovenský ochranný zväz autorský pre práva k hudobným dielam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Žiadame z predloženého návrhu zákona bez náhrady vypustiť Článok III, ktorým sa navrhuje novelizácia zákona č. 185/2015 Z. z. Autorský zákon v znení neskorších predpisov (ďalej len „Autorský zákon“).</w:t>
              <w:br/>
            </w:r>
            <w:r>
              <w:rPr>
                <w:b w:val="off"/>
                <w:color w:val="000000"/>
                <w:rFonts w:ascii="Times New Roman" w:hAnsi="Times New Roman" w:cs="Times New Roman" w:eastAsia="Times New Roman"/>
                <w:sz w:val="24"/>
              </w:rPr>
              <w:t>Definíciu diela alebo databázy ako informačnej technológie verejnej správy (ďalej len „ITVS“) považujeme za pojem príliš široký, ktorý vzhľadom na výluky z autorskoprávnej ochrany v § 5 písm. a) Autorského zákona, na špecifiká ochrany počítačových programov a databáz, ako aj množiny vecí, prvkov, postupov a iných komponentov z ktorých ITVS pozostáva, ponecháva priestor na právnu neistotu. Z pohľadu definície a právnej istoty, by bolo podľa nášho názoru vhodnejšie špecifikovať, alebo príkladmo uviesť, aké diela mal zákonodarca na mysli, pri tvorbe právneho predpisu. Autorský zákon už obsahuje právnu definíciu a režim ochrany počítačového programu a databázy a tieto sa javia ako jediné prvky ITVS, ktoré môžu byť predmetmi autorskoprávnej ochrany podľa navrhovaného ustanovenia. Ustanovenia navrhovaného § 93a ods. 2 až 6 kopírujú režim zamestnaneckého diela do toho rozsahu, že sa javia nadbytočnými. Zmeny, ktoré navrhované znenie § 93a zavádza nad rámec úpravy zamestnaneckého diela a diela na objednávku, predstavujú neprijateľný zásah do práv autorov diel alebo databáz vytvorených ako ITVS. Autori by podľa tohto ustanovenia stratili akúkoľvek možnosť nakladať so svojím dielom, keďže výkon ich majetkových práv priznáva zákon výlučne objednávateľovi – a to bez ohľadu na existenciu zmluvného základu či možnosti odlišného dojednania. Navyše, zákon implicitne umožňuje zásahy aj do osobnostných práv autora (vrátane zásahu do zdrojového kódu), čo je z pohľadu základných princípov autorského práva neakceptovateľné. Z uvedených dôvodov žiadame vypustenie Článku III z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Článok III vrátane osobitného autorskoprávneho režimu diela a databázy podľa § 131 Autorského zákona, ktorými sú ITVS, bol z návrhu zákona vypustený a došlo k úprave ustanovení o dojednávaní zmlúv v § 15 ods. 2 zákona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 24b </w:t>
              <w:br/>
            </w:r>
            <w:r>
              <w:rPr>
                <w:b w:val="off"/>
                <w:color w:val="000000"/>
                <w:rFonts w:ascii="Times New Roman" w:hAnsi="Times New Roman" w:cs="Times New Roman" w:eastAsia="Times New Roman"/>
                <w:sz w:val="24"/>
              </w:rPr>
              <w:t xml:space="preserve">4) Govnet nie je verejnou sieťou30c) a nie je tvorený verejne dostupnými službami.30d) Do Govnetu sa pripája orgán riadenia, ktorý je štátnou rozpočtovou organizáciou. Orgán riadenia, ktorý nie je štátnou rozpočtovou organizáciou, sa môže pripojiť do Govnetu, ak sa tak dohodne so správcom Govnetu. </w:t>
              <w:br/>
            </w:r>
            <w:r>
              <w:rPr>
                <w:b w:val="off"/>
                <w:color w:val="000000"/>
                <w:rFonts w:ascii="Times New Roman" w:hAnsi="Times New Roman" w:cs="Times New Roman" w:eastAsia="Times New Roman"/>
                <w:sz w:val="24"/>
              </w:rPr>
              <w:t xml:space="preserve"> (5) Pre orgán riadenia, ktorý je štátnou rozpočtovou organizáciou, je používanie Govnetu bezodplatné; pre iný orgán riadenia je používanie Govnetu spojené s povinnosťou úhrady podľa cenníka úhrad za používanie Govnetu podľa všeobecne záväzného právneho predpisu vydaného ministerstvom investícií. </w:t>
              <w:br/>
            </w:r>
            <w:r>
              <w:rPr>
                <w:b w:val="off"/>
                <w:color w:val="000000"/>
                <w:rFonts w:ascii="Times New Roman" w:hAnsi="Times New Roman" w:cs="Times New Roman" w:eastAsia="Times New Roman"/>
                <w:sz w:val="24"/>
              </w:rPr>
              <w:t>Popis:</w:t>
              <w:br/>
            </w:r>
            <w:r>
              <w:rPr>
                <w:b w:val="off"/>
                <w:color w:val="000000"/>
                <w:rFonts w:ascii="Times New Roman" w:hAnsi="Times New Roman" w:cs="Times New Roman" w:eastAsia="Times New Roman"/>
                <w:sz w:val="24"/>
              </w:rPr>
              <w:t>Govnet sieť distribuuje dáta pre registre, ako sú RPO, RA, CSRU a OverSi. Registračné údaje sa poskytujú na základe dohody o integračných zámeroch (DIZ).</w:t>
              <w:br/>
            </w:r>
            <w:r>
              <w:rPr>
                <w:b w:val="off"/>
                <w:color w:val="000000"/>
                <w:rFonts w:ascii="Times New Roman" w:hAnsi="Times New Roman" w:cs="Times New Roman" w:eastAsia="Times New Roman"/>
                <w:sz w:val="24"/>
              </w:rPr>
              <w:t>VUC využíva GOVNET ako bezpečnú sieť a poskytuje ju prostredníctvom svojej siete na OVZP, ktorá tiež využíva sieť pre OverSI a registre.</w:t>
              <w:br/>
            </w:r>
            <w:r>
              <w:rPr>
                <w:b w:val="off"/>
                <w:color w:val="000000"/>
                <w:rFonts w:ascii="Times New Roman" w:hAnsi="Times New Roman" w:cs="Times New Roman" w:eastAsia="Times New Roman"/>
                <w:sz w:val="24"/>
              </w:rPr>
              <w:t>Mesačné poplatky odhadované na 553 EUR s DPH by pre VUC boli 6 636 EUR a pre OVZP približne 49 770 EUR mesačne.</w:t>
              <w:br/>
            </w:r>
            <w:r>
              <w:rPr>
                <w:b w:val="off"/>
                <w:color w:val="000000"/>
                <w:rFonts w:ascii="Times New Roman" w:hAnsi="Times New Roman" w:cs="Times New Roman" w:eastAsia="Times New Roman"/>
                <w:sz w:val="24"/>
              </w:rPr>
              <w:t>Podľa zákona je možné pripojiť do Govnetu len štátnu rozpočtovú organizáciu. Číselník obsahuje približne 4000 takýchto organizácií. Viď číselník:</w:t>
              <w:br/>
            </w:r>
            <w:r>
              <w:rPr>
                <w:b w:val="off"/>
                <w:color w:val="000000"/>
                <w:rFonts w:ascii="Times New Roman" w:hAnsi="Times New Roman" w:cs="Times New Roman" w:eastAsia="Times New Roman"/>
                <w:sz w:val="24"/>
              </w:rPr>
              <w:t><![CDATA[https://finstat.sk/databaza-rozpoctovych-prispevkovych-organizacii?LegalForm=321&Parent=&Region=&Costs=&Revenue=&Employee=&PerPage=&Sort=&Tab=]]></w:t>
              <w:br/>
            </w:r>
            <w:r>
              <w:rPr>
                <w:b w:val="off"/>
                <w:color w:val="000000"/>
                <w:rFonts w:ascii="Times New Roman" w:hAnsi="Times New Roman" w:cs="Times New Roman" w:eastAsia="Times New Roman"/>
                <w:sz w:val="24"/>
              </w:rPr>
              <w:t>Náš návrh je založený na dôležitosti siete GOVNET pre prevádzku a zabezpečenie povinností samosprávy. Vzhľadom na jej význam a zabezpečenie navrhujeme, aby  používanie Govnetu nebolo bezodplatné len pre štátne rozpočtové organizácie, ale aby bolo bezodplatné aj pre ostatné orgány riadenia.</w:t>
              <w:br/>
            </w:r>
            <w:r>
              <w:rPr>
                <w:b w:val="off"/>
                <w:color w:val="000000"/>
                <w:rFonts w:ascii="Times New Roman" w:hAnsi="Times New Roman" w:cs="Times New Roman" w:eastAsia="Times New Roman"/>
                <w:sz w:val="24"/>
              </w:rPr>
              <w:t>Odkazujeme na list od NASES, ktorý požaduje uhradenie nákladov. Cenník však do dnešného dňa nebol zverejnený a taktiež nie je objasnené, prečo nie sme ako vyšší územný celok povinnou osobou.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dňa 31.7.2025.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Predmetná pripomienka ide obsahovo nad rámec predloženého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Používanie Govnet-u je nastavené ako bezodplatné pre štátne rozpočtové organizácie primárne z dvoch dôvodov, a to že </w:t>
              <w:br/>
            </w:r>
            <w:r>
              <w:rPr>
                <w:b w:val="off"/>
                <w:color w:val="000000"/>
                <w:rFonts w:ascii="Times New Roman" w:hAnsi="Times New Roman" w:cs="Times New Roman" w:eastAsia="Times New Roman"/>
                <w:sz w:val="24"/>
              </w:rPr>
              <w:t xml:space="preserve">-	štátne rozpočtové organizácie majú povinnosť Govnet používať a </w:t>
              <w:br/>
            </w:r>
            <w:r>
              <w:rPr>
                <w:b w:val="off"/>
                <w:color w:val="000000"/>
                <w:rFonts w:ascii="Times New Roman" w:hAnsi="Times New Roman" w:cs="Times New Roman" w:eastAsia="Times New Roman"/>
                <w:sz w:val="24"/>
              </w:rPr>
              <w:t>-	podľa § 26 ods. 1 zákona č. 523/2004 Z. z. o rozpočtových pravidlách verejnej správy a o zmene a doplnení niektorých zákonov v z. n. p. „Štátne rozpočtové organizácie si navzájom poskytujú výkony vo svojej pôsobnosti bezplatne.“.</w:t>
              <w:br/>
            </w:r>
            <w:r>
              <w:rPr>
                <w:b w:val="off"/>
                <w:color w:val="000000"/>
                <w:rFonts w:ascii="Times New Roman" w:hAnsi="Times New Roman" w:cs="Times New Roman" w:eastAsia="Times New Roman"/>
                <w:sz w:val="24"/>
              </w:rPr>
              <w:t>Iný orgán riadenia, a to aj štátny, povinnosť používať Govnet nemá, a ak sa napriek tomu rozhodne ho používať, je používanie spoplatnené.</w:t>
              <w:br/>
            </w:r>
            <w:r>
              <w:rPr>
                <w:b w:val="off"/>
                <w:color w:val="000000"/>
                <w:rFonts w:ascii="Times New Roman" w:hAnsi="Times New Roman" w:cs="Times New Roman" w:eastAsia="Times New Roman"/>
                <w:sz w:val="24"/>
              </w:rPr>
              <w:t>Financovanie vládneho systému Govnet predstavuje širšiu problematiku pevne naviazanú na rozpočet verejnej správy, pričom akékoľvek zásahy by si vyžadovali podrobné analýzy. Pritom navrhované zmeny aktuálne platného nastavenia, ktoré by mali za následok zníženie príjmov (resp. nepokryté zvýšenie nákladov) štátneho rozpočtu sa v aktuálnej situácii konsolidácie nejavia ako realizovateľné.</w:t>
              <w:br/>
            </w:r>
            <w:r>
              <w:rPr>
                <w:b w:val="off"/>
                <w:color w:val="000000"/>
                <w:rFonts w:ascii="Times New Roman" w:hAnsi="Times New Roman" w:cs="Times New Roman" w:eastAsia="Times New Roman"/>
                <w:sz w:val="24"/>
              </w:rPr>
              <w:t>Na základe vyššie uvedeného možno skonštatovať, že navrhovanú úpravu nie je možné zrealizovať v rámci predmetného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 k § 8 ods. 5</w:t>
              <w:br/>
            </w:r>
            <w:r>
              <w:rPr>
                <w:b w:val="off"/>
                <w:color w:val="000000"/>
                <w:rFonts w:ascii="Times New Roman" w:hAnsi="Times New Roman" w:cs="Times New Roman" w:eastAsia="Times New Roman"/>
                <w:sz w:val="24"/>
              </w:rPr>
              <w:t xml:space="preserve">Žiadame o preformulovanie § 8 ods. 5 zákona o ITVS tak aby explicitne stanovil konkrétne, presne vymedzené a legitímne účely spracúvania osobných údajov orgánom vedenia odlišných od účelov týkajúcich sa monitoringu a hodnotenia informačných technológií vo verejnej správe, zo zberu spätnej väzby k elektronickým službám od koncových používateľov alebo údajov získaných pri výkone pôsobnosti orgánu vedenia vo vzťahu k informačným technológiám resp. od všeobecných cieľov podľa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žiadame, aby v prípadoch, kde nie je preukázaná nevyhnutnosť spracúvania identifikovateľných osobných údajov, boli orgánu vedenia poskytované údaje výlučne v anonymizovanej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požadujeme okrem zákazu ich zverejnenia explicitne zákaz ich akéhokoľvek ďalšieho poskytovania alebo sprístupňovania tretím stranám, s výnimkou prípadov jednoznačne stanovených zákonom pre presne vymedzené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vypustiť formuláciu "najmenej však v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návrhu § 8 ods. 5 nedostatočne reflektuje požiadavky GDPR na určenie účelu a minimalizáciu údajov. Všeobecné ciele orgánu vedenia podľa § 7 zákona o ITVS, ani samotný pôvod údajov uvedený v § 8 ods. 5 (údaje "získaných z monitoringu a hodnotenia informačných technológií vo verejnej správe, zo zberu spätnej väzby k Čl. I bod 10 k § 8 ods.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o preformulovanie § 8 ods. 5 zákona o ITVS tak aby explicitne stanovil konkrétne, presne vymedzené a legitímne účely spracúvania osobných údajov orgánom vedenia odlišných od účelov týkajúcich sa monitoringu a hodnotenia informačných technológií vo verejnej správe, zo zberu spätnej väzby k elektronickým službám od koncových používateľov alebo údajov získaných pri výkone pôsobnosti orgánu vedenia vo vzťahu k informačným technológiám resp. od všeobecných cieľov podľa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žiadame, aby v prípadoch, kde nie je preukázaná nevyhnutnosť spracúvania identifikovateľných osobných údajov, boli orgánu vedenia poskytované údaje výlučne v anonymizovanej forme.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požadujeme okrem zákazu ich zverejnenia explicitne zákaz ich akéhokoľvek ďalšieho poskytovania alebo sprístupňovania tretím stranám, s výnimkou prípadov jednoznačne stanovených zákonom pre presne vymedzené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vypustiť formuláciu "najmenej však v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Súčasné znenie návrhu § 8 ods. 5 nedostatočne reflektuje požiadavky GDPR na určenie účelu a minimalizáciu údajov. Všeobecné ciele orgánu vedenia podľa § 7 zákona o ITVS, ani samotný pôvod údajov uvedený v § 8 ods. 5 (údaje "získaných z monitoringu a hodnotenia informačných technológií vo verejnej správe, zo zberu spätnej väzby k elektronickým službám od koncových používateľov alebo údajov získaných pri výkone pôsobnosti orgánu vedenia vo vzťahu k informačným technológiám" ) nepredstavujú dostatočne konkrétny právny základ a účel na spracúvanie osobných údajov jednotlivcov v takom detaile, ako je navrhované.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Činnosti ako "monitoring a hodnotenie ITVS" alebo "zber spätnej väzby" sú vo svojej podstate často analytické a strategické a mali by preto primárne pracovať s anonymizovanými agregovanými, štatistickými alebo prinajmenšom pseudonymizovanými údajmi. Pre naplnenie úloh orgánu vedenia je teda vo väčšine prípadov postačujúce, ak sú mu poskytované údaje v anonymizovanej forme. V prípadoch, kde je potrebná určitá miera rozlíšenia, je primerané použiť pseudonymizované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pre orgán vedenia v úzko vymedzených prípadoch nevyhnutné spracúvať identifikovateľné osobné údaje, zákon musí tieto špecifické účely explicitne a taxatívne vymenovať a zároveň pre každý takýto účel stanoviť presný rozsah nevyhnutných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každý takto definovaný špecifický účel musí byť preukázaná a odôvodnená nevyhnutnosť spracúvania každej jednotlivej kategórie osobných údajov. Rozsah spracúvaných údajov musí byť striktne obmedzený len na to, čo je absolútne nevyhnutné.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Spracúvanie údajov o konaniach, podaniach alebo úradných dokumentoch  by malo byť prípustné len za veľmi prísnych podmienok a pre úzko vymedzené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ďalej doplniť, že osobné údaje získané orgánom vedenia podľa § 8 ods. 5 nemožno nielen zverejniť, ale ani ďalej poskytovať či sprístupňovať tretím stranám, pokiaľ takýto postup explicitne neustanovuje osobitný zákon pre presne vymedzené účely a za dodržania všetkých zásad ochrany osobných údajov. Údaje by mali primárne slúžiť pre interné analytické a riadiace potreby orgánu vedenia.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formuláciu "najmenej však v rozsahu" v § 8 ods. 5  táto je v rozpore so zásadou minimalizácie údajov. Žiadame jej vypustenie alebo nahradenie formuláciou zdôrazňujúcou striktnú nevyhnutnosť.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 k § 13a ods. 7</w:t>
              <w:br/>
            </w:r>
            <w:r>
              <w:rPr>
                <w:b w:val="off"/>
                <w:color w:val="000000"/>
                <w:rFonts w:ascii="Times New Roman" w:hAnsi="Times New Roman" w:cs="Times New Roman" w:eastAsia="Times New Roman"/>
                <w:sz w:val="24"/>
              </w:rPr>
              <w:t xml:space="preserve">Navrhujeme aby údaje zo zberu spätnej väzby boli poskytované vo forme anonymizovaných alebo pseudonymizovaných údajov, z ktorých budú odstránené priame osobné identifikátory. V opačnom prípade je potrebné v zákone presne špecifikovať účel, na ktorý orgán vedenia takto získané údaje bude využívať, a zabezpečiť, aby tento účel bol primeraný rozsahu získavaných údajov a frekvencii ich poskytovania.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požadujeme, aby zákon jasne stanovil podmienku, aby koncoví používatelia boli pri poskytovaní spätnej väzby jasne a zrozumiteľne informovaní o tom, akým spôsobom bude s ich spätnou väzbou nakladané, vrátane informácie o jej možnom poskytnutí orgánu vedenia a účele takéhoto poskytnutia, v súlade s informačnou povinnosťou podľa GDPR.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hovorí o poskytovaní "údajov zo zberu spätnej väzby", kým pôvodné znenie sa primárne zameriavalo na predkladanie "vyhodnotenia spätnej väzby". "Údaje zo zberu" môžu predstavovať surové, neštruktúrované dáta, ktoré s vyššou pravdepodobnosťou obsahujú priame či nepriame identifikátory osôb. Spätná väzba od koncových používateľov môže obsahovať osobné údaje, či už priamo poskytnuté používateľom (napr. meno, emailová adresa pre prípadnú doplňujúcu komunikáciu, alebo opis situácie odhaľujúci osobné pomery) alebo nepriamo (napr. IP adresa, ak je zaznamenávaná). Vyhodnotenie spätnej väzby má naopak tendenciu byť agregovanejšie, anonymizované alebo je pseudonymizované, zamerané na trendy a typy problémov, nie na konkrétne podania jednotlivcov v ich pôvodnej forme. Prenos surových dát orgánu vedenia môže byť preto v rozpore so zásadou minimalizácie údajov, ak pre účely orgánu vedenia postačujú agregované alebo anonymizované informácie.</w:t>
              <w:br/>
            </w:r>
            <w:r>
              <w:rPr>
                <w:b w:val="off"/>
                <w:color w:val="000000"/>
                <w:rFonts w:ascii="Times New Roman" w:hAnsi="Times New Roman" w:cs="Times New Roman" w:eastAsia="Times New Roman"/>
                <w:sz w:val="24"/>
              </w:rPr>
              <w:t>Zatiaľ čo účel zberu a vyhodnocovania spätnej väzby orgánom riadenia je jasný (zlepšovanie kvality používateľskej skúsenosti konkrétnej služby, zohľadnenie v koncepcii rozvoja a pláne zlepšovania kvality ), nie je dostatočne explicitne stanovený účel, na ktorý potrebuje orgán vedenia mesačne a automatizovane získavať potenciálne surové "údaje zo zberu spätnej väzby". Ak má orgán vedenia vykonávať strategický dohľad a analytickú činnosť (§ 7, § 8 ods. 2 zákona o ITVS ), je otázne, či na tento účel potrebuje prístup k detailným, potenciálne identifikovateľným údajom zo spätnej väzby s mesačnou frekvenciou, a či by nepostačovali  agregované správy od orgánov riadenia s nižšou frekvenciou.</w:t>
              <w:br/>
            </w:r>
            <w:r>
              <w:rPr>
                <w:b w:val="off"/>
                <w:color w:val="000000"/>
                <w:rFonts w:ascii="Times New Roman" w:hAnsi="Times New Roman" w:cs="Times New Roman" w:eastAsia="Times New Roman"/>
                <w:sz w:val="24"/>
              </w:rPr>
              <w:t>Koncoví používatelia poskytujúci spätnú väzbu konkrétnemu orgánu riadenia (správcovi elektronickej služby) nemusia byť dostatočne informovaní o tom, že ich spätná väzba (potenciálne obsahujúca ich osobné údaje) bude automatizovane a pravidelne poskytovaná ďalšiemu subjektu – orgánu vedenia, čo predstavuje nedostatok voči zásade transparentnosti v zmysle GDPR.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 k §13b</w:t>
              <w:br/>
            </w:r>
            <w:r>
              <w:rPr>
                <w:b w:val="off"/>
                <w:color w:val="000000"/>
                <w:rFonts w:ascii="Times New Roman" w:hAnsi="Times New Roman" w:cs="Times New Roman" w:eastAsia="Times New Roman"/>
                <w:sz w:val="24"/>
              </w:rPr>
              <w:t>Navrhujeme doplniť, aby § 13b explicitne ukladalo povinnosť orgánu riadenia zabezpečiť súlad s nariadením Európskeho parlamentu a Rady (EÚ) 2016/679 (všeobecné nariadenie o ochrane údajov) a so zákonom č. 18/2018 Z. z.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spracúvanie osobných údajov prostredníctvom systémov umelej inteligencie je nevyhnutné, aby bola v zákone explicitne upravená povinnosť orgánu riadenia zabezpečiť súlad s právnymi predpismi upravujúcimi ochranu osobných údajov. Explicitné zakotvenie tejto povinnosti prispeje k posilneniu práv subjektov údajov a zvýšeniu právnej istoty pri používaní systémov AI vo verejnej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dohodou dňa 11.7.2025.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o ITVS vypustené. Problematika bude riešená v rámci návrhu nového zákona, ktorým bude komplexne implementované Nariadenie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k § 12 ods. 1 písm. b) bod 6 a 7</w:t>
              <w:br/>
            </w:r>
            <w:r>
              <w:rPr>
                <w:b w:val="off"/>
                <w:color w:val="000000"/>
                <w:rFonts w:ascii="Times New Roman" w:hAnsi="Times New Roman" w:cs="Times New Roman" w:eastAsia="Times New Roman"/>
                <w:sz w:val="24"/>
              </w:rPr>
              <w:t xml:space="preserve">Žiadame doplniť ustanovenie o explicitnú povinnosť, že rozsah a miera údajov § 12 ods. 1 písm. b) bod 6 a 7 nesmie viesť k priamemu ani nepriamemu sprístupneniu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nevyhnutné zabezpečiť, aby povinnosť sprístupňovať  "údaje evidovaných v informačných technológiách verejnej správy, ktorých je správcom" a "oprávnenia k používaniu údajov evidovaných v informačných technológiách verejnej správy, ktorých je správcom" bola interpretovaná a v praxi realizovaná tak, aby nedochádzalo k sprístupňovaniu samotných osobných údajov. Sprístupňované "informácie o údajoch" by mali mať charakter metaúdajov avšak nie konkrétne dátové záznamy.  Detailné metaúdaje, najmä v ich ďalšej kombinácii, by mohli viesť k riziku de-anonymizácie alebo k vytváraniu profilov bez vedomia dotknutých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20 k § 14 ods. 6 písm. c) a bod 29 k § 17 ods. 2 písm. c)</w:t>
              <w:br/>
            </w:r>
            <w:r>
              <w:rPr>
                <w:b w:val="off"/>
                <w:color w:val="000000"/>
                <w:rFonts w:ascii="Times New Roman" w:hAnsi="Times New Roman" w:cs="Times New Roman" w:eastAsia="Times New Roman"/>
                <w:sz w:val="24"/>
              </w:rPr>
              <w:t>Žiadame, aby ustanovenia § 14 ods. 6 písm. c) a § 17 ods. 2 písm. c) zákona o ITVS explicitne stanovili  povinnosť správcu zabezpečiť pseudonymizáciu alebo anonymizáciu monitorovaných údajov pred ich ďalším spracúvaním na účely hodnotenia, zverejňovania informácií z monitoringu (v zmysle § 14 ods. 6 písm. c)) alebo pred ich poskytnutím orgánu vedenia (v zmysle § 17 ods. 2 písm. c), pokiaľ by spracúvanie alebo prenos identifikovateľných osobných údajov nebol nevyhnutne potrebný na dosiahnutie konkrétneho, zákonom stanoveného účelu monitorovania a tento účel by nebolo možné dosiahnuť pseudonymizovanými alebo anonymizovanými údajmi.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bola v ustanoveniach § 14 ods. 6 písm. c) a § 17 ods. 2 písm. c) zákona o ITVS explicitne stanovená povinnosť správcu zabezpečiť informovanosť dotknutých osôb v súlade s článkami 13 a 14 GDPR, ak v rámci monitorovaných údajov dochádza k spracúvaniu ich osobných údajov, najmä ak sú tieto údaje ďalej poskytované orgánu vedenia.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14 ods. 6 písm. c) zavádza povinnosť, aby správca nepretržite a automatizovaným spôsobom monitoroval a hodnotil dodržiavanie úrovne poskytovania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 17 ods. 2 písm. c) zavádza povinnosť správcu zabezpečovať nepretržitý zber monitorovaných údajov a ich poskytovanie elektronicky automatizovaným spôsobom orgánu vedenia najmenej raz mesačne.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 tieto zmeny zdôrazňujú nepretržitý a automatizovaný charakter zberu, spracúvania a v prípade § 17 ods. 2 písm. c) aj poskytovanie monitorovaných údajov orgánu vedenia. Ak tieto monitorované údaje (napr. logy, prevádzkové údaje) obsahujú osobné údaje alebo môžu viesť k identifikácii osôb, ich nepretržitý a automatizovaný zber a poskytovanie si vyžaduje dodržiavanie zásad minimalizácie údajov, bezpečnosti a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anonymizácie, resp. pseudoanymizácie zabezpečí naplnenie zásady minimalizácie údajov (čl. 5 ods. 1 písm. c) GDPR) a splnenie požiadaviek na špecificky navrhnutú a štandardnú ochrana údajov(čl. 25 GDPR). Orgán vedenia pre svoje strategické a analytické účely spravidla nepotrebuje prístup k surovým, identifikovateľným osobným údajom z prevádzkových logov či monitoringu služieb. Anonymizované alebo riadne pseudonymizované údaje môžu poskytnúť dostatočný základ pre hodnotenie a prijímanie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uvádzame, že ak v rámci monitorovaných údajov bude dochádzať k spracúvaniu ich osobných údajov, najmä ak sú tieto údaje ďalej poskytované orgánu vedenia zásada transparentnosti (čl. 5 ods. 1 písm. a) GDPR) vyžaduje, aby boli dotknuté osoby informované o spracúvaní ich osobných údajov, vrátane účelov spracúvania, právneho základu, príjemcov údajov (v tomto prípade orgán vedenia) a ďalších relevantných informácií. Nepretržitý a automatizovaný zber a prenos údajov môže prebiehať bez priameho vedomia používateľov, preto je aktívna informačná povinnosť zo strany správcu v zmysle zásady transparentnosti nevyhnutná.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dohodou dňa 11.7.2025.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novelizačného bodu k § 14 ods. 6 písm. c) bolo upravené 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Novelizačný bod upravujúci § 17 ods. 2 písm. c) bol z návrhu zákona vypustený, no zabezpečenie pseudonymizácie alebo anonymizácie monitorovaných údajov pred ich ďalším spracúvaním je obsiahnutá doplnením v navrhovanej úprave §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17</w:t>
              <w:br/>
            </w:r>
            <w:r>
              <w:rPr>
                <w:b w:val="off"/>
                <w:color w:val="000000"/>
                <w:rFonts w:ascii="Times New Roman" w:hAnsi="Times New Roman" w:cs="Times New Roman" w:eastAsia="Times New Roman"/>
                <w:sz w:val="24"/>
              </w:rPr>
              <w:t>Navrhujem vypustiť celé znenie čl. IV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Bod 1 v čl. IV nepovažujem za potrebný novelizovať, pretože zo súčasného znenia § 17 ods. 1 zákona o kybernetickej bezpečnosti vyplýva  pomenovanie okruhu subjektov, ktoré sa zapisujú do registra prevádzkovateľov základnej služby. </w:t>
              <w:br/>
            </w:r>
            <w:r>
              <w:rPr>
                <w:b w:val="off"/>
                <w:color w:val="000000"/>
                <w:rFonts w:ascii="Times New Roman" w:hAnsi="Times New Roman" w:cs="Times New Roman" w:eastAsia="Times New Roman"/>
                <w:sz w:val="24"/>
              </w:rPr>
              <w:t>Bod 4 v čl. IV duplikuje už existujúce znenie § 17 ods. 3 písm. b) zákona o kybernetickej bezpečnosti. Zbytočne ho bližšie špecifikuje a poukazuje na už existujúce oprávnenie konkrétneho ústredného orgánu (MIRRI SR), pričom nešpecifikuje oprávnenia iných ústredných orgánov v možnosti navrhovať subjekt na zápis do registra prevádzkovateľov základnej služby, ktoré už vyplývajú zo súčasného znenia ustanovení v § 17. Je to zmätočná právna úprava.</w:t>
              <w:br/>
            </w:r>
            <w:r>
              <w:rPr>
                <w:b w:val="off"/>
                <w:color w:val="000000"/>
                <w:rFonts w:ascii="Times New Roman" w:hAnsi="Times New Roman" w:cs="Times New Roman" w:eastAsia="Times New Roman"/>
                <w:sz w:val="24"/>
              </w:rPr>
              <w:t>Body 2 a 3 v čl. IV priamo súvisia s uvedenými úpravami.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13b</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Čl. I bod 19 – navrhujeme zapracovať do ustanovenia § 13b odsek 8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Orgán riadenia je povinný zabezpečiť, aby každý dodávateľ alebo tretia strana, ktorá v rámci poskytovania služieb pre orgán riadenia využíva systémy umelej inteligencie („AI“), preukázateľne dodržiavala požiadavky na ochranu dôverných a osobných údajov, informačnú bezpečnosť a súlad so všeobecnými právnymi predpismi.</w:t>
              <w:br/>
            </w:r>
            <w:r>
              <w:rPr>
                <w:b w:val="off"/>
                <w:color w:val="000000"/>
                <w:rFonts w:ascii="Times New Roman" w:hAnsi="Times New Roman" w:cs="Times New Roman" w:eastAsia="Times New Roman"/>
                <w:sz w:val="24"/>
              </w:rPr>
              <w:t>Dodávateľ nesmie bez predchádzajúceho písomného súhlasu spracúvať údaje orgánu riadenia prostredníctvom nástrojov AI, pokiaľ:</w:t>
              <w:br/>
            </w:r>
            <w:r>
              <w:rPr>
                <w:b w:val="off"/>
                <w:color w:val="000000"/>
                <w:rFonts w:ascii="Times New Roman" w:hAnsi="Times New Roman" w:cs="Times New Roman" w:eastAsia="Times New Roman"/>
                <w:sz w:val="24"/>
              </w:rPr>
              <w:t>a)	nejde o AI systém schválený podľa certifikačnej schémy určenej úradom,</w:t>
              <w:br/>
            </w:r>
            <w:r>
              <w:rPr>
                <w:b w:val="off"/>
                <w:color w:val="000000"/>
                <w:rFonts w:ascii="Times New Roman" w:hAnsi="Times New Roman" w:cs="Times New Roman" w:eastAsia="Times New Roman"/>
                <w:sz w:val="24"/>
              </w:rPr>
              <w:t>b)	nie je zabezpečené, že AI nástroj nevyužíva tieto údaje na účely učenia alebo zdieľania s tretími stranami,</w:t>
              <w:br/>
            </w:r>
            <w:r>
              <w:rPr>
                <w:b w:val="off"/>
                <w:color w:val="000000"/>
                <w:rFonts w:ascii="Times New Roman" w:hAnsi="Times New Roman" w:cs="Times New Roman" w:eastAsia="Times New Roman"/>
                <w:sz w:val="24"/>
              </w:rPr>
              <w:t>c)	AI systém neumožňuje audit a spätnú kontrolu použitia,</w:t>
              <w:br/>
            </w:r>
            <w:r>
              <w:rPr>
                <w:b w:val="off"/>
                <w:color w:val="000000"/>
                <w:rFonts w:ascii="Times New Roman" w:hAnsi="Times New Roman" w:cs="Times New Roman" w:eastAsia="Times New Roman"/>
                <w:sz w:val="24"/>
              </w:rPr>
              <w:t>d)	AI systém nie je prevádzkovaný výhradne v rámci Európskeho hospodárskeho priestoru alebo v zmysle požiadaviek na cezhraničný prenos osobných údajov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navrhovanom ustanovení § 13b absentujú požiadavky na používanie AI nástrojov zo strany dodávateľov, čo predstavuje riziko pre ochranu dôverných a osobných údajov a kybernetickú bezpečnosť.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1 písm. d)</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Čl. I bod 43 – text ustanovenia § 29 ods. 1 písm. d) navrhujeme zmeniť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250 eur do 15 000 eur orgánu riadenia alebo osvedčujúcej osobe, ak poruší inú povinnosť podľa tohto zákona, než je uvedená v písmenách a) až c) a v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Doplnením nového odseku 2 v § 29 by nastala situácia, že orgán riadenia alebo osvedčujúca osoba by pre porušenie inej povinnosti ako je uvedená v § 29 ods. 1 písm. a) až c) mohli byť sankcionovaní aj podľa § 29 ods. 1 písm. d) a aj podľa § 29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Išlo by teda o dvojité sankcionovanie za to isté porušenie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29 ods. 1 písm. d) bolo v zmysle pripomienky doplnené o odkaz na odsek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 xml:space="preserve">ZMOS navrhuje nahradiť  pojem "sprístupnení" v prvej vete  za pojem "zverejnení".  Pojem sprístupniť je zaužívaný v aplikačnej praxi ako nástroj sprístupnenia informácie, ktorá je síce verejná, ale nie je povinne zverejňovanou informáciou. Je preto s princípom legitímneho očakávania adresáta normy, že správca elektronickú službu sprístupní až potom čo informáciu o nej zverejní v centrálnom metainformačnom systéme verejnej správy. Ponechaný pôvodne navrhovaný pojem by mohol spôsobiť aplikačné problémy. Navrhované znenie je rozporné s § 3 ods. 3 zákona č. 400/2015 o tvorbe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 ods. 3 prvé tri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Právny predpis musí byť terminologicky jednotný. Na označenie rovnakých právnych inštitútov sa používajú rovnaké právne pojmy v rovnakom význame. Jeden právny pojem s vymedzeným významom sa v tomto význame používa jednotne v celom právnom poriadku. Ak je význam právneho pojmu vymedzený v jednom právnom predpise, nemôže iný právny predpis pre ten istý právny pojem vytvárať iný význam.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je potrebné uvedený pojem zjednotiť so zákonom č. 211/2000 Z. z. o slobodnom prístupe k informáciám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písomnom vysvetlení dňa 26.8.2025.</w:t>
              <w:br/>
            </w:r>
            <w:r>
              <w:rPr>
                <w:b w:val="off"/>
                <w:color w:val="000000"/>
                <w:rFonts w:ascii="Times New Roman" w:hAnsi="Times New Roman" w:cs="Times New Roman" w:eastAsia="Times New Roman"/>
                <w:sz w:val="24"/>
              </w:rPr>
              <w:t>Pojem „sprístupnenie“ je v danom kontexte vhodnejší než pojem „zverejnenie“.</w:t>
              <w:br/>
            </w:r>
            <w:r>
              <w:rPr>
                <w:b w:val="off"/>
                <w:color w:val="000000"/>
                <w:rFonts w:ascii="Times New Roman" w:hAnsi="Times New Roman" w:cs="Times New Roman" w:eastAsia="Times New Roman"/>
                <w:sz w:val="24"/>
              </w:rPr>
              <w:t>Ustanovenie § 12 ods. 1 písm. b), na ktoré sa v predmetnom ustanovení odkazuje ustanovuje sprístupnenie, nie zverejnenie.</w:t>
              <w:br/>
            </w:r>
            <w:r>
              <w:rPr>
                <w:b w:val="off"/>
                <w:color w:val="000000"/>
                <w:rFonts w:ascii="Times New Roman" w:hAnsi="Times New Roman" w:cs="Times New Roman" w:eastAsia="Times New Roman"/>
                <w:sz w:val="24"/>
              </w:rPr>
              <w:t xml:space="preserve">Sprístupnenie informácií o službe v MetaIS (čo je podmienka na publikovanie služby), je primárne určené pre NASES, aby vedel tieto informácie na UPVS publikovať. </w:t>
              <w:br/>
            </w:r>
            <w:r>
              <w:rPr>
                <w:b w:val="off"/>
                <w:color w:val="000000"/>
                <w:rFonts w:ascii="Times New Roman" w:hAnsi="Times New Roman" w:cs="Times New Roman" w:eastAsia="Times New Roman"/>
                <w:sz w:val="24"/>
              </w:rPr>
              <w:t>Na základe uvedeného možno skonštatovať, že predmetné použitie slova „sprístupnení“ je správne.</w:t>
              <w:br/>
            </w:r>
            <w:r>
              <w:rPr>
                <w:b w:val="off"/>
                <w:color w:val="000000"/>
                <w:rFonts w:ascii="Times New Roman" w:hAnsi="Times New Roman" w:cs="Times New Roman" w:eastAsia="Times New Roman"/>
                <w:sz w:val="24"/>
              </w:rPr>
              <w:t>Predmetné znenie vychádza z aktuálne platného znenia § 15 ods. 1, pričom predkladateľovi nie sú známe žiadne aplikačné problémy, ktoré by toto znenie spôsobovalo.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13b</w:t>
              <w:br/>
            </w:r>
            <w:r>
              <w:rPr>
                <w:b w:val="off"/>
                <w:color w:val="000000"/>
                <w:rFonts w:ascii="Times New Roman" w:hAnsi="Times New Roman" w:cs="Times New Roman" w:eastAsia="Times New Roman"/>
                <w:sz w:val="24"/>
              </w:rPr>
              <w:t>ZMOS navrhuje celý §13b vypustiť z návrhu a dopracovať. Znenie §13b nespĺňa základne požiadavky, ktoré sú kladené na normatívnosť textu aj s ohľadom na modus normy. Základnou črtou právnej normy je jej vynútiteľnosť a ZMOSu nie je jasné ako budú ust. § 13b vynútiteľné nakoľko normatívnosť absentuje. Navrhované ust. 13b je vhodné v zmysle štrukturálneho členenia predpisu do úvodných ustanovení (§ 5 ods. 1 zákona č. 400/2015 Z. z. o tvorbe etc.. ) a nie do samotného textu zákona upravujúceho príslušné spoločenské vzťahy.  (§ 5 ods. 1 písm. b) zákona o tvorbe...)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právnom predpise sa taktiež nedovoľuje používanie cudzích pojmom resp. pojmov, ktoré slovenský právny poriadok nepozná. Pojem AI (artificial inteligence pozn. autora) nie je pojmom zaužívaným v slovenskom právnom poriadku napriek tomu, že v texte je použitý jeho slovenský ekvivalent čo je dôkazom nedôslednosti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3 ods. 7 zákona o tvorbe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Cudzie pojmy možno použiť len výnimočne, ak ich použitie nie je na úkor všeobecnej zrozumiteľnosti právneho predpisu a</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sú už súčasťou ustálenej právnej terminológie,</w:t>
              <w:br/>
            </w:r>
            <w:r>
              <w:rPr>
                <w:b w:val="off"/>
                <w:color w:val="000000"/>
                <w:rFonts w:ascii="Times New Roman" w:hAnsi="Times New Roman" w:cs="Times New Roman" w:eastAsia="Times New Roman"/>
                <w:sz w:val="24"/>
              </w:rPr>
              <w:t>b)</w:t>
              <w:br/>
            </w:r>
            <w:r>
              <w:rPr>
                <w:b w:val="off"/>
                <w:color w:val="000000"/>
                <w:rFonts w:ascii="Times New Roman" w:hAnsi="Times New Roman" w:cs="Times New Roman" w:eastAsia="Times New Roman"/>
                <w:sz w:val="24"/>
              </w:rPr>
              <w:t>používajú sa bežne v upravovanom odvetví alebo</w:t>
              <w:br/>
            </w:r>
            <w:r>
              <w:rPr>
                <w:b w:val="off"/>
                <w:color w:val="000000"/>
                <w:rFonts w:ascii="Times New Roman" w:hAnsi="Times New Roman" w:cs="Times New Roman" w:eastAsia="Times New Roman"/>
                <w:sz w:val="24"/>
              </w:rPr>
              <w:t>c)</w:t>
              <w:br/>
            </w:r>
            <w:r>
              <w:rPr>
                <w:b w:val="off"/>
                <w:color w:val="000000"/>
                <w:rFonts w:ascii="Times New Roman" w:hAnsi="Times New Roman" w:cs="Times New Roman" w:eastAsia="Times New Roman"/>
                <w:sz w:val="24"/>
              </w:rPr>
              <w:t>nemožno ich nahradiť vhodným a rovnocenným pojmom v štátnom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podmienkach slovenského právneho poriadku pojem AI nie je ustáleným pojmom a jeho zavedenie do právneho poriadku je neudržateľné a je nahraditeľné slovenským ekvivalentom umelá inteligencia. Prípadne mal predkladateľ pojem riadne vysvetliť v súlade so zákonom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neobsahuje ani riadnu dôvodovú správu spĺňajúcu minimálne požiadavky na jej obsah (pre osobitnú časť) čo je v rozpore s princípom legality a dôvodová správa, ktorá je obsahom materiálu tak nie je spôsobilá poskytnúť dostatočný obraz o právnej norme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7 ods. 2 posledná veta zákona o tvorbe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Osobitná časť dôvodovej správy obsahuje vecné odôvodnenie jednotlivých navrhovaných ustanovení právneho predpisu; do odôvodnenia sa nesmie preberať text týchto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preto s poukazom na vyššie uvedené dôvody konštatuje, že takto navrhované znenie by spôsobilo problémy s aplikáciou a vynucovanie by bolo v praxi nemožné nakoľko príslušné spoločenské vzťahy sú upravené všeobecne a neurčito.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možno dodať, že umelú inteligenciu a jej zavádzanie vyžaduje podrobnejšiu a špecifickejšiu právnu  úpravu v s samotnom právnom predpise, nakoľko predstavuje širší spoločenský dosah, ktorému budú čeliť nielen samosprávy s právnymi dôsledkami, ktoré môžu byť závažné.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15 ods. 2</w:t>
              <w:br/>
            </w:r>
            <w:r>
              <w:rPr>
                <w:b w:val="off"/>
                <w:color w:val="000000"/>
                <w:rFonts w:ascii="Times New Roman" w:hAnsi="Times New Roman" w:cs="Times New Roman" w:eastAsia="Times New Roman"/>
                <w:sz w:val="24"/>
              </w:rPr>
              <w:t>ZMOS žiada dopracovať  dôvodovú správu (jej osobitnú časť ) tak aby poskytla adresátom normy dostatočný obraz potreby zaťažiť správcu (obce a ďalšie osoby či subjekty práva ďalšími povinnosťami). Netreba opomínať, že dôvodová správa tvorí záväzný substrát každej právnej normy a preto sú na ňu kladené také isté kvalitatívne požiadavky, ako na normu samotnú. S takto predloženým návrhom sa na zjavné nedostatky v kvalite obsahu dôvodovej správy nemožno stotožniť.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konštatuje, že predkladateľ sa riadne nevysporiadal s vplyvmi na obce ako prípadných správcov či orgánov riadenia. Predkladaný návrh obsahuje nárast povinností a s tým spojenú narastajúcu potrebu odborne vzdelaného personálu či potrebu zazmluvnenia subjektov poskytujúcich potrebné služby  čo znamená zvýšené výdavky nielen na ľudské zdroje, ale aj na software. Nemožno sa preto stotožniť s prekladanou analýzou vplyvov na rozpočty obcí s nulovým dopadom a preto ju ZMOS žiada riadne dopracovať resp. vysvetliť financovanie.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dňa 26.8.2025.</w:t>
              <w:br/>
            </w:r>
            <w:r>
              <w:rPr>
                <w:b w:val="off"/>
                <w:color w:val="000000"/>
                <w:rFonts w:ascii="Times New Roman" w:hAnsi="Times New Roman" w:cs="Times New Roman" w:eastAsia="Times New Roman"/>
                <w:sz w:val="24"/>
              </w:rPr>
              <w:t>Pripomienkujúci subjekt po vysvetlení prekvalifikoval na obyčajnú pripomienku.</w:t>
              <w:br/>
            </w:r>
            <w:r>
              <w:rPr>
                <w:b w:val="off"/>
                <w:color w:val="000000"/>
                <w:rFonts w:ascii="Times New Roman" w:hAnsi="Times New Roman" w:cs="Times New Roman" w:eastAsia="Times New Roman"/>
                <w:sz w:val="24"/>
              </w:rPr>
              <w:t>Predkladateľ uvádza, že novela nezavádza žiadne nové povinnosti ale len zefektívňuje spôsob plnenia existujúcich povinností.</w:t>
              <w:br/>
            </w:r>
            <w:r>
              <w:rPr>
                <w:b w:val="off"/>
                <w:color w:val="000000"/>
                <w:rFonts w:ascii="Times New Roman" w:hAnsi="Times New Roman" w:cs="Times New Roman" w:eastAsia="Times New Roman"/>
                <w:sz w:val="24"/>
              </w:rPr>
              <w:t xml:space="preserve">Povinnosť orgánov riadenia poskytovať súčinnosť orgánu vedenia a zabezpečiť mu údaje zo spätného väzby je v súčasnosti už legislatívne  upravená v § 8 ods. 2 zákona o ITVS.  </w:t>
              <w:br/>
            </w:r>
            <w:r>
              <w:rPr>
                <w:b w:val="off"/>
                <w:color w:val="000000"/>
                <w:rFonts w:ascii="Times New Roman" w:hAnsi="Times New Roman" w:cs="Times New Roman" w:eastAsia="Times New Roman"/>
                <w:sz w:val="24"/>
              </w:rPr>
              <w:t xml:space="preserve">Predkladateľ zdôrazňuje, že povinnosť predkladať výstupy zo spätnej väzby, ako aj monitoringu pre orgán vedenia už bola súčasťou platnej legislatívy, hoci s nižšou frekvenciou a bez explicitného uvedenia elektronickej automatizácie. </w:t>
              <w:br/>
            </w:r>
            <w:r>
              <w:rPr>
                <w:b w:val="off"/>
                <w:color w:val="000000"/>
                <w:rFonts w:ascii="Times New Roman" w:hAnsi="Times New Roman" w:cs="Times New Roman" w:eastAsia="Times New Roman"/>
                <w:sz w:val="24"/>
              </w:rPr>
              <w:t>V zmysle návrhu novely máme zato, že  ide o inštitúty, ktoré sú súčasťou legislatívy už dlhšie a napríklad pri poskytovaní služieb monitoringu je prirodzené, že dodávateľ služieb podpory prevádzky a aplikačnej podpory tieto služby poskytuje.</w:t>
              <w:br/>
            </w:r>
            <w:r>
              <w:rPr>
                <w:b w:val="off"/>
                <w:color w:val="000000"/>
                <w:rFonts w:ascii="Times New Roman" w:hAnsi="Times New Roman" w:cs="Times New Roman" w:eastAsia="Times New Roman"/>
                <w:sz w:val="24"/>
              </w:rPr>
              <w:t xml:space="preserve">Novela teda nezavádza úplne nové povinnosti, ale skôr zefektívňuje a upresňuje existujúce procesy, čím prispieva k vyššej operatívnosti a kvalite riadenia. </w:t>
              <w:br/>
            </w:r>
            <w:r>
              <w:rPr>
                <w:b w:val="off"/>
                <w:color w:val="000000"/>
                <w:rFonts w:ascii="Times New Roman" w:hAnsi="Times New Roman" w:cs="Times New Roman" w:eastAsia="Times New Roman"/>
                <w:sz w:val="24"/>
              </w:rPr>
              <w:t>Podľa súčasného znenia § 13a odsek 7 zákona o ITVS platí, že: „Orgán riadenia na účely zlepšenia kvality používateľskej skúsenosti zabezpečuje priebežný zber spätnej väzby k poskytovaným prioritným elektronickým službám od koncových používateľov a jej vyhodnocovanie najmenej raz ročne. Ak o to orgán vedenia požiada, orgán riadenia mu v určenej lehote, najskôr 31. januára, predloží vyhodnotenie spätnej väzby podľa prvej vety za predchádzajúci kalendárny rok. Poznatky získané zo spätnej väzby orgán riadenia zohľadňuje v koncepcii rozvoja a v pláne postupu pre naplnenie požiadaviek na zlepšovanie kvality používateľskej skúsenosti (ďalej len „plán zlepšovania kvality“).“.</w:t>
              <w:br/>
            </w:r>
            <w:r>
              <w:rPr>
                <w:b w:val="off"/>
                <w:color w:val="000000"/>
                <w:rFonts w:ascii="Times New Roman" w:hAnsi="Times New Roman" w:cs="Times New Roman" w:eastAsia="Times New Roman"/>
                <w:sz w:val="24"/>
              </w:rPr>
              <w:t xml:space="preserve">Novelizácia predmetných ustanovení precizuje povinnosti, ktoré sa týkajú využívania elektronických služieb týkajúcich sa prioritných životných situácií.  </w:t>
              <w:br/>
            </w:r>
            <w:r>
              <w:rPr>
                <w:b w:val="off"/>
                <w:color w:val="000000"/>
                <w:rFonts w:ascii="Times New Roman" w:hAnsi="Times New Roman" w:cs="Times New Roman" w:eastAsia="Times New Roman"/>
                <w:sz w:val="24"/>
              </w:rPr>
              <w:t xml:space="preserve">Z tohto dôvodu nebude mať novela dopad na rozpočty obcí. </w:t>
              <w:br/>
            </w:r>
            <w:r>
              <w:rPr>
                <w:b w:val="off"/>
                <w:color w:val="000000"/>
                <w:rFonts w:ascii="Times New Roman" w:hAnsi="Times New Roman" w:cs="Times New Roman" w:eastAsia="Times New Roman"/>
                <w:sz w:val="24"/>
              </w:rPr>
              <w:t xml:space="preserve">Rovnako podľa súčasného znenia § 14 ods. 6 písm. c) Zákona o ITVS, ktorý  znie: „správca monitoruje a hodnotí dodržiavanie úrovne poskytovania služieb podľa písmena b) a informácie z monitoringu a hodnotenia v rozsahu ustanovenom štandardmi sprístupňuje verejnosti najmenej raz za šesť mesiacov prostredníctvom na to určenej funkcionality centrálneho metainformačného systému verejnej správy“ </w:t>
              <w:br/>
            </w:r>
            <w:r>
              <w:rPr>
                <w:b w:val="off"/>
                <w:color w:val="000000"/>
                <w:rFonts w:ascii="Times New Roman" w:hAnsi="Times New Roman" w:cs="Times New Roman" w:eastAsia="Times New Roman"/>
                <w:sz w:val="24"/>
              </w:rPr>
              <w:t>Tak ako bolo v argumentácii uvedené, dnes je monitoring štandardne zabezpečovaný dodávateľsky, pričom ide nepretržitý a automatizovaný monitoring ako súčasť služieb SLA, preto argument, že tento bod spôsobí zvýšené náklady na správu ITVS, nie je akceptovateľný aj vzhľadom na skutočnosť, že monitoring ako taký sa v legislatíve k dnešnému dňu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prehodnotení nastavenia novely zákona bola z návrhu vypustená povinnosť nepretržitého zberu údajov a ich poskytovania automatizovaným spôsobom [upravená v § 13a ods. 7 a § 17 ods. 2 písm. c)], ako aj monitoring nepretržitým a automatizovaným spôsobom [§ 14 ods. 6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návrh zákona zohľadnil osobitné postavenie malých obcí, ktoré nemajú vlastné technické kapacity, IT odborníkov ani nezabezpečujú správu informačných systémov vo vlastnej réžii. Zákon by mal pre tieto obce zaviesť zjednodušený režim plnenia povinností alebo výnimku z niektorých ustanovení, ktoré sú technicky a finančne neuskutočniteľné.</w:t>
              <w:br/>
            </w:r>
            <w:r>
              <w:rPr>
                <w:b w:val="off"/>
                <w:color w:val="000000"/>
                <w:rFonts w:ascii="Times New Roman" w:hAnsi="Times New Roman" w:cs="Times New Roman" w:eastAsia="Times New Roman"/>
                <w:sz w:val="24"/>
              </w:rPr>
              <w:t>Navrhujeme doplniť osobitný režim alebo výnimku pre obce pri plnení povinností podľa § 15, § 23 a § 29.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výrazne rozširuje povinnosti správcu informačných technológií verejnej správy, najmä v oblasti projektového riadenia a kybernetickej bezpečnosti. Zavádza povinnosť mať vypracovaný interný predpis, definovať ukazovatele kvality a súladu, identifikovať riziká a požiadavky, zverejňovať rozhodnutia, oznamovať bezpečnostné incidenty, komunikovať s vládnymi jednotkami, udržiavať aktuálnu evidenciu a zabezpečiť zmluvné náležitosti. Tieto požiadavky sú v praxi neprimerané pre väčšinu obcí, ktoré používajú centrálne štátne riešenia, ako napríklad dátové centrum obcí a miest, a nie sú schopné zabezpečiť tieto povinnosti bez externej odbornej pomoci.</w:t>
              <w:br/>
            </w:r>
            <w:r>
              <w:rPr>
                <w:b w:val="off"/>
                <w:color w:val="000000"/>
                <w:rFonts w:ascii="Times New Roman" w:hAnsi="Times New Roman" w:cs="Times New Roman" w:eastAsia="Times New Roman"/>
                <w:sz w:val="24"/>
              </w:rPr>
              <w:t>Zároveň návrh zákona stanovuje vysoké finančné sankcie za porušenie týchto povinností, ktoré sú pre obce likvidačné. Zákon nerozlišuje medzi veľkým správcom a malou obcou, čím zavádza rovnaké nároky a riziká pre veľmi rozdielne subjekty verejnej správy.</w:t>
              <w:br/>
            </w:r>
            <w:r>
              <w:rPr>
                <w:b w:val="off"/>
                <w:color w:val="000000"/>
                <w:rFonts w:ascii="Times New Roman" w:hAnsi="Times New Roman" w:cs="Times New Roman" w:eastAsia="Times New Roman"/>
                <w:sz w:val="24"/>
              </w:rPr>
              <w:t>Z uvedených dôvodov žiadame upraviť návrh tak, aby reflektoval špecifiká a možnosti územnej samosprávy, predovšetkým malých a stredne veľkých obcí.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dňa 26.8.2025.</w:t>
              <w:br/>
            </w:r>
            <w:r>
              <w:rPr>
                <w:b w:val="off"/>
                <w:color w:val="000000"/>
                <w:rFonts w:ascii="Times New Roman" w:hAnsi="Times New Roman" w:cs="Times New Roman" w:eastAsia="Times New Roman"/>
                <w:sz w:val="24"/>
              </w:rPr>
              <w:t>Pripomienkujúci subjekt po vysvetlení prekvalifikoval na obyčajnú pripomienku.</w:t>
              <w:br/>
            </w:r>
            <w:r>
              <w:rPr>
                <w:b w:val="off"/>
                <w:color w:val="000000"/>
                <w:rFonts w:ascii="Times New Roman" w:hAnsi="Times New Roman" w:cs="Times New Roman" w:eastAsia="Times New Roman"/>
                <w:sz w:val="24"/>
              </w:rPr>
              <w:t xml:space="preserve">Navrhované ustanovenia zákona o ITVS majú za cieľ zabezpečiť jednotnú organizáciu správy informačných technológií verejnej správy všetkých orgánov riadenia bez ohľadu na ich veľkosť. Nastavenie sa uplatňuje už od roku 2019.  </w:t>
              <w:br/>
            </w:r>
            <w:r>
              <w:rPr>
                <w:b w:val="off"/>
                <w:color w:val="000000"/>
                <w:rFonts w:ascii="Times New Roman" w:hAnsi="Times New Roman" w:cs="Times New Roman" w:eastAsia="Times New Roman"/>
                <w:sz w:val="24"/>
              </w:rPr>
              <w:t>Upozorňujeme, že existuje možnosť podľa § 27 zákona o ITVS požiadať o vydanie rozhodnutia o osobitnom postupe – t.j. o povolenie zmeny v rozsahu alebo spôsobe plnenia povinností podľa zákona o ITVS, všeobecne záväzných predpisov vydaných na jeho vykonanie alebo štandardov.</w:t>
              <w:br/>
            </w:r>
            <w:r>
              <w:rPr>
                <w:b w:val="off"/>
                <w:color w:val="000000"/>
                <w:rFonts w:ascii="Times New Roman" w:hAnsi="Times New Roman" w:cs="Times New Roman" w:eastAsia="Times New Roman"/>
                <w:sz w:val="24"/>
              </w:rPr>
              <w:t>Zavedenie ďalších výnimiek alebo zjednodušeného režimu pre malé obce by mohlo viesť k nejednotnosti pri zabezpečovaní prevádzky ITVS, čo by mohlo ohroziť celkovú bezpečnosť a funkčnosť IT systémov.</w:t>
              <w:br/>
            </w:r>
            <w:r>
              <w:rPr>
                <w:b w:val="off"/>
                <w:color w:val="000000"/>
                <w:rFonts w:ascii="Times New Roman" w:hAnsi="Times New Roman" w:cs="Times New Roman" w:eastAsia="Times New Roman"/>
                <w:sz w:val="24"/>
              </w:rPr>
              <w:t>Vzhľadom na uvedené, ako aj na možnosť využívania externých odborných služieb a štátnych centrálnych riešení, ktoré majú tieto obce k dispozícii, nepovažujeme za vhodné zaviesť osobitné výnimky či zjednodušený režim pre malé obce v predkladanom návrhu zákona.</w:t>
              <w:br/>
            </w:r>
            <w:r>
              <w:rPr>
                <w:b w:val="off"/>
                <w:color w:val="000000"/>
                <w:rFonts w:ascii="Times New Roman" w:hAnsi="Times New Roman" w:cs="Times New Roman" w:eastAsia="Times New Roman"/>
                <w:sz w:val="24"/>
              </w:rPr>
              <w:t>Ak malé obce nezabezpečujú správu IT vo vlastnej réžii, pravdepodobne ju zabezpečujú prostredníctvom DEUS.</w:t>
              <w:br/>
            </w:r>
            <w:r>
              <w:rPr>
                <w:b w:val="off"/>
                <w:color w:val="000000"/>
                <w:rFonts w:ascii="Times New Roman" w:hAnsi="Times New Roman" w:cs="Times New Roman" w:eastAsia="Times New Roman"/>
                <w:sz w:val="24"/>
              </w:rPr>
              <w:t>Už súčasné znenie § 28 ods. 1 upravuje výnimky nasledovne: „Za orgán riadenia, ktorým je obec, a vo vzťahu k informačným technológiám verejnej správy, ktorých prevádzkovanie zabezpečuje obec prostredníctvom dátového centra obcí,36) plní povinnosti podľa § 8 ods. 2, § 12 ods. 1 písm. a) a b) a § 14 ods. 3 správca informačného systému dátového centra obcí.“.</w:t>
              <w:br/>
            </w:r>
            <w:r>
              <w:rPr>
                <w:b w:val="off"/>
                <w:color w:val="000000"/>
                <w:rFonts w:ascii="Times New Roman" w:hAnsi="Times New Roman" w:cs="Times New Roman" w:eastAsia="Times New Roman"/>
                <w:sz w:val="24"/>
              </w:rPr>
              <w:t xml:space="preserve">Existujúce znenie § 28 ustanovuje možnosť „výnimky“, avšak nie z plnenia povinností podľa zákona o ITVS, ale zo subjektu, ktorý ich je povinný plniť. </w:t>
              <w:br/>
            </w:r>
            <w:r>
              <w:rPr>
                <w:b w:val="off"/>
                <w:color w:val="000000"/>
                <w:rFonts w:ascii="Times New Roman" w:hAnsi="Times New Roman" w:cs="Times New Roman" w:eastAsia="Times New Roman"/>
                <w:sz w:val="24"/>
              </w:rPr>
              <w:t>Predmetné ustanovenie reflektuje existenciu združenia DEUS, ktorého základným poslaním je práve aj výkon niektorých činností správy za obce a mestá. V obdobnom režime tiež umožňuje zakladateľom a zriaďovateľom plniť povinnosti za nimi založené a zriadené osoby, čím sa tiež umožní naplnenie princípu hospodárnosti a efektívnosti pri výkone správy informačných technológií.</w:t>
              <w:br/>
            </w:r>
            <w:r>
              <w:rPr>
                <w:b w:val="off"/>
                <w:color w:val="000000"/>
                <w:rFonts w:ascii="Times New Roman" w:hAnsi="Times New Roman" w:cs="Times New Roman" w:eastAsia="Times New Roman"/>
                <w:sz w:val="24"/>
              </w:rPr>
              <w:t>Z pripomienky vyplýva, že navrhuje ZMOS rozšíriť výnimku z plnenia povinností aj o povinnosti podľa § 15, § 23 a § 29, pričom nie je však zrejmé kto by ich za obce plnil.</w:t>
              <w:br/>
            </w:r>
            <w:r>
              <w:rPr>
                <w:b w:val="off"/>
                <w:color w:val="000000"/>
                <w:rFonts w:ascii="Times New Roman" w:hAnsi="Times New Roman" w:cs="Times New Roman" w:eastAsia="Times New Roman"/>
                <w:sz w:val="24"/>
              </w:rPr>
              <w:t xml:space="preserve">Zároveň uvádzame, že administratívnoprávna zodpovednosť za správe delikty podľa zákona o ITVS je konštruovaná v súlade s princípmi správneho konania a trestania na prísne objektívnom princípe zodpovednosti. </w:t>
              <w:br/>
            </w:r>
            <w:r>
              <w:rPr>
                <w:b w:val="off"/>
                <w:color w:val="000000"/>
                <w:rFonts w:ascii="Times New Roman" w:hAnsi="Times New Roman" w:cs="Times New Roman" w:eastAsia="Times New Roman"/>
                <w:sz w:val="24"/>
              </w:rPr>
              <w:t>Zároveň dodávame, že pri plnení povinností týkajúcich sa obstarávania a implementácie informačných technológií verejnej správy je, okrem iného, určujúca hodnota projektu t.j. nie veľkosť obce ako takej.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w:t>
              <w:br/>
            </w:r>
            <w:r>
              <w:rPr>
                <w:b w:val="off"/>
                <w:color w:val="000000"/>
                <w:rFonts w:ascii="Times New Roman" w:hAnsi="Times New Roman" w:cs="Times New Roman" w:eastAsia="Times New Roman"/>
                <w:sz w:val="24"/>
              </w:rPr>
              <w:t xml:space="preserve">1.	K § 2 ods. 1: systém AI nie je definovaný, je tam iba odkaz na poznámku pod čiarou 4b), t. j.  Nariadenie Európskeho parlamentu a Rady (EÚ) 2024/1689. Rovnako nie je jednoznačné, ktoré systémy AI spadajú pod pôsobnosť tohto návrhu zákona (existujú napr. aj nízkorizikové AI nástroje na prediktívne analytiky). ÚJD SR navrhuje doplniť samostatnú definíciu systému AI, aby bolo jednoznačné, ktoré systémy spadajú pod pôsobnosť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(ďalej len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2.	Nad rámec vlastného materiálu: v § 2 ÚJD SR navrhuje zadefinovať pre účely tohoto zákona pojem "programový prostriedok".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predíde sa tým  nedorozumeniam a nejednoznačnostiam pri používaní termínov "aplikačné programové vybavenie", "softvérový nástroj", "dochádzkový informačný systém", "ekonomický informačný systém", "webová aplikácia", "mobilná aplikácia"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programový prostriedok je bežne používaný pojem, ktorým sa vyjadruje rozdiel medzi hardware (technický prostriedok) a software (programový prostriedok). Predkladateľovi nie sú známe žiadne aplikačné problémy.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3.	Nad rámec vlastného materiálu: v § 2 ÚJD SR navrhuje zadefinovať pre účely tohto zákona pojem "informačná bezpečnosť".</w:t>
              <w:br/>
            </w:r>
            <w:r>
              <w:rPr>
                <w:b w:val="off"/>
                <w:color w:val="000000"/>
                <w:rFonts w:ascii="Times New Roman" w:hAnsi="Times New Roman" w:cs="Times New Roman" w:eastAsia="Times New Roman"/>
                <w:sz w:val="24"/>
              </w:rPr>
              <w:t>Odôvodnenie:  zákon č. 95/2019 Z. z. o informačných technológiách vo verejnej správe a o zmene a doplnení niektorých zákonov v znení neskorších predpisov musí z dôvodu jednoznačnosti mať tento termín zadefinovaný, aby bolo jasne určené, čo je jeho obsahom, resp. identickosť s termínom "bezpečnosť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ITVS s pojmom informačná bezpečnosť nepracuje s výnimkou medzinárodných štandardov, kde sa pojem používa ako opisný.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pohľadu predkladateľ nepovažuje za potrebné ho definovať v zákone o ITVS.</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4.	K § 3 písm. c) bod 1.: ak v prípade technologických, administratívnych a organizačných údajov ide o údaje o opatreniach prijatých na ochranu prevádzkovaných informačných technológií verejnej správy, mali by byť uvedené v neverejnej časti METAIS s tým, že ich vidí iba oprávnená osoba, nie verejnosť a pokiaľ by išlo dokonca o údaje z bezpečnostného projektu, je na zváženie, či by nemali byť osobitne zabezpečené a odstupňovaný prístup k nim na základe prístupových oprávnení.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ITVS špecifikuje len objekty evidencie, ktoré sú obsahom METAIS, ktorými sú metaúdaje o ITVS, ktoré nie sú z prevažnej časti citlivými údajmi.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každý ISVS by mal aj METAIS chrániť citlivé údaje v súlade so zákonom č. 69/2018 Z.z. o kybernetickej bezpečnosti a  s vyhláškou ÚPVII č. 179/2020 Z.z., ktorou sa ustanovuje spôsob kategorizácie a obsah bezpečnostných opatrení informačných technológií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MIRRI okrem vyššie uvedeného vydalo aj Metodické usmernenie č. 24769/2023/oSBATA-1o zverejňovaní projektovej dokumentácie na portáli MetaIS, ktoré je zverejnené na: https://mirri.gov.sk/wp-content/uploads/2023/11/MU_na_zverejnovanie_projektovej_dokumentacie_na_portali_MetaIS_24679_2023.pdf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v § 3 ide len o definíciu štruktúry MetaIS a na jeho základe sa žiadne údaje nebudú nikde sprístupňovať.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5.	K § 3 písm. c) bod 3.: niektoré ITVS neslúžia na evidenciu údajov, napr. simulačné programy a zverejnenie týchto evidencií by mohlo tiež podliehať podmienkam prístupnosti ako pri pripomienke č. 4 (k § 3 písm. c) bod 1.), napr. ÚJD SR má ITVS s evidenciou jadrových materiálov a kde sa nachádza alebo databázu so zavedenými opatreniami KB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ITVS špecifikuje len objekty evidencie, ktoré sú obsahom METAIS, ktorými sú metaúdaje o ITVS, ktoré nie sú z prevažnej časti citlivými údajmi. Ako každý ISVS by mal aj METAIS chrániť citlivé údaje v súlade so zákonom č. 69/2018 Z.z. o kybernetickej bezpečnosti a  s vyhláškou ÚPVII č. 179/2020 Z.z., ktorou sa ustanovuje spôsob kategorizácie a obsah bezpečnostných opatrení informačných technológií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MIRRI okrem vyššie uvedeného vydalo aj Metodické usmernenie č. 24769/2023/oSBATA-1o zverejňovaní projektovej dokumentácie na portáli MetaIS, ktoré je zverejnené na: https://mirri.gov.sk/wp-content/uploads/2023/11/MU_na_zverejnovanie_projektovej_dokumentacie_na_portali_MetaIS_24679_2023.pdf.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v § 3 ide len o definíciu štruktúry MetaIS a na jeho základe sa žiadne údaje nebudú nikde sprístupňovať.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6.	K § 13 ods. 1: ÚJD SR odporúča určiť časový rámec pre dlhodobé plánovanie: ide o 5, 7 či 10 rokov. Vo svete IT je to asi dlhodobé plánovanie, pretože je v ňom veľmi rýchla gradácia vývoja a to, čo je v inej oblasti strednodobé, je v IT zrejme dlhodobé.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bolo a aj je vyhnúť sa určeniu konkrétnych časových úsekov.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Platnosť Koncepcií rozvoja informačných technológií nie je potrebné určovať priamo v zákone. KRIT sa obsahovo a časovo viaže na schválenie NKIVS a má to byť živý dokument v zmysle, že má odrážať reálne potreby a vývoj v orgáne riadenia. Limitovať koncepciu časovo nemá žiaden zmysel.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13b ods. 6</w:t>
              <w:br/>
            </w:r>
            <w:r>
              <w:rPr>
                <w:b w:val="off"/>
                <w:color w:val="000000"/>
                <w:rFonts w:ascii="Times New Roman" w:hAnsi="Times New Roman" w:cs="Times New Roman" w:eastAsia="Times New Roman"/>
                <w:sz w:val="24"/>
              </w:rPr>
              <w:t>7.	V § 13b ods. 6 konkretizovať spôsob podpory výskumu, vývoja a inovácie v oblasti umelej inteligencie zo strany orgánu riadenia.</w:t>
              <w:br/>
            </w:r>
            <w:r>
              <w:rPr>
                <w:b w:val="off"/>
                <w:color w:val="000000"/>
                <w:rFonts w:ascii="Times New Roman" w:hAnsi="Times New Roman" w:cs="Times New Roman" w:eastAsia="Times New Roman"/>
                <w:sz w:val="24"/>
              </w:rPr>
              <w:t xml:space="preserve">	Odôvodnenie: z predloženého znenia nie je jasný spôsob podpory, hoci je zadefinovaná povinnosť podporovať výskum, vývoj a inovácie v oblasti umelej inteligencie.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13b ods. 7</w:t>
              <w:br/>
            </w:r>
            <w:r>
              <w:rPr>
                <w:b w:val="off"/>
                <w:color w:val="000000"/>
                <w:rFonts w:ascii="Times New Roman" w:hAnsi="Times New Roman" w:cs="Times New Roman" w:eastAsia="Times New Roman"/>
                <w:sz w:val="24"/>
              </w:rPr>
              <w:t>8.	V § 13b ods. 7 konkretizovať spôsob spolupráce orgánu riadenia s akademickými inštitúciami, súkromným sektorom a organizáciami občianskej spoločnosti s cieľom zabezpečiť úspešné napredovanie a implementáciu systémov AI vo verejnej správe.</w:t>
              <w:br/>
            </w:r>
            <w:r>
              <w:rPr>
                <w:b w:val="off"/>
                <w:color w:val="000000"/>
                <w:rFonts w:ascii="Times New Roman" w:hAnsi="Times New Roman" w:cs="Times New Roman" w:eastAsia="Times New Roman"/>
                <w:sz w:val="24"/>
              </w:rPr>
              <w:t xml:space="preserve">	Odôvodnenie: z predloženého znenia nie je jasný spôsob spolupráce, hoci je zadefinovaná uvedená povinnosť pre orgány 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o umelej inteligencii a ktorý bol predložený do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2</w:t>
              <w:br/>
            </w:r>
            <w:r>
              <w:rPr>
                <w:b w:val="off"/>
                <w:color w:val="000000"/>
                <w:rFonts w:ascii="Times New Roman" w:hAnsi="Times New Roman" w:cs="Times New Roman" w:eastAsia="Times New Roman"/>
                <w:sz w:val="24"/>
              </w:rPr>
              <w:t>9.	Nad rámec vlastného materiálu: v § 23 ods. 2 úvodnej vete slová „Správca vypracuje bezpečnostný projekt“ nahradiť slovami „Správca zabezpečí vypracovanie bezpečnostného projektu“.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zabezpečenie súladu s poslednou vetou v § 23 ods. 1 zákona č. 95/2019 Z. z. o informačných technológiách vo verejnej správe a o zmene a doplnení niektorých zákonov v znení neskorších predpisov, v ktorom sa rovnako upravuje povinnosť zabezpečiť vypracovanie bezpečnostného projektu, nie povinnosť vypracovať.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pričom, uvedenú formuláciu nepovažujeme za problematickú.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33b ods. 1</w:t>
              <w:br/>
            </w:r>
            <w:r>
              <w:rPr>
                <w:b w:val="off"/>
                <w:color w:val="000000"/>
                <w:rFonts w:ascii="Times New Roman" w:hAnsi="Times New Roman" w:cs="Times New Roman" w:eastAsia="Times New Roman"/>
                <w:sz w:val="24"/>
              </w:rPr>
              <w:t>10.	V § 33b ods. 1 konkretizovať, čo sa považuje pri jednotlivých spôsoboch verejného obstarávania za ich začiatok.</w:t>
              <w:br/>
            </w:r>
            <w:r>
              <w:rPr>
                <w:b w:val="off"/>
                <w:color w:val="000000"/>
                <w:rFonts w:ascii="Times New Roman" w:hAnsi="Times New Roman" w:cs="Times New Roman" w:eastAsia="Times New Roman"/>
                <w:sz w:val="24"/>
              </w:rPr>
              <w:t xml:space="preserve">	Odôvodnenie: uvedená konkretizácia je nevyhnutná pre to, akým spôsobom má byť upravená v zmluve s dodávateľom úprava autorských práv, či podľa znenia zákona účinného do  31. 12. 2025 alebo od 01. 01.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Začiatok je vždy upravený v zákone č. 343/2015 Z. z. o verejnom obstarávaní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190c</w:t>
              <w:br/>
            </w:r>
            <w:r>
              <w:rPr>
                <w:b w:val="off"/>
                <w:color w:val="000000"/>
                <w:rFonts w:ascii="Times New Roman" w:hAnsi="Times New Roman" w:cs="Times New Roman" w:eastAsia="Times New Roman"/>
                <w:sz w:val="24"/>
              </w:rPr>
              <w:t>11.	V § 190c konkretizovať, čo sa považuje v jednotlivých spôsoboch verejného obstarávania za ich začiatok.</w:t>
              <w:br/>
            </w:r>
            <w:r>
              <w:rPr>
                <w:b w:val="off"/>
                <w:color w:val="000000"/>
                <w:rFonts w:ascii="Times New Roman" w:hAnsi="Times New Roman" w:cs="Times New Roman" w:eastAsia="Times New Roman"/>
                <w:sz w:val="24"/>
              </w:rPr>
              <w:t xml:space="preserve">	Odôvodnenie: uvedená konkretizácia je nevyhnutná pre to, akým spôsobom má byť upravená v zmluve s dodávateľom úprava autorských práv, či podľa znenia zákona účinného do  31. 12. 2025 alebo od 01. 01. 2026.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 III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III.	K Doložke vybraných vplyvov a Analýze vplyvov na rozpočet verejnej správy, na zamestnanosť vo verejnej správe a fin</w:t>
              <w:br/>
            </w:r>
            <w:r>
              <w:rPr>
                <w:b w:val="off"/>
                <w:color w:val="000000"/>
                <w:rFonts w:ascii="Times New Roman" w:hAnsi="Times New Roman" w:cs="Times New Roman" w:eastAsia="Times New Roman"/>
                <w:sz w:val="24"/>
              </w:rPr>
              <w:t>12.	ÚJD SR upozorňuje, že predložený materiál bude mať finančný vplyv na všetky orgány riadenia, nielen na tie, ktoré sú uvedené v Analýze vplyvov na rozpočet verejnej správy, na zamestnanosť vo verejnej správe a financovanie návrhu. Z uvedeného dôvodu je potrebné upraviť Doložku vybraných vplyvov a Analýzu vplyvov na rozpočet verejnej správy, na zamestnanosť vo verejnej správe a financovanie návrhu a počítať s výdavkami pre všetky orgány riadenia vrátane ÚJD SR.</w:t>
              <w:br/>
            </w:r>
            <w:r>
              <w:rPr>
                <w:b w:val="off"/>
                <w:color w:val="000000"/>
                <w:rFonts w:ascii="Times New Roman" w:hAnsi="Times New Roman" w:cs="Times New Roman" w:eastAsia="Times New Roman"/>
                <w:sz w:val="24"/>
              </w:rPr>
              <w:t xml:space="preserve">	Odôvodnenie: plnenie povinností, ktoré sú obsahom návrhu zákona zakladajú ďalšie nároky na rozpočty orgánov riadenia, napr. ide o povinnosti vyplývajúce z § 13b Základné zásady používania systémov AI vo verejnej správe, ale aj povinnosť predkladať na MIRRI dokumenty podľa § 8 ods. 3 návrhu zákona (medzi inými aj bezpečnostný projekt informačného systému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prvej  časti pripomienky: </w:t>
              <w:br/>
            </w:r>
            <w:r>
              <w:rPr>
                <w:b w:val="off"/>
                <w:color w:val="000000"/>
                <w:rFonts w:ascii="Times New Roman" w:hAnsi="Times New Roman" w:cs="Times New Roman" w:eastAsia="Times New Roman"/>
                <w:sz w:val="24"/>
              </w:rPr>
              <w:t xml:space="preserve">Ustanovenia týkajúce sa základných zásad používania systémov umelej inteligencie vo verejnej správe (§13b zákona o ITVS) boli z návrhu novely zákona vypustené. Problematika bude riešená v rámci návrhu nového zákona, ktorým bude komplexne implementované Nariadenie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(ďalej len „nariadenie o umelej inteligencii“), ktorý MIRRI SR bude v krátkom čase predkladať do legislatívneho procesu. </w:t>
              <w:br/>
            </w:r>
            <w:r>
              <w:rPr>
                <w:b w:val="off"/>
                <w:color w:val="000000"/>
                <w:rFonts w:ascii="Times New Roman" w:hAnsi="Times New Roman" w:cs="Times New Roman" w:eastAsia="Times New Roman"/>
                <w:sz w:val="24"/>
              </w:rPr>
              <w:t>K druhej časti pripomienky:</w:t>
              <w:br/>
            </w:r>
            <w:r>
              <w:rPr>
                <w:b w:val="off"/>
                <w:color w:val="000000"/>
                <w:rFonts w:ascii="Times New Roman" w:hAnsi="Times New Roman" w:cs="Times New Roman" w:eastAsia="Times New Roman"/>
                <w:sz w:val="24"/>
              </w:rPr>
              <w:t>Predkladateľ uvádza, že novela nezavádza žiadne nové povinnosti ale len zefektívňuje spôsob plnenia existujúcich povinností.</w:t>
              <w:br/>
            </w:r>
            <w:r>
              <w:rPr>
                <w:b w:val="off"/>
                <w:color w:val="000000"/>
                <w:rFonts w:ascii="Times New Roman" w:hAnsi="Times New Roman" w:cs="Times New Roman" w:eastAsia="Times New Roman"/>
                <w:sz w:val="24"/>
              </w:rPr>
              <w:t xml:space="preserve">Povinnosť orgánov riadenia poskytovať súčinnosť orgánu vedenia je v súčasnosti už legislatívne  upravená v § 8 ods. 2 zákona o ITVS.  </w:t>
              <w:br/>
            </w:r>
            <w:r>
              <w:rPr>
                <w:b w:val="off"/>
                <w:color w:val="000000"/>
                <w:rFonts w:ascii="Times New Roman" w:hAnsi="Times New Roman" w:cs="Times New Roman" w:eastAsia="Times New Roman"/>
                <w:sz w:val="24"/>
              </w:rPr>
              <w:t>Vecne nedochádza k zmene dnešného stavu.</w:t>
              <w:br/>
            </w:r>
            <w:r>
              <w:rPr>
                <w:b w:val="off"/>
                <w:color w:val="000000"/>
                <w:rFonts w:ascii="Times New Roman" w:hAnsi="Times New Roman" w:cs="Times New Roman" w:eastAsia="Times New Roman"/>
                <w:sz w:val="24"/>
              </w:rPr>
              <w:t>Ako vyplýva aj z dôvodovej správy, rovnaký princíp ako v prípade riadenia projektov sa navrhuje ustanoviť pre dokumenty v oblasti bezpečnosti, najmä bezpečnostný projekt.</w:t>
              <w:br/>
            </w:r>
            <w:r>
              <w:rPr>
                <w:b w:val="off"/>
                <w:color w:val="000000"/>
                <w:rFonts w:ascii="Times New Roman" w:hAnsi="Times New Roman" w:cs="Times New Roman" w:eastAsia="Times New Roman"/>
                <w:sz w:val="24"/>
              </w:rPr>
              <w:t xml:space="preserve">Upozorňujeme, že už podľa súčasnej právnej úpravy je správca informačnej technológie pri vytváraní alebo nadobúdaní informačného systému povinný zabezpečiť pre tento systém vypracovanie bezpečnostnej dokumentácie vrátane bezpečnostného projektu podľa § 23 ods. 1 a 2 zákona o ITVS a zároveň zabezpečovať jeho aktualizáciu. </w:t>
              <w:br/>
            </w:r>
            <w:r>
              <w:rPr>
                <w:b w:val="off"/>
                <w:color w:val="000000"/>
                <w:rFonts w:ascii="Times New Roman" w:hAnsi="Times New Roman" w:cs="Times New Roman" w:eastAsia="Times New Roman"/>
                <w:sz w:val="24"/>
              </w:rPr>
              <w:t xml:space="preserve">Správca je teda povinný bezpečnostný projekt pre svoje ISVS vypracovať a to, že ho má MIRRI SR ako orgánu vedenia predložiť na jeho posúdenie nepredstavuje žiadne zvýšené náklady . </w:t>
              <w:br/>
            </w:r>
            <w:r>
              <w:rPr>
                <w:b w:val="off"/>
                <w:color w:val="000000"/>
                <w:rFonts w:ascii="Times New Roman" w:hAnsi="Times New Roman" w:cs="Times New Roman" w:eastAsia="Times New Roman"/>
                <w:sz w:val="24"/>
              </w:rPr>
              <w:t xml:space="preserve">Vo všeobecnosti možno povedať, že povinnosť posudzovať predložené dokumenty z hľadiska ich súladu s požiadavkami bezpečnosti, cieľmi informatizácie vyplývajúcimi z NKIVS je  novou povinnosť pre MIRRI SR ako orgán vedenia. </w:t>
              <w:br/>
            </w:r>
            <w:r>
              <w:rPr>
                <w:b w:val="off"/>
                <w:color w:val="000000"/>
                <w:rFonts w:ascii="Times New Roman" w:hAnsi="Times New Roman" w:cs="Times New Roman" w:eastAsia="Times New Roman"/>
                <w:sz w:val="24"/>
              </w:rPr>
              <w:t xml:space="preserve">Podrobnosti o tom, kedy a akým spôsobom sa najmä bezpečnostný projekt predkladá orgánu vedenia upraví osobitný predpis. </w:t>
              <w:br/>
            </w:r>
            <w:r>
              <w:rPr>
                <w:b w:val="off"/>
                <w:color w:val="000000"/>
                <w:rFonts w:ascii="Times New Roman" w:hAnsi="Times New Roman" w:cs="Times New Roman" w:eastAsia="Times New Roman"/>
                <w:sz w:val="24"/>
              </w:rPr>
              <w:t>Z tohto dôvodu nebude mať novela dopad na rozpočet ÚJD.</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Odporúčame, v záujme jednoznačnosti legislatívneho textu, upraviť znenie § 13 ods. 7 tak, aby bolo zrejmé akým spôsobom a kam má orgán riadenia automatizovane poskytovať údaje zo zberu spätnej väzby (napr. prostredníctvom API do centrálneho metainformačného systému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Poukazujeme na dôvodovú správu, v ktorej je uvedené, že údaje zo zberu spätnej väzby budú sprístupňované a spracovávané prostredníctvom systému KAV — Konsolidovanej analytickej vrstvy, ktorá zabezpečí potrebnú automatizáciu a integráciu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len o doplnenie spôsobu poskytovania súčinnosti orgánov riadenia pre orgán vedenia (t.j. poskytovanie súčinnosti prostredníctvom elektronickej služby verejnej správy sa dopĺňa aj o možnosť poskytovania súčinnosti cez informačnú technológiu určenú orgánom vedenia).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Zavádzanie ďalších explicitných ustanovení v legislatívnom texte nepovažujeme za nevyhnutné, osobitne v prípade, kedy pojem „informačná technológia“ pokrýva aj nástroje, ktoré popisuje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Technické a procesné detaily budú riešené v rámci implementácie a prevádzky systému KAV.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Pritom po prehodnotení nastavenia novely zákona bola z návrhu vypustená povinnosť nepretržitého zberu údajov a ich poskytovania automatizovaným spôsobom [upravená v § 13a ods. 7 a § 17 ods. 2 písm. c)], ako aj monitoring nepretržitým a automatizovaným spôsobom [§ 14 ods. 6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Článkom III. sa do Autorského zákona dopĺňa § 93a, ktorý zavádza nový osobitný režim pre informačné technológie verejnej správy. Napriek tomu, že ide o zmenu zásadného charakteru, súvisiace odôvodnenie v osobitnej časti dôvodovej správy je pomerne stručné. Gestorom Autorského zákona je Ministerstvo kultúry SR, materiál bol do MPK predložený Ministerstvom investícií, regionálneho rozvoja a informatizácie SR. Z predloženého materiálu ale nie je zrejmé, či navrhovaná zmena bola pripravovaná Ministerstvom kultúry SR, resp. či s ním bola konzultovaná, prípadne či návrhu predchádzala širšia diskusia. Odporúčame doplniť materiál v tomto zmysle.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čl. III bol z návrhu zákona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bodom 10 a 29 [§ 8 ods. 5 druhá veta a § 17 ods. 2 písm. c)]</w:t>
              <w:br/>
            </w:r>
            <w:r>
              <w:rPr>
                <w:b w:val="off"/>
                <w:color w:val="000000"/>
                <w:rFonts w:ascii="Times New Roman" w:hAnsi="Times New Roman" w:cs="Times New Roman" w:eastAsia="Times New Roman"/>
                <w:sz w:val="24"/>
              </w:rPr>
              <w:t>Žiadame v súvislosti s oprávnením orgánu vedenia spracúvať v rámci monitoringu informačných technológií osobné údaje doplniť navrhované  znenie § 17 ods. 2 písm. c) napríklad takto:</w:t>
              <w:br/>
            </w:r>
            <w:r>
              <w:rPr>
                <w:b w:val="off"/>
                <w:color w:val="000000"/>
                <w:rFonts w:ascii="Times New Roman" w:hAnsi="Times New Roman" w:cs="Times New Roman" w:eastAsia="Times New Roman"/>
                <w:sz w:val="24"/>
              </w:rPr>
              <w:t>"c) zabezpečuje nepretržitý zber monitorovaných údajov okrem údajov poskytnutých orgánu riadenia na štatistický účel a ich poskytovanie elektronicky automatizovaným spôsobom orgánu vedenia najmenej raz mesačne v oblastiach a v rozsahu ustanovenom všeobecne záväzným právnym predpisom, ktorý vydá ministerstvo investícií.".</w:t>
              <w:br/>
            </w:r>
            <w:r>
              <w:rPr>
                <w:b w:val="off"/>
                <w:color w:val="000000"/>
                <w:rFonts w:ascii="Times New Roman" w:hAnsi="Times New Roman" w:cs="Times New Roman" w:eastAsia="Times New Roman"/>
                <w:sz w:val="24"/>
              </w:rPr>
              <w:t>Odôvodnenie: Vzhľadom na zodpovednosť orgánov vykonávajúcich štátnu štatistiku zabezpečenie štatistickej dôvernosti podľa nariadenia (ES) č. 223/2009 v platnom znení a podľa zákona č. 540/2001 Z. z. v znení neskorších predpisov je monitorovanie akýchkoľvek dôverných štatistických údajov poskytnutých orgánu vykonávajúcich štátnu štatistiku na účely predloženého zákona  porušením práv štatistických jednotiek na ochranu osobných údajov, obchodného tajomstva, práv duševného vlastníctva a ďalších kategórií citlivých údajov. Štatistický úrad vyjadruje zásadnú pochybnosť o nevyhnutnosti monitoringu ITVS spočívajúceho v spracúvaní dôverných štatistických údajov.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na rozporovom konaní dňa 2.9.2025 v sídle MIRRI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danom prípade ide o údaje, ktoré sa týkajú monitoringu informačnej technológie, nie, napríklad, obsahu evidencií. Z povahy veci ide o údaje technickej a organizačnej povahy. </w:t>
              <w:br/>
            </w:r>
            <w:r>
              <w:rPr>
                <w:b w:val="off"/>
                <w:color w:val="000000"/>
                <w:rFonts w:ascii="Times New Roman" w:hAnsi="Times New Roman" w:cs="Times New Roman" w:eastAsia="Times New Roman"/>
                <w:sz w:val="24"/>
              </w:rPr>
              <w:t>Došlo k úprave znenia § 8, ktoré bolo zaslané ŠÚ SR a odsúhlasené aj Úradom na ochranu osobných údajov.</w:t>
              <w:br/>
            </w:r>
            <w:r>
              <w:rPr>
                <w:b w:val="off"/>
                <w:color w:val="000000"/>
                <w:rFonts w:ascii="Times New Roman" w:hAnsi="Times New Roman" w:cs="Times New Roman" w:eastAsia="Times New Roman"/>
                <w:sz w:val="24"/>
              </w:rPr>
              <w:t>V zmysle nového znenia § 8 ods. 4 a 7 ide o osobné údaje týkajúce sa elektronických služieb používaných koncovým používateľom. Nejde teda o štatistické údaje.</w:t>
              <w:br/>
            </w:r>
            <w:r>
              <w:rPr>
                <w:b w:val="off"/>
                <w:color w:val="000000"/>
                <w:rFonts w:ascii="Times New Roman" w:hAnsi="Times New Roman" w:cs="Times New Roman" w:eastAsia="Times New Roman"/>
                <w:sz w:val="24"/>
              </w:rPr>
              <w:t xml:space="preserve">Už aktuálne účinné znenie § 17 ods. 2 písm. c) počíta so zasielaním monitorovaných údajov:  </w:t>
              <w:br/>
            </w:r>
            <w:r>
              <w:rPr>
                <w:b w:val="off"/>
                <w:color w:val="000000"/>
                <w:rFonts w:ascii="Times New Roman" w:hAnsi="Times New Roman" w:cs="Times New Roman" w:eastAsia="Times New Roman"/>
                <w:sz w:val="24"/>
              </w:rPr>
              <w:t xml:space="preserve">„(2) V rámci zabezpečenia pravidelného monitorovania informačných technológií verejnej správy správca zabezpečuje </w:t>
              <w:br/>
            </w:r>
            <w:r>
              <w:rPr>
                <w:b w:val="off"/>
                <w:color w:val="000000"/>
                <w:rFonts w:ascii="Times New Roman" w:hAnsi="Times New Roman" w:cs="Times New Roman" w:eastAsia="Times New Roman"/>
                <w:sz w:val="24"/>
              </w:rPr>
              <w:t>c) zber monitorovaných údajov a ich oznamovanie orgánu vedenia v oblastiach a v rozsahu ustanovenom všeobecne záväzným právnym predpisom, ktorý vydá ministerstvo investícií.“.</w:t>
              <w:br/>
            </w:r>
            <w:r>
              <w:rPr>
                <w:b w:val="off"/>
                <w:color w:val="000000"/>
                <w:rFonts w:ascii="Times New Roman" w:hAnsi="Times New Roman" w:cs="Times New Roman" w:eastAsia="Times New Roman"/>
                <w:sz w:val="24"/>
              </w:rPr>
              <w:t xml:space="preserve">Akákoľvek dodatočná zmena  rozsahu predmetných údajov sa musí prijať vo forme vyhlášky, ktorá bude mať svoj legislatívny proces vrátane MPK. Ak v návrhu takejto vyhlášky ŠÚ SR identifikuje problém z pohľadu ochrany dôverných štatistických údajov, môže v tomto zmysle uplatniť pripomienku v príslušnom MPK. </w:t>
              <w:br/>
            </w:r>
            <w:r>
              <w:rPr>
                <w:b w:val="off"/>
                <w:color w:val="000000"/>
                <w:rFonts w:ascii="Times New Roman" w:hAnsi="Times New Roman" w:cs="Times New Roman" w:eastAsia="Times New Roman"/>
                <w:sz w:val="24"/>
              </w:rPr>
              <w:t xml:space="preserve">Ustanovenie však platí rovnako pre všetky typy údajov a informácií, ktoré majú ustanovené osobitné „režimové“ opatrenia, nejde len o štatistické údaje. </w:t>
              <w:br/>
            </w:r>
            <w:r>
              <w:rPr>
                <w:b w:val="off"/>
                <w:color w:val="000000"/>
                <w:rFonts w:ascii="Times New Roman" w:hAnsi="Times New Roman" w:cs="Times New Roman" w:eastAsia="Times New Roman"/>
                <w:sz w:val="24"/>
              </w:rPr>
              <w:t>Predkladateľ si je vedomý, že spracovávanie údajov na iné účely ako štatistické nie je dovolené, ak boli získané na štatistické účely. ŠÚ SR je súčasťou monitoringu životných situácii a bol zapojený do spolupráce, ale nemá v pôsobnosti elektronické služby, ktoré sú v tejto súvislosti dotknuté.</w:t>
              <w:br/>
            </w:r>
            <w:r>
              <w:rPr>
                <w:b w:val="off"/>
                <w:color w:val="000000"/>
                <w:rFonts w:ascii="Times New Roman" w:hAnsi="Times New Roman" w:cs="Times New Roman" w:eastAsia="Times New Roman"/>
                <w:sz w:val="24"/>
              </w:rPr>
              <w:t>Primárnym cieľom je zabezpečiť analytiku v súvislosti s 16 životnými situáciami. Prístup nebude k obsahu podaní. Predkladateľ zdôraznil, že povinnosti vyplývajúce z osobitných predpisov o ochrane osobných údajov vrátane GDPR sa aplikujú aj na predmetný zber údajov. Údaje sa budú poskytovať cez obslužnú zónu IS KAV (ku ktorej nebude mať MIRRI SR prístup). MIRRI SR ako orgán vedenia zabezpečuje anonymizačný modul.</w:t>
              <w:br/>
            </w:r>
            <w:r>
              <w:rPr>
                <w:b w:val="off"/>
                <w:color w:val="000000"/>
                <w:rFonts w:ascii="Times New Roman" w:hAnsi="Times New Roman" w:cs="Times New Roman" w:eastAsia="Times New Roman"/>
                <w:sz w:val="24"/>
              </w:rPr>
              <w:t>Predkladateľ zváži optimalizáciu formulácie znenia § 8 ods. 6 písm. c).</w:t>
              <w:br/>
            </w:r>
            <w:r>
              <w:rPr>
                <w:b w:val="off"/>
                <w:color w:val="000000"/>
                <w:rFonts w:ascii="Times New Roman" w:hAnsi="Times New Roman" w:cs="Times New Roman" w:eastAsia="Times New Roman"/>
                <w:sz w:val="24"/>
              </w:rPr>
              <w:t>Rozpor odstránený po vysvetlení.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doložky vybraných vplyv, analýza vplyvov na rozpočet VS ...</w:t>
              <w:br/>
            </w:r>
            <w:r>
              <w:rPr>
                <w:b w:val="off"/>
                <w:color w:val="000000"/>
                <w:rFonts w:ascii="Times New Roman" w:hAnsi="Times New Roman" w:cs="Times New Roman" w:eastAsia="Times New Roman"/>
                <w:sz w:val="24"/>
              </w:rPr>
              <w:t>Body 18, 20 a 29 upravujú nové povinnosti orgánov riadenia, ktoré znamenajú nové, nepokryté kapitálové aj mzdové výdavky štátneho rozpočtu súvisiace so zberom údajov na účel monitoringu a hodnotenia ITVS, nielen poskytovaných elektronických služieb koncovému používateľovi. Doložka vplyvov a analýza vplyvov na rozpočet VS neobsahujú kvantifikáciu týchto výdavkov a spôsob krytia v štátnom rozpočte vo vzťahu k IKVT, ktoré sa netýkajú riešenia životných situácií občanov a podnikateľov. Žiadame preto vyčísliť negatívny vplyv na rozpočtovú kapitolu Štatistického úradu SR a doplniť súvisiace informácie o ich štruktúre a spôsobe krytia.</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ktoré sa konalo dňa 2.9.2025 v sídle MIRRI SR.</w:t>
              <w:br/>
            </w:r>
            <w:r>
              <w:rPr>
                <w:b w:val="off"/>
                <w:color w:val="000000"/>
                <w:rFonts w:ascii="Times New Roman" w:hAnsi="Times New Roman" w:cs="Times New Roman" w:eastAsia="Times New Roman"/>
                <w:sz w:val="24"/>
              </w:rPr>
              <w:t>Z návrhu bola vypustená povinnosť nepretržitého zberu údajov a ich poskytovania automatizovaným spôsobom [upravená v § 13a ods. 7 a § 17 ods. 2 písm. c)], ako aj monitoring nepretržitým a automatizovaným spôsobom [§ 14 ods. 6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 [§ 8 ods. 3]</w:t>
              <w:br/>
            </w:r>
            <w:r>
              <w:rPr>
                <w:b w:val="off"/>
                <w:color w:val="000000"/>
                <w:rFonts w:ascii="Times New Roman" w:hAnsi="Times New Roman" w:cs="Times New Roman" w:eastAsia="Times New Roman"/>
                <w:sz w:val="24"/>
              </w:rPr>
              <w:t>Žiadame doplniť v druhej vete za slovo "bezpečnosti" tieto slová: interoperability informačných systémov a požiadavkami debyrokratizácie".</w:t>
              <w:br/>
            </w:r>
            <w:r>
              <w:rPr>
                <w:b w:val="off"/>
                <w:color w:val="000000"/>
                <w:rFonts w:ascii="Times New Roman" w:hAnsi="Times New Roman" w:cs="Times New Roman" w:eastAsia="Times New Roman"/>
                <w:sz w:val="24"/>
              </w:rPr>
              <w:t xml:space="preserve">Odôvodnenie: Vzhľadom na špecifickú povinnosť orgánov riadenia poskytovať orgánom vykonávajúcim štátnu štatistiku bezplatne údaje zo svojich  administratívnych zdrojov údajov na štatistické účely podľa § 13 zákona č. 540/2001 Z. z. v znení neskorších predpisov a podľa čl. 17b nariadenia (ES) č. 223/2009 v platnom znení je potrebné zabezpečiť, aby príslušné registre a elektronicky vedené evidencie boli technicky prispôsobené na poskytovanie údajov v požadovanom formáte, štruktúre a pod.  orgánom vykonávajúcim štátnu štatistiku. Nepovažujeme za postačujúce, ak sa zákon o ITVS v tomto smere len všeobecne odvoláva na ciele informatizácie a rozvoja ITVS. Štatistický úrad SR je konfrontovaný s problémami pri plnení tejto povinnosti orgánov riadenia, ktorá je spôsobená technickou nepripravenosťou príslušných informačných systémov (napríklad aktuálne informačného systému územného plánovania a výstavby podľa § 25 zákona č. 200/2022 Z. z.) a neodôvodnenými požiadavkami na odplatné poskytovanie údajov zo strany niektorých priamo riadených organizácií ústredných orgánov štátnej správy odôvodňované dodatočnou ľudskou prácou potrebnou na spracovanie jeho žiadostí do požadovaného formátu elektronických súborov. Máme za to, že posudzovanie predložených dokumentov by poskytlo orgánu vedenia cenné informácie potrebné na tvorbu opatrení, ktoré odstránia stále existujúce medziinštitucionálne bariéry informatizácie pri plnení úloh štátnych orgánov.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v nadväznosti na rozporové konanie, ktoré sa konalo dňa 2.9.2025 v sídle MIRRI SR.</w:t>
              <w:br/>
            </w:r>
            <w:r>
              <w:rPr>
                <w:b w:val="off"/>
                <w:color w:val="000000"/>
                <w:rFonts w:ascii="Times New Roman" w:hAnsi="Times New Roman" w:cs="Times New Roman" w:eastAsia="Times New Roman"/>
                <w:sz w:val="24"/>
              </w:rPr>
              <w:t>Predkladateľ navrhol kompromisné doplnenie pôvodne navrhnutého § 8 ods. 3 (§ 8 ods. 9 druhá veta návrhu), a teda uvedené bude znieť nasledovne:</w:t>
              <w:br/>
            </w:r>
            <w:r>
              <w:rPr>
                <w:b w:val="off"/>
                <w:color w:val="000000"/>
                <w:rFonts w:ascii="Times New Roman" w:hAnsi="Times New Roman" w:cs="Times New Roman" w:eastAsia="Times New Roman"/>
                <w:sz w:val="24"/>
              </w:rPr>
              <w:t>„Orgán vedenia posudzuje predložené dokumenty najmä  z hľadiska súladu s požiadavkami bezpečnosti, s cieľmi informatizácie a rozvoja informačných technológií verejnej správy, ktoré vyplývajú z národnej koncepcie a ďalších koncepčných a strategických dokumentov s celoštátnou pôsobnosťou, z hľadiska súladu s povinnosťami orgánu riadenia podľa tohto zákona,  ako aj z hľadiska ekonomickej výhodnosti postupu orgánu riadenia alebo súladu s programovým riadením.”.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 [§ 13b ods. 7]</w:t>
              <w:br/>
            </w:r>
            <w:r>
              <w:rPr>
                <w:b w:val="off"/>
                <w:color w:val="000000"/>
                <w:rFonts w:ascii="Times New Roman" w:hAnsi="Times New Roman" w:cs="Times New Roman" w:eastAsia="Times New Roman"/>
                <w:sz w:val="24"/>
              </w:rPr>
              <w:t>Odporúčame prehodnotiť nahradiť termíny "akademické inštitúcie" a "súkromný sektor" "organizácie občianskej spoločnosti" právnymi pojmami, inak je ustanovenie v rozpore so základnými požiadavkami na jazyk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Ustanovenia týkajúce sa základných zásad používania systémov umelej inteligencie vo verejnej správe boli z návrhu novely zákona vypustené. Problematika bude riešená v rámci návrhu nového zákona, ktorým bude komplexne implementované Nariadenie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 (ďalej len „nariadenie o umelej inteligencii“) a ktorý bol predložený do legislatívneho procesu.</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Návrh zákona v článku III, ktorým sa navrhuje novelizovať Autorský zákon, považujeme za nesystematické, nesprávne a potenciálne ekonomicky škodlivé riešenie problému známeho ako vendor lock-in, ktoré navyše je podľa nášho názoru v rozpore s právom EÚ a aj s Ústavou.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Podstata navrhovaného legislatívneho riešenia spočíva v zavedení nového zákonného režimu tvorby (ôsma hlava Autorského zákon) a to konkrétne v zverení výkonu majetkových práv autora k dielu alebo databáze, ktoré sú informačnou technológiou verejnej správy, priamo objednávateľovi (orgánu riadenia) v zmysle navrhovaného § 93a Autorského zákona. Tento režim má mať dokonca absolútnu prednosť pred zamestnaneckým režimom (§ 90 Autorského zákona), čo aktuálne nemá ani režim diela na objednávku (§ 91 Autorského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Nesystematickosť a nesprávnosť tohto legislatívneho riešenia vidíme najmä v tom, že zákonodarca by tak úplne obišiel režim (model), ktorý je pri dodávkach informačných technológii verejnej správy (vzťahy B2G) dlhodobo štandardne akceptovaný a využívaný a  ktorým je zásadne zmluvný záväzkový režim (šiesta hlava Autorského zákona) založený typicky na licencovaní (§ 65 a nasl. Autorského zákona). Dodávateľmi (zhotoviteľmi) softvérových riešení pre štát a verejnú správu v drvivej väčšine prípadov nie sú priamo autori (fyzické osoby), ale podnikatelia (spravidla právnické osoby) ako nositelia práv (§ 13 ods. 4 Autorského zákona). Navyše, vo výnimočných prípadoch, kedy by boli dodávateľmi (zhotoviteľmi) autori (fyzické osoby), už podľa platného právneho stavu by sa uplatňoval režim diela na objednávku (§ 91 Autorského zákona) a to v jeho variante, ktorý je najústretovejší pre objednávateľa, a to akéhokoľvek, nielen pre štát resp. verejnú správu, nakoľko pri vytvorení a dodaní softvérového riešenia (počítačový program alebo databáza) autorom (fyzickou osobou) by sa uplatňoval zamestnanecký režim (§ 91 ods. 4 v spojení s § 90 Autorského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Nesprávnosť navrhovaného legislatívneho riešenia je dobre viditeľná v prípade subdodávok softvérových riešení. Obchodná spoločnosť ako dodávateľ si nechá vytvoriť počítačový program alebo databázu od freelancera (autora, fyzickej osoby), kedy sa nepochybne uplatňuje režim diela na objednávku a tiež zamestnanecký režim (§ 91 ods. 4 v spojení s § 90 Autorského zákona). Ak by však takto vytvorený počítačový program alebo databázu - už ako informačnú technológiu verejnej správy - obchodná spoločnosť dodala objednávateľovi (orgánu riadenia), podľa predkladaného návrhu by táto obchodná spoločnosť toto svoje postavenie nositeľa práv stratila a namiesto nej by ho ex lege získal objednávateľ (orgán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nebude vôbec jednoduché pri dodávke komplexných informačných systémov rozlíšiť jednotlivé komponenty softvérového riešenia, ktoré na jednej strane by mali byť podriadené navrhovanému režimu a ktoré by na druhej strane mali byť licencované. Snahou objednávateľov bude „vtiahnuť“ pod navrhovaný režim aj také komponenty, ktoré boli – čo len čiastočne – preexistujúce, čím bude dochádzať k pokriveniu už založených právnych vzťahov s dopadom na tretie osoby (subdodávkateľov, autorov) v rámci dodávateľského reťazca. Je to aj základ pre budúce spory v tomto smere.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ekonomického predkladateľ vôbec nerozlišuje medzi odmenou za vytvorenie diela a licenčnou odmenou. Ak má odmena za vytvorenie diela (pre štát resp. verejnú sféru) vždy a za každých okolností zahŕňať aj licenčnú odmenu za udelenie licencie v najširšom rozsahu (tzn. výhradná, všetky známe spôsoby použitia, bez časového a územného obmedzenia, s možnosťou sublicencie), vzniká riziko, že všetky budúce verejné zákazky na vytvorenie a dodávku informačných systémov budú predražené. Navyše, najmä pri veľkých verejných zákazkách na informačné systémy uchádzači budú musieť pri tvorbe svojej ponuky počítať s existujúcim rizikom, že si takouto dodávkou vytvárajú budúceho konkurenta na inom území (napr. aj v inom štáte EÚ). To je totiž odvrátená strana „všetkých práv“, ktoré majú byť zverené objednávateľovi, keď ten potom nijako nie je obmedzený v tom, aby s týmito právami ďalej disponoval, obchodoval, udeľoval sublicencie alebo postupoval výkon týchto práv a to dokonca aj v prospech konkurentov uchádzača, čo je úplne v rozpore s pôvodným účelom a rozsahom zákazky. Navrhované legislatívne riešenie defaultne nastaví toto riziko pre uchádzačov či záujemcov a to v lepšom prípade ako ďalšiu cenovú položku (predraženie zákazky) a v horšom prípade ako odradenie od účasti v súťaži (obmedzenie súťaže).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ústavnoprávnymi pochybnosťami podčiarkujeme, že z doteraz uvedeného je zrejmé, že predkladané legislatívne riešenie zámerne cieli na vytváranie a dodávanie softvérových riešení zo strany podnikateľov (spravidla právnických osôb) ako nositeľov práv. Priznaným cieľom zákonodarcu je odňať im patriaci výkon majetkových práv a tento ex lege (a nie ex contractu) zveriť v prospech štátu a to bez akejkoľvek kompenzácie (náhrady). Tým sa toto riešenie dostáva na hranu, resp. až za hranu čl. 20 Ústavy, ktorým sa chráni právo vlastniť majetok a ktorý sa vzťahuje aj na duševné vlastníctvo (pozri napr. rozsudok ESĽP (veľká komora) Anheuser Busch Inc. proti Portugalsku z 11. októbra 2005 č. 73049/01) a tiež legitímne očakávania a to aj proti zákonodarcovi (nález Ústavného súdu SR sp. zn. PL. ÚS 8/2017 z 25. apríla 2018, č. 3/2018 Zbierky nálezov a uznesení). Dochádzalo by tak k vyvlastnenie priamo zo zákona, nie na základe zákona, čo je neprípustné (nález Ústavného súdu SR sp. zn. PL. ÚS 19/09 z 26. januára 2011, č. 2/2011 Zbierky nálezov a uznesení). Článok 20 ods. 1 Ústavy ustanovuje rovnaký zákonný obsah vlastníckeho práva všetkých vlastníkov. Z uvedeného vyplýva, že vlastníci druhovo rovnakej (!) veci musia mať rovnaký zákonom ustanovený obsah svojho vlastníckeho práva (nález Ústavného súdu SR sp. zn. PL. ÚS 38/95 z 03.04.1996, č. 4/96 Zbierky nálezov a uznesení). Navyše, je tu aj ústavná požiadavka proporcionality v zmysle čl. 13 ods. 4 Ústavy, podľa ktorého pri obmedzovaní základných práv a slobôd sa musí dbať na ich podstatu a zmysel, pričom takéto obmedzenia sa môžu použiť len na ustanovený cieľ. Predkladateľ nijako nevysvetlil, prečo je nevyhnutné pristúpiť k navrhovanému legislatívneho riešeniu, prečo v maximalistickom rozsahu (potrebuje štát všetky práva?) a prečo nepostačujú aktuálne dostupné riešenia založené na zmluvnom (licenčnom) režime; prípadné zlyhania štátu pri dojednávaní licenčných podmienok vedúce k vendor lock-in podľa nášho názoru nie sú a nemôžu byť dostatočným dôvodom. Pritom existuje v tomto smere ustálená dobrá prax a štandardizované licenčné doložky (aj z dielne samotného predkladateľa - MIRRI), ktoré primerane rozlišujú rôzne komponenty vytváraného a dodávaného softvérového produktu a tomu zodpovedajúcu úroveň požadovaných (nutných) licenčných oprávnení. A navyše, vytvára sa aj otázka nerovnosti a diskriminácie (priamej alebo nepriamej) v rozpore s čl. 13 ods. 3 Ústavy, keď zákonodarca navrhovaným legislatívnym riešením v súkromnoprávnych vzťahoch (!) zásadným spôsobom uprednostňuje (preferuje) štátnych a verejných objednávateľov. Vznikať tak budú situácie z hľadiska Ústavy prinajmenšom otázne:  kým na jednej strane vytvorenie a dodávka určitého softvérového riešenia pre objednávateľa zo súkromnej sféry (vzťahy B2B) sa bude riadiť dohodnutými licenčnými podmienkami, na strane druhej, vytvorenie a dodanie toho istého (!) softvérového riešenia (ako informačnej technológie verejnej správy) pre objednávateľa z verejnej sféry (vzťahy B2G) sa bude riadiť navrhovaným zákonným mimozmluvným režimom.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navrhovaného legislatívneho riešenia s právom EÚ je zreteľný, keď vezmeme do úvahy najmä smernicu Európskeho parlamentu a Rady 2009/24/ES z 23. apríla 2009 o právnej ochrane počítačových programov a jej čl. 2 ods. 3 (citujeme): „Ak je počítačový program vytvorený zamestnancom pri plnení jeho povinnosti alebo podľa pokynov vydaných jeho zamestnávateľom, je zamestnávateľ výlučne oprávnený vykonávať všetky majetkové práva k takto vytvorenému programu, ak nie je v zmluve dohodnuté inak.“ V súvislosti s databázami je v tomto smere relevantná smernica Európskeho parlamentu a Rady 9/96/ES z 11. marca 1996 o právnej ochrane databáz, ktorej recitál 29 znie (citujeme): „keďže právne úpravy vzťahujúce sa na databázy vytvorené zamestnancami sa ponechávajú na členské štáty; keďže z tohto dôvodu nič v tejto smernici nebráni členským štátom, aby stanovili vo svojich vnútroštátnych právnych predpisoch, že aj ak databázu vytvoril zamestnanec pri plnení svojich povinností alebo podľa inštrukcií vydaných jeho zamestnávateľom, vykonávať všetky majetkové práva k takto vytvorenej databáze je oprávnený výhradne zamestnávateľ, pokiaľ zmluva neustanovuje inak“.</w:t>
              <w:br/>
            </w:r>
            <w:r>
              <w:rPr>
                <w:b w:val="off"/>
                <w:color w:val="000000"/>
                <w:rFonts w:ascii="Times New Roman" w:hAnsi="Times New Roman" w:cs="Times New Roman" w:eastAsia="Times New Roman"/>
                <w:sz w:val="24"/>
              </w:rPr>
              <w:t>V rámci rešerše v autorských zákonoch štátov EÚ sa nám nepodarilo identifikovať obdobné legislatívne riešenie, ako navrhuje predkladateľ. Ide aj v tomto smere o neobvyklé, nevyskúšané a teda rizikové riešenie. Trh v oblasti informačných technológii v EÚ je vysoko konkurenčný a zároveň pomerne štandardizovaný, pokiaľ ide o obvyklé požiadavky kladené na práva duševného vlastníctva. Aj tieto skutočnosti môžu zužovať okruh potenciálnych uchádzačov a záujemcov od predkladania ponúk, čím by dochádzalo k obmedzovaniu súťaže.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sumarizujeme, že predkladateľ návrhom zákona v čl. III, ktorým sa navrhuje novelizovať Autorský zákon, úplne obchádza štandardný režim zamestnaneckého diela, "preskakuje" zamestnávateľa, ktorému patrí výkon majetkových práv a zveruje ho priamo privilegovanému objednávateľovi zo štátneho a verejného sektora. Úplne sa obchádza štandardný licenčný režim a nanajvýš otázna je medzinárodná akceptácia tejto novinky, najmä zo strany zahraničných dodávateľov. Nezanedbateľné môžu byť ekonomické dopady, je tu prítomné značné riziko predražovania IT zákaziek. Do určitej miery možno rozumieť predkladateľovi, že chce predchádzať vendor locku-in, čo je legitímny cieľ, avšak navrhované legislatívne riešenie je podľa nášho názoru nesystematické, nesprávne, potenciálne ekonomicky škodlivé a navyše v rozpore s Ústavou a právom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odporúčame predkladateľovi, aby celý článok III, ktorým sa navrhuje novelizovať Autorský zákon, z predkladaného návrhu zákona vypustil bez náhrady. Pre úplnosť poznamenávame, že sa stotožňujeme so zásadnou pripomienkou uplatnenou zo strany Ministerstva kultúry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JUDr. Tomáš Klinka, advokát a patentový zástupca (autor a iniciátor pripomienky, poverený ďalšou komunikáciou, email: tomas.klinka@signum.legal)</w:t>
              <w:br/>
            </w:r>
            <w:r>
              <w:rPr>
                <w:b w:val="off"/>
                <w:color w:val="000000"/>
                <w:rFonts w:ascii="Times New Roman" w:hAnsi="Times New Roman" w:cs="Times New Roman" w:eastAsia="Times New Roman"/>
                <w:sz w:val="24"/>
              </w:rPr>
              <w:t>JUDr. Zuzana Adamová, PhD., riaditeľka Ústavu duševného vlastníctva, technológií a produktového práva, Právnická fakulta Trnavskej univerzity v Trnave, patentová zástupkyňa</w:t>
              <w:br/>
            </w:r>
            <w:r>
              <w:rPr>
                <w:b w:val="off"/>
                <w:color w:val="000000"/>
                <w:rFonts w:ascii="Times New Roman" w:hAnsi="Times New Roman" w:cs="Times New Roman" w:eastAsia="Times New Roman"/>
                <w:sz w:val="24"/>
              </w:rPr>
              <w:t>JUDr. Róbert Gašparovič, advokát</w:t>
              <w:br/>
            </w:r>
            <w:r>
              <w:rPr>
                <w:b w:val="off"/>
                <w:color w:val="000000"/>
                <w:rFonts w:ascii="Times New Roman" w:hAnsi="Times New Roman" w:cs="Times New Roman" w:eastAsia="Times New Roman"/>
                <w:sz w:val="24"/>
              </w:rPr>
              <w:t>JUDr. Ľubomír Lukič, advokát</w:t>
              <w:br/>
            </w:r>
            <w:r>
              <w:rPr>
                <w:b w:val="off"/>
                <w:color w:val="000000"/>
                <w:rFonts w:ascii="Times New Roman" w:hAnsi="Times New Roman" w:cs="Times New Roman" w:eastAsia="Times New Roman"/>
                <w:sz w:val="24"/>
              </w:rPr>
              <w:t>JUDr. Štefan Pilár, advokát</w:t>
              <w:br/>
            </w:r>
            <w:r>
              <w:rPr>
                <w:b w:val="off"/>
                <w:color w:val="000000"/>
                <w:rFonts w:ascii="Times New Roman" w:hAnsi="Times New Roman" w:cs="Times New Roman" w:eastAsia="Times New Roman"/>
                <w:sz w:val="24"/>
              </w:rPr>
              <w:t>JUDr. Peter Komínek, advokát</w:t>
              <w:br/>
            </w:r>
            <w:r>
              <w:rPr>
                <w:b w:val="off"/>
                <w:color w:val="000000"/>
                <w:rFonts w:ascii="Times New Roman" w:hAnsi="Times New Roman" w:cs="Times New Roman" w:eastAsia="Times New Roman"/>
                <w:sz w:val="24"/>
              </w:rPr>
              <w:t>Mgr. Damián Palašta, advokátsky koncipient, doktorand na Ústave práva a technológii, Právnická fakulta Masarykovej univerzity v Brne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Pôvodný čl. III bol z návrhu vypustený a došlo k úprave ustanovení o dojednávaní zmlúv v § 15 ods. 2 zákona o ITVS.</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AFCEA</w:t>
            </w:r>
            <w:r>
              <w:rPr>
                <w:b w:val="off"/>
                <w:color w:val="000000"/>
                <w:rFonts w:ascii="Times New Roman" w:hAnsi="Times New Roman" w:cs="Times New Roman" w:eastAsia="Times New Roman"/>
                <w:sz w:val="24"/>
              </w:rPr>
              <w:t xml:space="preserve"> – AFCEA Slovakia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ASAI</w:t>
            </w:r>
            <w:r>
              <w:rPr>
                <w:b w:val="off"/>
                <w:color w:val="000000"/>
                <w:rFonts w:ascii="Times New Roman" w:hAnsi="Times New Roman" w:cs="Times New Roman" w:eastAsia="Times New Roman"/>
                <w:sz w:val="24"/>
              </w:rPr>
              <w:t xml:space="preserve"> – Asociácia AI</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26 (22o,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27 (7o,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7 (5o,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13 (9o,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(1o,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SOZA</w:t>
            </w:r>
            <w:r>
              <w:rPr>
                <w:b w:val="off"/>
                <w:color w:val="000000"/>
                <w:rFonts w:ascii="Times New Roman" w:hAnsi="Times New Roman" w:cs="Times New Roman" w:eastAsia="Times New Roman"/>
                <w:sz w:val="24"/>
              </w:rPr>
              <w:t xml:space="preserve"> – Slovenský ochranný zväz autorský pre práva k hudobným dielam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182 (122o, 60z)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