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800AB" w14:textId="77777777" w:rsidR="00213209" w:rsidRPr="00EA515B" w:rsidRDefault="00213209" w:rsidP="00213209">
      <w:pPr>
        <w:jc w:val="center"/>
        <w:rPr>
          <w:rFonts w:ascii="Cambria" w:hAnsi="Cambria"/>
          <w:b/>
          <w:sz w:val="24"/>
          <w:szCs w:val="24"/>
        </w:rPr>
      </w:pPr>
      <w:r w:rsidRPr="00EA515B">
        <w:rPr>
          <w:rFonts w:ascii="Cambria" w:hAnsi="Cambria"/>
          <w:b/>
          <w:sz w:val="24"/>
          <w:szCs w:val="24"/>
        </w:rPr>
        <w:t>P R E D B E Ž N Á  I N F O R M Á C I A</w:t>
      </w:r>
    </w:p>
    <w:p w14:paraId="360E44FD" w14:textId="77777777" w:rsidR="00213209" w:rsidRPr="00EA515B" w:rsidRDefault="00213209" w:rsidP="00213209">
      <w:pPr>
        <w:jc w:val="center"/>
        <w:rPr>
          <w:rFonts w:ascii="Cambria" w:hAnsi="Cambria"/>
          <w:b/>
          <w:sz w:val="24"/>
          <w:szCs w:val="24"/>
        </w:rPr>
      </w:pPr>
      <w:r w:rsidRPr="00EA515B">
        <w:rPr>
          <w:rFonts w:ascii="Cambria" w:hAnsi="Cambria"/>
          <w:b/>
          <w:sz w:val="24"/>
          <w:szCs w:val="24"/>
        </w:rPr>
        <w:t>(podľa § 9 zákona č. 400/2015 Z. z. o tvorbe právnych predpisov</w:t>
      </w:r>
    </w:p>
    <w:p w14:paraId="5C795F79" w14:textId="77777777" w:rsidR="00213209" w:rsidRPr="00EA515B" w:rsidRDefault="00213209" w:rsidP="00213209">
      <w:pPr>
        <w:jc w:val="center"/>
        <w:rPr>
          <w:rFonts w:ascii="Cambria" w:hAnsi="Cambria"/>
          <w:b/>
          <w:sz w:val="24"/>
          <w:szCs w:val="24"/>
        </w:rPr>
      </w:pPr>
      <w:r w:rsidRPr="00EA515B">
        <w:rPr>
          <w:rFonts w:ascii="Cambria" w:hAnsi="Cambria"/>
          <w:b/>
          <w:sz w:val="24"/>
          <w:szCs w:val="24"/>
        </w:rPr>
        <w:t>a o Zbierke zákonov Slovenskej republiky a o zmene a doplnení niektorých zákonov)</w:t>
      </w:r>
    </w:p>
    <w:p w14:paraId="37507C53" w14:textId="77777777" w:rsidR="00213209" w:rsidRPr="00EA515B" w:rsidRDefault="00213209" w:rsidP="00213209">
      <w:pPr>
        <w:rPr>
          <w:rFonts w:ascii="Cambria" w:hAnsi="Cambria"/>
          <w:sz w:val="24"/>
          <w:szCs w:val="24"/>
        </w:rPr>
      </w:pPr>
    </w:p>
    <w:p w14:paraId="25BE4E0D" w14:textId="77777777" w:rsidR="00213209" w:rsidRPr="00EA515B" w:rsidRDefault="00213209" w:rsidP="00213209">
      <w:pPr>
        <w:widowControl/>
        <w:numPr>
          <w:ilvl w:val="0"/>
          <w:numId w:val="1"/>
        </w:numPr>
        <w:suppressAutoHyphens w:val="0"/>
        <w:autoSpaceDN/>
        <w:ind w:left="426" w:hanging="426"/>
        <w:jc w:val="both"/>
        <w:textAlignment w:val="auto"/>
        <w:rPr>
          <w:rFonts w:ascii="Cambria" w:hAnsi="Cambria"/>
          <w:b/>
          <w:sz w:val="24"/>
          <w:szCs w:val="24"/>
        </w:rPr>
      </w:pPr>
      <w:r w:rsidRPr="00EA515B">
        <w:rPr>
          <w:rFonts w:ascii="Cambria" w:hAnsi="Cambria"/>
          <w:b/>
          <w:sz w:val="24"/>
          <w:szCs w:val="24"/>
        </w:rPr>
        <w:t>Pripravovaný právny predpis:</w:t>
      </w:r>
    </w:p>
    <w:p w14:paraId="6771E97C" w14:textId="46203F92" w:rsidR="00631877" w:rsidRPr="00631877" w:rsidRDefault="00213209" w:rsidP="00631877">
      <w:pPr>
        <w:jc w:val="both"/>
        <w:rPr>
          <w:rFonts w:ascii="Cambria" w:hAnsi="Cambria"/>
          <w:sz w:val="24"/>
          <w:szCs w:val="24"/>
        </w:rPr>
      </w:pPr>
      <w:r w:rsidRPr="00EA515B">
        <w:rPr>
          <w:rFonts w:ascii="Cambria" w:hAnsi="Cambria"/>
          <w:sz w:val="24"/>
          <w:szCs w:val="24"/>
        </w:rPr>
        <w:t>Návrh opatrenia Národnej banky Slovenska z ... 202</w:t>
      </w:r>
      <w:r>
        <w:rPr>
          <w:rFonts w:ascii="Cambria" w:hAnsi="Cambria"/>
          <w:sz w:val="24"/>
          <w:szCs w:val="24"/>
        </w:rPr>
        <w:t>6 o</w:t>
      </w:r>
      <w:r w:rsidR="00631877" w:rsidRPr="00631877">
        <w:rPr>
          <w:rFonts w:ascii="Cambria" w:hAnsi="Cambria"/>
          <w:sz w:val="24"/>
          <w:szCs w:val="24"/>
        </w:rPr>
        <w:t xml:space="preserve"> miere nákladov na držbu použiteľných vlastných zdrojov a o absolútnej spodnej hranici minimálnej kapitálovej požiadavky na solventnosť</w:t>
      </w:r>
      <w:r w:rsidR="00631877">
        <w:rPr>
          <w:rFonts w:ascii="Cambria" w:hAnsi="Cambria"/>
          <w:sz w:val="24"/>
          <w:szCs w:val="24"/>
        </w:rPr>
        <w:t xml:space="preserve"> </w:t>
      </w:r>
      <w:r w:rsidR="003B3F97">
        <w:rPr>
          <w:rFonts w:ascii="Cambria" w:hAnsi="Cambria"/>
          <w:sz w:val="24"/>
          <w:szCs w:val="24"/>
        </w:rPr>
        <w:t xml:space="preserve">pre </w:t>
      </w:r>
      <w:r w:rsidR="00631877" w:rsidRPr="00631877">
        <w:rPr>
          <w:rFonts w:ascii="Cambria" w:hAnsi="Cambria"/>
          <w:sz w:val="24"/>
          <w:szCs w:val="24"/>
        </w:rPr>
        <w:t>poisťovne, na ktor</w:t>
      </w:r>
      <w:r w:rsidR="003B3F97">
        <w:rPr>
          <w:rFonts w:ascii="Cambria" w:hAnsi="Cambria"/>
          <w:sz w:val="24"/>
          <w:szCs w:val="24"/>
        </w:rPr>
        <w:t>é</w:t>
      </w:r>
      <w:r w:rsidR="00631877" w:rsidRPr="00631877">
        <w:rPr>
          <w:rFonts w:ascii="Cambria" w:hAnsi="Cambria"/>
          <w:sz w:val="24"/>
          <w:szCs w:val="24"/>
        </w:rPr>
        <w:t xml:space="preserve"> sa neuplatňuje osobitný režim a pre zaisťovne, pobočky zahraničných poisťovní a pobočky zahraničných zaisťovní</w:t>
      </w:r>
    </w:p>
    <w:p w14:paraId="731CBEE4" w14:textId="182C8865" w:rsidR="00213209" w:rsidRPr="00631877" w:rsidRDefault="00213209" w:rsidP="0021320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 </w:t>
      </w:r>
    </w:p>
    <w:p w14:paraId="30D42412" w14:textId="77777777" w:rsidR="00213209" w:rsidRPr="00EA515B" w:rsidRDefault="00213209" w:rsidP="00213209">
      <w:pPr>
        <w:jc w:val="both"/>
        <w:rPr>
          <w:rFonts w:ascii="Cambria" w:hAnsi="Cambria"/>
          <w:sz w:val="24"/>
          <w:szCs w:val="24"/>
        </w:rPr>
      </w:pPr>
    </w:p>
    <w:p w14:paraId="0C0A24D1" w14:textId="02E001A1" w:rsidR="00213209" w:rsidRPr="00A0039D" w:rsidRDefault="00213209" w:rsidP="00213209">
      <w:pPr>
        <w:widowControl/>
        <w:numPr>
          <w:ilvl w:val="0"/>
          <w:numId w:val="1"/>
        </w:numPr>
        <w:suppressAutoHyphens w:val="0"/>
        <w:autoSpaceDN/>
        <w:ind w:left="426" w:hanging="426"/>
        <w:jc w:val="both"/>
        <w:textAlignment w:val="auto"/>
        <w:rPr>
          <w:rFonts w:ascii="Cambria" w:hAnsi="Cambria"/>
          <w:b/>
          <w:sz w:val="24"/>
          <w:szCs w:val="24"/>
        </w:rPr>
      </w:pPr>
      <w:r w:rsidRPr="00EA515B">
        <w:rPr>
          <w:rFonts w:ascii="Cambria" w:hAnsi="Cambria"/>
          <w:b/>
          <w:sz w:val="24"/>
          <w:szCs w:val="24"/>
        </w:rPr>
        <w:t>Základné ciele a tézy právnej úpravy:</w:t>
      </w:r>
    </w:p>
    <w:p w14:paraId="281AC460" w14:textId="2683458D" w:rsidR="00157CD5" w:rsidRDefault="00213209" w:rsidP="00E62A8D">
      <w:pPr>
        <w:jc w:val="both"/>
        <w:rPr>
          <w:rFonts w:ascii="Cambria" w:hAnsi="Cambria"/>
          <w:sz w:val="24"/>
          <w:szCs w:val="24"/>
        </w:rPr>
      </w:pPr>
      <w:r w:rsidRPr="00EA515B">
        <w:rPr>
          <w:rFonts w:ascii="Cambria" w:hAnsi="Cambria"/>
          <w:sz w:val="24"/>
          <w:szCs w:val="24"/>
        </w:rPr>
        <w:t xml:space="preserve">Cieľom </w:t>
      </w:r>
      <w:r w:rsidR="006F2CF8">
        <w:rPr>
          <w:rFonts w:ascii="Cambria" w:hAnsi="Cambria"/>
          <w:sz w:val="24"/>
          <w:szCs w:val="24"/>
        </w:rPr>
        <w:t>právnej úpravy bude</w:t>
      </w:r>
      <w:r w:rsidR="006F2CF8" w:rsidRPr="00EA515B">
        <w:rPr>
          <w:rFonts w:ascii="Cambria" w:hAnsi="Cambria"/>
          <w:sz w:val="24"/>
          <w:szCs w:val="24"/>
        </w:rPr>
        <w:t xml:space="preserve"> </w:t>
      </w:r>
      <w:r w:rsidR="00631877">
        <w:rPr>
          <w:rFonts w:ascii="Cambria" w:hAnsi="Cambria"/>
          <w:sz w:val="24"/>
          <w:szCs w:val="24"/>
        </w:rPr>
        <w:t xml:space="preserve">v súvislosti s transpozíciou </w:t>
      </w:r>
      <w:r w:rsidR="00E62A8D">
        <w:rPr>
          <w:rFonts w:ascii="Cambria" w:hAnsi="Cambria"/>
          <w:sz w:val="24"/>
          <w:szCs w:val="24"/>
        </w:rPr>
        <w:t>smernice</w:t>
      </w:r>
      <w:r w:rsidR="00A0039D" w:rsidRPr="00A0039D">
        <w:rPr>
          <w:rFonts w:ascii="Cambria" w:hAnsi="Cambria"/>
          <w:sz w:val="24"/>
          <w:szCs w:val="24"/>
        </w:rPr>
        <w:t xml:space="preserve"> Európskeho parlamentu a Rady (EÚ) 2025/2 z 27. novembra 2024, ktorou sa mení smernica 2009/138/ES, pokiaľ ide o proporcionalitu, kvalitu dohľadu, predkladanie informácií, opatrenia týkajúce sa dlhodobých záruk, makroprudenciálne nástroje, riziká ohrozujúce udržateľnosť a dohľad nad skupinou a cezhraničný dohľad, a ktorou sa menia smernice 2002/87/ES a 2013/34/EÚ (Ú. v. EÚ L, 2025/2, 8.1.2025)</w:t>
      </w:r>
      <w:r w:rsidR="006F2CF8">
        <w:rPr>
          <w:rFonts w:ascii="Cambria" w:hAnsi="Cambria"/>
          <w:sz w:val="24"/>
          <w:szCs w:val="24"/>
        </w:rPr>
        <w:t xml:space="preserve"> a </w:t>
      </w:r>
      <w:r w:rsidR="00E4611B">
        <w:rPr>
          <w:rFonts w:ascii="Cambria" w:hAnsi="Cambria"/>
          <w:sz w:val="24"/>
          <w:szCs w:val="24"/>
        </w:rPr>
        <w:t>na základe</w:t>
      </w:r>
      <w:r w:rsidR="00362DFB">
        <w:rPr>
          <w:rFonts w:ascii="Cambria" w:hAnsi="Cambria"/>
          <w:sz w:val="24"/>
          <w:szCs w:val="24"/>
        </w:rPr>
        <w:t xml:space="preserve"> splnomocňovacieho ustanovenia § 38 ods</w:t>
      </w:r>
      <w:r w:rsidR="006F2CF8">
        <w:rPr>
          <w:rFonts w:ascii="Cambria" w:hAnsi="Cambria"/>
          <w:sz w:val="24"/>
          <w:szCs w:val="24"/>
        </w:rPr>
        <w:t>.</w:t>
      </w:r>
      <w:r w:rsidR="00362DFB">
        <w:rPr>
          <w:rFonts w:ascii="Cambria" w:hAnsi="Cambria"/>
          <w:sz w:val="24"/>
          <w:szCs w:val="24"/>
        </w:rPr>
        <w:t xml:space="preserve"> </w:t>
      </w:r>
      <w:r w:rsidR="0037379A">
        <w:rPr>
          <w:rFonts w:ascii="Cambria" w:hAnsi="Cambria"/>
          <w:sz w:val="24"/>
          <w:szCs w:val="24"/>
        </w:rPr>
        <w:t xml:space="preserve">6 </w:t>
      </w:r>
      <w:r w:rsidR="00D271A5">
        <w:rPr>
          <w:rFonts w:ascii="Cambria" w:hAnsi="Cambria"/>
          <w:sz w:val="24"/>
          <w:szCs w:val="24"/>
        </w:rPr>
        <w:t>návrhu zákona,</w:t>
      </w:r>
      <w:r w:rsidR="00D271A5" w:rsidRPr="00D271A5">
        <w:rPr>
          <w:rFonts w:ascii="Cambria" w:hAnsi="Cambria"/>
          <w:sz w:val="24"/>
          <w:szCs w:val="24"/>
        </w:rPr>
        <w:t xml:space="preserve"> ktorým sa mení a dopĺňa zákon č. 39/2015 Z. z. o poisťovníctve a o zmene a doplnení niektorých zákonov v znení neskorších predpisov</w:t>
      </w:r>
      <w:r w:rsidR="007640DE">
        <w:rPr>
          <w:rFonts w:ascii="Cambria" w:hAnsi="Cambria"/>
          <w:sz w:val="24"/>
          <w:szCs w:val="24"/>
        </w:rPr>
        <w:t xml:space="preserve"> </w:t>
      </w:r>
      <w:r w:rsidR="007640DE" w:rsidRPr="007640DE">
        <w:rPr>
          <w:rFonts w:ascii="Cambria" w:hAnsi="Cambria"/>
          <w:sz w:val="24"/>
          <w:szCs w:val="24"/>
        </w:rPr>
        <w:t xml:space="preserve">(LP/2026/362) </w:t>
      </w:r>
      <w:r w:rsidR="0037379A">
        <w:rPr>
          <w:rFonts w:ascii="Cambria" w:hAnsi="Cambria"/>
          <w:sz w:val="24"/>
          <w:szCs w:val="24"/>
        </w:rPr>
        <w:t xml:space="preserve"> transponovať</w:t>
      </w:r>
      <w:r w:rsidR="00E62A8D">
        <w:rPr>
          <w:rFonts w:ascii="Cambria" w:hAnsi="Cambria"/>
          <w:sz w:val="24"/>
          <w:szCs w:val="24"/>
        </w:rPr>
        <w:t xml:space="preserve"> do slovenskej právnej úpravy</w:t>
      </w:r>
      <w:r w:rsidR="0037379A">
        <w:rPr>
          <w:rFonts w:ascii="Cambria" w:hAnsi="Cambria"/>
          <w:sz w:val="24"/>
          <w:szCs w:val="24"/>
        </w:rPr>
        <w:t xml:space="preserve"> </w:t>
      </w:r>
      <w:r w:rsidR="007640DE">
        <w:rPr>
          <w:rFonts w:ascii="Cambria" w:hAnsi="Cambria"/>
          <w:sz w:val="24"/>
          <w:szCs w:val="24"/>
        </w:rPr>
        <w:t>odsek 6 v</w:t>
      </w:r>
      <w:r w:rsidR="0037379A">
        <w:rPr>
          <w:rFonts w:ascii="Cambria" w:hAnsi="Cambria"/>
          <w:sz w:val="24"/>
          <w:szCs w:val="24"/>
        </w:rPr>
        <w:t xml:space="preserve"> </w:t>
      </w:r>
      <w:r w:rsidR="00E62A8D">
        <w:rPr>
          <w:rFonts w:ascii="Cambria" w:hAnsi="Cambria"/>
          <w:sz w:val="24"/>
          <w:szCs w:val="24"/>
        </w:rPr>
        <w:t>č</w:t>
      </w:r>
      <w:r w:rsidR="007640DE">
        <w:rPr>
          <w:rFonts w:ascii="Cambria" w:hAnsi="Cambria"/>
          <w:sz w:val="24"/>
          <w:szCs w:val="24"/>
        </w:rPr>
        <w:t>lánku</w:t>
      </w:r>
      <w:r w:rsidR="00E62A8D">
        <w:rPr>
          <w:rFonts w:ascii="Cambria" w:hAnsi="Cambria"/>
          <w:sz w:val="24"/>
          <w:szCs w:val="24"/>
        </w:rPr>
        <w:t xml:space="preserve"> 77 </w:t>
      </w:r>
      <w:r w:rsidR="0037379A">
        <w:rPr>
          <w:rFonts w:ascii="Cambria" w:hAnsi="Cambria"/>
          <w:sz w:val="24"/>
          <w:szCs w:val="24"/>
        </w:rPr>
        <w:t xml:space="preserve"> smernice</w:t>
      </w:r>
      <w:r w:rsidR="00157CD5">
        <w:rPr>
          <w:rFonts w:ascii="Cambria" w:hAnsi="Cambria"/>
          <w:sz w:val="24"/>
          <w:szCs w:val="24"/>
        </w:rPr>
        <w:t xml:space="preserve">. </w:t>
      </w:r>
    </w:p>
    <w:p w14:paraId="7845C9D3" w14:textId="77777777" w:rsidR="00157CD5" w:rsidRDefault="00157CD5" w:rsidP="00E62A8D">
      <w:pPr>
        <w:jc w:val="both"/>
        <w:rPr>
          <w:rFonts w:ascii="Cambria" w:hAnsi="Cambria"/>
          <w:sz w:val="24"/>
          <w:szCs w:val="24"/>
        </w:rPr>
      </w:pPr>
    </w:p>
    <w:p w14:paraId="42BC572B" w14:textId="0933C7BB" w:rsidR="00E62A8D" w:rsidRDefault="00157CD5" w:rsidP="00E62A8D">
      <w:pPr>
        <w:jc w:val="both"/>
        <w:rPr>
          <w:rFonts w:ascii="Cambria" w:hAnsi="Cambria"/>
          <w:sz w:val="24"/>
          <w:szCs w:val="24"/>
        </w:rPr>
      </w:pPr>
      <w:r w:rsidRPr="007640DE">
        <w:rPr>
          <w:rFonts w:ascii="Cambria" w:hAnsi="Cambria"/>
          <w:sz w:val="24"/>
          <w:szCs w:val="24"/>
        </w:rPr>
        <w:t>P</w:t>
      </w:r>
      <w:r w:rsidR="0037379A" w:rsidRPr="007640DE">
        <w:rPr>
          <w:rFonts w:ascii="Cambria" w:hAnsi="Cambria"/>
          <w:sz w:val="24"/>
          <w:szCs w:val="24"/>
        </w:rPr>
        <w:t xml:space="preserve">odľa </w:t>
      </w:r>
      <w:r w:rsidRPr="007640DE">
        <w:rPr>
          <w:rFonts w:ascii="Cambria" w:hAnsi="Cambria"/>
          <w:sz w:val="24"/>
          <w:szCs w:val="24"/>
        </w:rPr>
        <w:t>čl</w:t>
      </w:r>
      <w:r w:rsidR="007640DE" w:rsidRPr="007640DE">
        <w:rPr>
          <w:rFonts w:ascii="Cambria" w:hAnsi="Cambria"/>
          <w:sz w:val="24"/>
          <w:szCs w:val="24"/>
        </w:rPr>
        <w:t>ánku</w:t>
      </w:r>
      <w:r w:rsidRPr="007640DE">
        <w:rPr>
          <w:rFonts w:ascii="Cambria" w:hAnsi="Cambria"/>
          <w:sz w:val="24"/>
          <w:szCs w:val="24"/>
        </w:rPr>
        <w:t xml:space="preserve"> 77 ods</w:t>
      </w:r>
      <w:r w:rsidR="006F2CF8">
        <w:rPr>
          <w:rFonts w:ascii="Cambria" w:hAnsi="Cambria"/>
          <w:sz w:val="24"/>
          <w:szCs w:val="24"/>
        </w:rPr>
        <w:t>.</w:t>
      </w:r>
      <w:r w:rsidRPr="007640DE">
        <w:rPr>
          <w:rFonts w:ascii="Cambria" w:hAnsi="Cambria"/>
          <w:sz w:val="24"/>
          <w:szCs w:val="24"/>
        </w:rPr>
        <w:t xml:space="preserve"> 6 smernice</w:t>
      </w:r>
      <w:r w:rsidR="0037379A" w:rsidRPr="007640DE">
        <w:rPr>
          <w:rFonts w:ascii="Cambria" w:hAnsi="Cambria"/>
          <w:sz w:val="24"/>
          <w:szCs w:val="24"/>
        </w:rPr>
        <w:t xml:space="preserve"> miera nákladov na kapitál sa </w:t>
      </w:r>
      <w:r w:rsidR="00B040F1" w:rsidRPr="007640DE">
        <w:rPr>
          <w:rFonts w:ascii="Cambria" w:hAnsi="Cambria"/>
          <w:sz w:val="24"/>
          <w:szCs w:val="24"/>
        </w:rPr>
        <w:t xml:space="preserve">od 30. januára 2027 </w:t>
      </w:r>
      <w:r w:rsidR="0037379A" w:rsidRPr="007640DE">
        <w:rPr>
          <w:rFonts w:ascii="Cambria" w:hAnsi="Cambria"/>
          <w:sz w:val="24"/>
          <w:szCs w:val="24"/>
        </w:rPr>
        <w:t>rovná 4,75 %</w:t>
      </w:r>
      <w:r w:rsidR="006F2CF8">
        <w:rPr>
          <w:rFonts w:ascii="Cambria" w:hAnsi="Cambria"/>
          <w:sz w:val="24"/>
          <w:szCs w:val="24"/>
        </w:rPr>
        <w:t>,</w:t>
      </w:r>
      <w:r w:rsidR="0037379A" w:rsidRPr="007640DE">
        <w:rPr>
          <w:rFonts w:ascii="Cambria" w:hAnsi="Cambria"/>
          <w:sz w:val="24"/>
          <w:szCs w:val="24"/>
        </w:rPr>
        <w:t xml:space="preserve"> pričom pravidelné preskúmanie vykoná Európska komisia najskôr 31. januára 2032.</w:t>
      </w:r>
      <w:r w:rsidR="00E4611B" w:rsidRPr="007640DE">
        <w:rPr>
          <w:rFonts w:ascii="Cambria" w:hAnsi="Cambria"/>
          <w:sz w:val="24"/>
          <w:szCs w:val="24"/>
        </w:rPr>
        <w:t xml:space="preserve"> Uvedené </w:t>
      </w:r>
      <w:r w:rsidR="00B040F1" w:rsidRPr="007640DE">
        <w:rPr>
          <w:rFonts w:ascii="Cambria" w:hAnsi="Cambria"/>
          <w:sz w:val="24"/>
          <w:szCs w:val="24"/>
        </w:rPr>
        <w:t xml:space="preserve"> je transponované do § 38 ods</w:t>
      </w:r>
      <w:r w:rsidR="006F2CF8">
        <w:rPr>
          <w:rFonts w:ascii="Cambria" w:hAnsi="Cambria"/>
          <w:sz w:val="24"/>
          <w:szCs w:val="24"/>
        </w:rPr>
        <w:t>.</w:t>
      </w:r>
      <w:r w:rsidR="00B040F1" w:rsidRPr="007640DE">
        <w:rPr>
          <w:rFonts w:ascii="Cambria" w:hAnsi="Cambria"/>
          <w:sz w:val="24"/>
          <w:szCs w:val="24"/>
        </w:rPr>
        <w:t xml:space="preserve"> 6</w:t>
      </w:r>
      <w:r w:rsidRPr="007640DE">
        <w:rPr>
          <w:rFonts w:ascii="Cambria" w:hAnsi="Cambria"/>
          <w:sz w:val="24"/>
          <w:szCs w:val="24"/>
        </w:rPr>
        <w:t xml:space="preserve"> </w:t>
      </w:r>
      <w:r w:rsidR="00B040F1" w:rsidRPr="007640DE">
        <w:rPr>
          <w:rFonts w:ascii="Cambria" w:hAnsi="Cambria"/>
          <w:sz w:val="24"/>
          <w:szCs w:val="24"/>
        </w:rPr>
        <w:t>návrhu zákona, ktorým sa mení a dopĺňa zákon č. 39/2015 Z. z. o poisťovníctve a o zmene a doplnení niektorých zákonov v znení neskorších predpisov</w:t>
      </w:r>
      <w:r w:rsidR="007640DE" w:rsidRPr="007640DE">
        <w:rPr>
          <w:rFonts w:ascii="Cambria" w:hAnsi="Cambria"/>
          <w:sz w:val="24"/>
          <w:szCs w:val="24"/>
        </w:rPr>
        <w:t xml:space="preserve"> (LP/2026/362) </w:t>
      </w:r>
      <w:r w:rsidR="007A2CDE" w:rsidRPr="007640DE">
        <w:rPr>
          <w:rFonts w:ascii="Cambria" w:hAnsi="Cambria"/>
          <w:sz w:val="24"/>
          <w:szCs w:val="24"/>
        </w:rPr>
        <w:t>tak, že</w:t>
      </w:r>
      <w:r w:rsidR="00B040F1" w:rsidRPr="007640DE">
        <w:rPr>
          <w:rFonts w:ascii="Cambria" w:hAnsi="Cambria"/>
          <w:sz w:val="24"/>
          <w:szCs w:val="24"/>
        </w:rPr>
        <w:t xml:space="preserve"> </w:t>
      </w:r>
      <w:r w:rsidR="00373A50" w:rsidRPr="007640DE">
        <w:rPr>
          <w:rFonts w:ascii="Cambria" w:hAnsi="Cambria"/>
          <w:sz w:val="24"/>
          <w:szCs w:val="24"/>
        </w:rPr>
        <w:t>m</w:t>
      </w:r>
      <w:r w:rsidR="00362DFB" w:rsidRPr="007640DE">
        <w:rPr>
          <w:rFonts w:ascii="Cambria" w:hAnsi="Cambria"/>
          <w:sz w:val="24"/>
          <w:szCs w:val="24"/>
        </w:rPr>
        <w:t>ieru nákladov na držbu použiteľných vlastných zdrojov</w:t>
      </w:r>
      <w:r w:rsidR="00B040F1" w:rsidRPr="007640DE">
        <w:rPr>
          <w:rFonts w:ascii="Cambria" w:hAnsi="Cambria"/>
          <w:sz w:val="24"/>
          <w:szCs w:val="24"/>
        </w:rPr>
        <w:t xml:space="preserve"> </w:t>
      </w:r>
      <w:r w:rsidR="00362DFB" w:rsidRPr="007640DE">
        <w:rPr>
          <w:rFonts w:ascii="Cambria" w:hAnsi="Cambria"/>
          <w:sz w:val="24"/>
          <w:szCs w:val="24"/>
        </w:rPr>
        <w:t>ustanoví Národná banka Slovenska opatrením</w:t>
      </w:r>
      <w:r w:rsidR="00B040F1" w:rsidRPr="007640DE">
        <w:rPr>
          <w:rFonts w:ascii="Cambria" w:hAnsi="Cambria"/>
          <w:sz w:val="24"/>
          <w:szCs w:val="24"/>
        </w:rPr>
        <w:t>.</w:t>
      </w:r>
      <w:r w:rsidR="00B040F1">
        <w:rPr>
          <w:rFonts w:ascii="Cambria" w:hAnsi="Cambria"/>
          <w:sz w:val="24"/>
          <w:szCs w:val="24"/>
        </w:rPr>
        <w:t xml:space="preserve"> </w:t>
      </w:r>
    </w:p>
    <w:p w14:paraId="36AF202E" w14:textId="77777777" w:rsidR="007640DE" w:rsidRDefault="007640DE" w:rsidP="00E62A8D">
      <w:pPr>
        <w:jc w:val="both"/>
        <w:rPr>
          <w:rFonts w:ascii="Cambria" w:hAnsi="Cambria"/>
          <w:sz w:val="24"/>
          <w:szCs w:val="24"/>
        </w:rPr>
      </w:pPr>
    </w:p>
    <w:p w14:paraId="75EAA3B3" w14:textId="48B47B14" w:rsidR="007640DE" w:rsidRDefault="000169FB" w:rsidP="00E62A8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Taktiež d</w:t>
      </w:r>
      <w:r w:rsidR="007640DE" w:rsidRPr="007640DE">
        <w:rPr>
          <w:rFonts w:ascii="Cambria" w:hAnsi="Cambria"/>
          <w:sz w:val="24"/>
          <w:szCs w:val="24"/>
        </w:rPr>
        <w:t>elegovaným nariadením Komisie (EÚ) 2026/269 z 29. októbra 2025, ktorým sa mení delegované nariadenie (EÚ) 2015/35, pokiaľ ide o technické rezervy, opatrenia týkajúce sa dlhodobých záruk, vlastné zdroje, akciové riziko, riziko úverového rozpätia pri sekuritizačných pozíciách, iné kapitálové požiadavky podľa štandardného vzorca, predkladanie informácií a zverejňovanie informácií, proporcionalitu a skupinovú solventnosť, sa čl</w:t>
      </w:r>
      <w:r w:rsidR="007640DE">
        <w:rPr>
          <w:rFonts w:ascii="Cambria" w:hAnsi="Cambria"/>
          <w:sz w:val="24"/>
          <w:szCs w:val="24"/>
        </w:rPr>
        <w:t>ánok</w:t>
      </w:r>
      <w:r w:rsidR="007640DE" w:rsidRPr="007640DE">
        <w:rPr>
          <w:rFonts w:ascii="Cambria" w:hAnsi="Cambria"/>
          <w:sz w:val="24"/>
          <w:szCs w:val="24"/>
        </w:rPr>
        <w:t xml:space="preserve"> 39</w:t>
      </w:r>
      <w:r w:rsidR="007640DE">
        <w:rPr>
          <w:rFonts w:ascii="Cambria" w:hAnsi="Cambria"/>
          <w:sz w:val="24"/>
          <w:szCs w:val="24"/>
        </w:rPr>
        <w:t xml:space="preserve"> delegovaného nariadenia</w:t>
      </w:r>
      <w:r>
        <w:rPr>
          <w:rFonts w:ascii="Cambria" w:hAnsi="Cambria"/>
          <w:sz w:val="24"/>
          <w:szCs w:val="24"/>
        </w:rPr>
        <w:t xml:space="preserve"> 2015/35</w:t>
      </w:r>
      <w:r w:rsidR="007640DE" w:rsidRPr="007640DE">
        <w:rPr>
          <w:rFonts w:ascii="Cambria" w:hAnsi="Cambria"/>
          <w:sz w:val="24"/>
          <w:szCs w:val="24"/>
        </w:rPr>
        <w:t xml:space="preserve"> mení tak, že</w:t>
      </w:r>
      <w:r w:rsidR="007640DE">
        <w:rPr>
          <w:rFonts w:ascii="Cambria" w:hAnsi="Cambria"/>
          <w:sz w:val="24"/>
          <w:szCs w:val="24"/>
        </w:rPr>
        <w:t xml:space="preserve"> </w:t>
      </w:r>
      <w:r w:rsidRPr="000169FB">
        <w:rPr>
          <w:rFonts w:ascii="Cambria" w:hAnsi="Cambria"/>
          <w:sz w:val="24"/>
          <w:szCs w:val="24"/>
        </w:rPr>
        <w:t>miera nákladov na kapitál</w:t>
      </w:r>
      <w:r w:rsidR="007640DE" w:rsidRPr="007640DE">
        <w:rPr>
          <w:rFonts w:ascii="Cambria" w:hAnsi="Cambria"/>
          <w:sz w:val="24"/>
          <w:szCs w:val="24"/>
        </w:rPr>
        <w:t xml:space="preserve"> sa rovná 4,75 %.  Bude sa uplatňovať od 30. januára 2027.</w:t>
      </w:r>
    </w:p>
    <w:p w14:paraId="1E2030FD" w14:textId="77777777" w:rsidR="00E62A8D" w:rsidRDefault="00E62A8D" w:rsidP="00E62A8D">
      <w:pPr>
        <w:jc w:val="both"/>
        <w:rPr>
          <w:rFonts w:ascii="Cambria" w:hAnsi="Cambria"/>
          <w:sz w:val="24"/>
          <w:szCs w:val="24"/>
        </w:rPr>
      </w:pPr>
    </w:p>
    <w:p w14:paraId="69227FDE" w14:textId="2281F9C6" w:rsidR="000169FB" w:rsidRDefault="00B040F1" w:rsidP="00B040F1">
      <w:pPr>
        <w:jc w:val="both"/>
        <w:rPr>
          <w:rFonts w:ascii="Cambria" w:hAnsi="Cambria"/>
          <w:sz w:val="24"/>
          <w:szCs w:val="24"/>
        </w:rPr>
      </w:pPr>
      <w:r>
        <w:rPr>
          <w:rFonts w:ascii="Times New Roman" w:eastAsiaTheme="minorEastAsia" w:hAnsi="Times New Roman"/>
          <w:bCs/>
          <w:kern w:val="0"/>
          <w:sz w:val="24"/>
          <w:szCs w:val="24"/>
        </w:rPr>
        <w:t>Okrem toho cieľom</w:t>
      </w:r>
      <w:r w:rsidR="007A2CDE">
        <w:rPr>
          <w:rFonts w:ascii="Times New Roman" w:eastAsiaTheme="minorEastAsia" w:hAnsi="Times New Roman"/>
          <w:bCs/>
          <w:kern w:val="0"/>
          <w:sz w:val="24"/>
          <w:szCs w:val="24"/>
        </w:rPr>
        <w:t xml:space="preserve"> navrhovaného opatrenia</w:t>
      </w:r>
      <w:r>
        <w:rPr>
          <w:rFonts w:ascii="Times New Roman" w:eastAsiaTheme="minorEastAsia" w:hAnsi="Times New Roman"/>
          <w:bCs/>
          <w:kern w:val="0"/>
          <w:sz w:val="24"/>
          <w:szCs w:val="24"/>
        </w:rPr>
        <w:t xml:space="preserve"> </w:t>
      </w:r>
      <w:r w:rsidR="006F2CF8">
        <w:rPr>
          <w:rFonts w:ascii="Times New Roman" w:eastAsiaTheme="minorEastAsia" w:hAnsi="Times New Roman"/>
          <w:bCs/>
          <w:kern w:val="0"/>
          <w:sz w:val="24"/>
          <w:szCs w:val="24"/>
        </w:rPr>
        <w:t xml:space="preserve">bude </w:t>
      </w:r>
      <w:r>
        <w:rPr>
          <w:rFonts w:ascii="Times New Roman" w:eastAsiaTheme="minorEastAsia" w:hAnsi="Times New Roman"/>
          <w:bCs/>
          <w:kern w:val="0"/>
          <w:sz w:val="24"/>
          <w:szCs w:val="24"/>
        </w:rPr>
        <w:t>aj</w:t>
      </w:r>
      <w:r w:rsidR="007A2CDE">
        <w:rPr>
          <w:rFonts w:ascii="Times New Roman" w:eastAsiaTheme="minorEastAsia" w:hAnsi="Times New Roman"/>
          <w:bCs/>
          <w:kern w:val="0"/>
          <w:sz w:val="24"/>
          <w:szCs w:val="24"/>
        </w:rPr>
        <w:t xml:space="preserve"> právna</w:t>
      </w:r>
      <w:r>
        <w:rPr>
          <w:rFonts w:ascii="Times New Roman" w:eastAsiaTheme="minorEastAsia" w:hAnsi="Times New Roman"/>
          <w:bCs/>
          <w:kern w:val="0"/>
          <w:sz w:val="24"/>
          <w:szCs w:val="24"/>
        </w:rPr>
        <w:t xml:space="preserve"> úprava </w:t>
      </w:r>
      <w:r w:rsidR="00157CD5">
        <w:rPr>
          <w:rFonts w:ascii="Cambria" w:hAnsi="Cambria"/>
          <w:sz w:val="24"/>
          <w:szCs w:val="24"/>
        </w:rPr>
        <w:t>absolútnej spodnej hranice minimálnej kapitálovej</w:t>
      </w:r>
      <w:r>
        <w:rPr>
          <w:rFonts w:ascii="Cambria" w:hAnsi="Cambria"/>
          <w:sz w:val="24"/>
          <w:szCs w:val="24"/>
        </w:rPr>
        <w:t xml:space="preserve"> </w:t>
      </w:r>
      <w:r w:rsidR="00157CD5">
        <w:rPr>
          <w:rFonts w:ascii="Cambria" w:hAnsi="Cambria"/>
          <w:sz w:val="24"/>
          <w:szCs w:val="24"/>
        </w:rPr>
        <w:t>požiadavky na solventnosť</w:t>
      </w:r>
      <w:r w:rsidR="007A2CDE">
        <w:rPr>
          <w:rFonts w:ascii="Cambria" w:hAnsi="Cambria"/>
          <w:sz w:val="24"/>
          <w:szCs w:val="24"/>
        </w:rPr>
        <w:t>, ktor</w:t>
      </w:r>
      <w:r w:rsidR="00F45E27">
        <w:rPr>
          <w:rFonts w:ascii="Cambria" w:hAnsi="Cambria"/>
          <w:sz w:val="24"/>
          <w:szCs w:val="24"/>
        </w:rPr>
        <w:t xml:space="preserve">á je aktuálne riešená v opatrení </w:t>
      </w:r>
      <w:r w:rsidR="00F45E27" w:rsidRPr="00F45E27">
        <w:rPr>
          <w:rFonts w:ascii="Cambria" w:hAnsi="Cambria"/>
          <w:sz w:val="24"/>
          <w:szCs w:val="24"/>
        </w:rPr>
        <w:t xml:space="preserve">Národnej banky Slovenska </w:t>
      </w:r>
      <w:r w:rsidR="006F2CF8">
        <w:rPr>
          <w:rFonts w:ascii="Cambria" w:hAnsi="Cambria"/>
          <w:sz w:val="24"/>
          <w:szCs w:val="24"/>
        </w:rPr>
        <w:t xml:space="preserve">zo 14. júla 2015 </w:t>
      </w:r>
      <w:r w:rsidR="00F45E27" w:rsidRPr="00F45E27">
        <w:rPr>
          <w:rFonts w:ascii="Cambria" w:hAnsi="Cambria"/>
          <w:sz w:val="24"/>
          <w:szCs w:val="24"/>
        </w:rPr>
        <w:t xml:space="preserve">č. 6/2015 o solventnosti pre poisťovne, na ktoré sa neuplatňuje osobitný režim, a pre zaisťovne, pobočky zahraničných poisťovní a pobočky zahraničných zaisťovní (oznámenie č. 182/2015 Z. z.) v znení opatrenia </w:t>
      </w:r>
      <w:r w:rsidR="006F2CF8">
        <w:rPr>
          <w:rFonts w:ascii="Cambria" w:hAnsi="Cambria"/>
          <w:sz w:val="24"/>
          <w:szCs w:val="24"/>
        </w:rPr>
        <w:t xml:space="preserve">z 8. novembra 2022 </w:t>
      </w:r>
      <w:r w:rsidR="00F45E27" w:rsidRPr="00F45E27">
        <w:rPr>
          <w:rFonts w:ascii="Cambria" w:hAnsi="Cambria"/>
          <w:sz w:val="24"/>
          <w:szCs w:val="24"/>
        </w:rPr>
        <w:t>č. 8/2022 (oznámenie č. 387/2022 Z. z.)</w:t>
      </w:r>
      <w:r w:rsidR="000169FB">
        <w:rPr>
          <w:rFonts w:ascii="Cambria" w:hAnsi="Cambria"/>
          <w:sz w:val="24"/>
          <w:szCs w:val="24"/>
        </w:rPr>
        <w:t>.</w:t>
      </w:r>
    </w:p>
    <w:p w14:paraId="40028BD4" w14:textId="77777777" w:rsidR="000169FB" w:rsidRDefault="000169FB" w:rsidP="00B040F1">
      <w:pPr>
        <w:jc w:val="both"/>
        <w:rPr>
          <w:rFonts w:ascii="Cambria" w:hAnsi="Cambria"/>
          <w:sz w:val="24"/>
          <w:szCs w:val="24"/>
        </w:rPr>
      </w:pPr>
    </w:p>
    <w:p w14:paraId="731039BC" w14:textId="7F0D5C7F" w:rsidR="000169FB" w:rsidRPr="000169FB" w:rsidRDefault="000169FB" w:rsidP="00B040F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Ú</w:t>
      </w:r>
      <w:r w:rsidRPr="000169FB">
        <w:rPr>
          <w:rFonts w:ascii="Cambria" w:hAnsi="Cambria"/>
          <w:sz w:val="24"/>
          <w:szCs w:val="24"/>
        </w:rPr>
        <w:t>prava súm</w:t>
      </w:r>
      <w:r>
        <w:rPr>
          <w:rFonts w:ascii="Cambria" w:hAnsi="Cambria"/>
          <w:sz w:val="24"/>
          <w:szCs w:val="24"/>
        </w:rPr>
        <w:t xml:space="preserve"> v opatrení, ktoré bude zrušené,</w:t>
      </w:r>
      <w:r w:rsidR="00131A1F">
        <w:rPr>
          <w:rFonts w:ascii="Cambria" w:hAnsi="Cambria"/>
          <w:sz w:val="24"/>
          <w:szCs w:val="24"/>
        </w:rPr>
        <w:t xml:space="preserve"> bola</w:t>
      </w:r>
      <w:r w:rsidRPr="000169FB">
        <w:rPr>
          <w:rFonts w:ascii="Cambria" w:hAnsi="Cambria"/>
          <w:sz w:val="24"/>
          <w:szCs w:val="24"/>
        </w:rPr>
        <w:t xml:space="preserve"> nastavená v súlade s oznámením o úprave súm stanovených v smernici Európskeho parlamentu a Rady 2009/138/ES o začatí a vykonávaní poistenia a zaistenia (Solventnosť II) podľa inflácie, ktoré bolo uverejnené </w:t>
      </w:r>
      <w:r w:rsidRPr="000169FB">
        <w:rPr>
          <w:rFonts w:ascii="Cambria" w:hAnsi="Cambria"/>
          <w:sz w:val="24"/>
          <w:szCs w:val="24"/>
        </w:rPr>
        <w:lastRenderedPageBreak/>
        <w:t>Európskou komisiou v Úradnom vestníku Európskej únie (2021/C 423/12).</w:t>
      </w:r>
    </w:p>
    <w:p w14:paraId="6165B155" w14:textId="77777777" w:rsidR="00213209" w:rsidRDefault="00213209" w:rsidP="00B040F1">
      <w:pPr>
        <w:jc w:val="both"/>
        <w:rPr>
          <w:rFonts w:ascii="Cambria" w:hAnsi="Cambria"/>
          <w:sz w:val="24"/>
          <w:szCs w:val="24"/>
        </w:rPr>
      </w:pPr>
    </w:p>
    <w:p w14:paraId="5CDF7E2C" w14:textId="132E3339" w:rsidR="00B040F1" w:rsidRDefault="00131A1F" w:rsidP="00B040F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Je potrebné, aby sumy boli v súlade so smernicou Solventnosť II a oznámením uverejneným Európskou komisiou naďalej nastavené aj v slovenskom právnom poriadku, konkrétne v opatrení Národnej banky Slovenska. </w:t>
      </w:r>
    </w:p>
    <w:p w14:paraId="4E459A0B" w14:textId="77777777" w:rsidR="000169FB" w:rsidRDefault="000169FB" w:rsidP="00B040F1">
      <w:pPr>
        <w:jc w:val="both"/>
        <w:rPr>
          <w:rFonts w:ascii="Cambria" w:hAnsi="Cambria"/>
          <w:sz w:val="24"/>
          <w:szCs w:val="24"/>
        </w:rPr>
      </w:pPr>
    </w:p>
    <w:p w14:paraId="4FA77783" w14:textId="77777777" w:rsidR="00131A1F" w:rsidRPr="00EA515B" w:rsidRDefault="00131A1F" w:rsidP="00B040F1">
      <w:pPr>
        <w:jc w:val="both"/>
        <w:rPr>
          <w:rFonts w:ascii="Cambria" w:hAnsi="Cambria"/>
          <w:sz w:val="24"/>
          <w:szCs w:val="24"/>
        </w:rPr>
      </w:pPr>
    </w:p>
    <w:p w14:paraId="1A3CE894" w14:textId="1AF7F123" w:rsidR="00D271A5" w:rsidRPr="00B040F1" w:rsidRDefault="00213209" w:rsidP="00D271A5">
      <w:pPr>
        <w:widowControl/>
        <w:numPr>
          <w:ilvl w:val="0"/>
          <w:numId w:val="1"/>
        </w:numPr>
        <w:suppressAutoHyphens w:val="0"/>
        <w:autoSpaceDN/>
        <w:ind w:left="426" w:hanging="426"/>
        <w:jc w:val="both"/>
        <w:textAlignment w:val="auto"/>
        <w:rPr>
          <w:rFonts w:ascii="Cambria" w:hAnsi="Cambria"/>
          <w:b/>
          <w:sz w:val="24"/>
          <w:szCs w:val="24"/>
        </w:rPr>
      </w:pPr>
      <w:r w:rsidRPr="00EA515B">
        <w:rPr>
          <w:rFonts w:ascii="Cambria" w:hAnsi="Cambria"/>
          <w:b/>
          <w:sz w:val="24"/>
          <w:szCs w:val="24"/>
        </w:rPr>
        <w:t>Zhodnotenie súčasného stavu:</w:t>
      </w:r>
    </w:p>
    <w:p w14:paraId="14F87FDF" w14:textId="24DDBA07" w:rsidR="007A2CDE" w:rsidRDefault="00B040F1" w:rsidP="00D271A5">
      <w:pPr>
        <w:widowControl/>
        <w:suppressAutoHyphens w:val="0"/>
        <w:autoSpaceDN/>
        <w:jc w:val="both"/>
        <w:textAlignment w:val="auto"/>
        <w:rPr>
          <w:rFonts w:ascii="Cambria" w:hAnsi="Cambria"/>
          <w:bCs/>
          <w:sz w:val="24"/>
          <w:szCs w:val="24"/>
        </w:rPr>
      </w:pPr>
      <w:r w:rsidRPr="00B040F1">
        <w:rPr>
          <w:rFonts w:ascii="Cambria" w:hAnsi="Cambria"/>
          <w:bCs/>
          <w:sz w:val="24"/>
          <w:szCs w:val="24"/>
        </w:rPr>
        <w:t>Miera nákladov na držbu použiteľných vlastných zdrojov</w:t>
      </w:r>
      <w:r>
        <w:rPr>
          <w:rFonts w:ascii="Cambria" w:hAnsi="Cambria"/>
          <w:bCs/>
          <w:sz w:val="24"/>
          <w:szCs w:val="24"/>
        </w:rPr>
        <w:t xml:space="preserve"> je</w:t>
      </w:r>
      <w:r w:rsidR="000169FB">
        <w:rPr>
          <w:rFonts w:ascii="Cambria" w:hAnsi="Cambria"/>
          <w:bCs/>
          <w:sz w:val="24"/>
          <w:szCs w:val="24"/>
        </w:rPr>
        <w:t xml:space="preserve"> v súčasnosti</w:t>
      </w:r>
      <w:r w:rsidRPr="00B040F1">
        <w:rPr>
          <w:rFonts w:ascii="Cambria" w:hAnsi="Cambria"/>
          <w:bCs/>
          <w:sz w:val="24"/>
          <w:szCs w:val="24"/>
        </w:rPr>
        <w:t xml:space="preserve"> u</w:t>
      </w:r>
      <w:r w:rsidR="00EF3078">
        <w:rPr>
          <w:rFonts w:ascii="Cambria" w:hAnsi="Cambria"/>
          <w:bCs/>
          <w:sz w:val="24"/>
          <w:szCs w:val="24"/>
        </w:rPr>
        <w:t xml:space="preserve">pravená  </w:t>
      </w:r>
      <w:r>
        <w:rPr>
          <w:rFonts w:ascii="Cambria" w:hAnsi="Cambria"/>
          <w:bCs/>
          <w:sz w:val="24"/>
          <w:szCs w:val="24"/>
        </w:rPr>
        <w:t>d</w:t>
      </w:r>
      <w:r w:rsidRPr="00B040F1">
        <w:rPr>
          <w:rFonts w:ascii="Cambria" w:hAnsi="Cambria"/>
          <w:bCs/>
          <w:sz w:val="24"/>
          <w:szCs w:val="24"/>
        </w:rPr>
        <w:t>elegovan</w:t>
      </w:r>
      <w:r>
        <w:rPr>
          <w:rFonts w:ascii="Cambria" w:hAnsi="Cambria"/>
          <w:bCs/>
          <w:sz w:val="24"/>
          <w:szCs w:val="24"/>
        </w:rPr>
        <w:t>ým</w:t>
      </w:r>
      <w:r w:rsidRPr="00B040F1">
        <w:rPr>
          <w:rFonts w:ascii="Cambria" w:hAnsi="Cambria"/>
          <w:bCs/>
          <w:sz w:val="24"/>
          <w:szCs w:val="24"/>
        </w:rPr>
        <w:t xml:space="preserve"> nariaden</w:t>
      </w:r>
      <w:r>
        <w:rPr>
          <w:rFonts w:ascii="Cambria" w:hAnsi="Cambria"/>
          <w:bCs/>
          <w:sz w:val="24"/>
          <w:szCs w:val="24"/>
        </w:rPr>
        <w:t>ím</w:t>
      </w:r>
      <w:r w:rsidRPr="00B040F1">
        <w:rPr>
          <w:rFonts w:ascii="Cambria" w:hAnsi="Cambria"/>
          <w:bCs/>
          <w:sz w:val="24"/>
          <w:szCs w:val="24"/>
        </w:rPr>
        <w:t xml:space="preserve"> Komisie (EÚ) č. 2015/35 z 10. októbra 2014, ktorým sa dopĺňa smernica Európskeho parlamentu a Rady 2009/138/ES o začatí a vykonávaní poistenia a zaistenia (Solventnosť II) (Ú. v. EÚ L 12, 17. 1. 2015)</w:t>
      </w:r>
      <w:r w:rsidR="007A2CDE">
        <w:rPr>
          <w:rFonts w:ascii="Cambria" w:hAnsi="Cambria"/>
          <w:bCs/>
          <w:sz w:val="24"/>
          <w:szCs w:val="24"/>
        </w:rPr>
        <w:t xml:space="preserve"> a bude uplatňovaná do 29. januára 2027. </w:t>
      </w:r>
    </w:p>
    <w:p w14:paraId="63278302" w14:textId="77777777" w:rsidR="00B040F1" w:rsidRPr="00B040F1" w:rsidRDefault="00B040F1" w:rsidP="00D271A5">
      <w:pPr>
        <w:widowControl/>
        <w:suppressAutoHyphens w:val="0"/>
        <w:autoSpaceDN/>
        <w:jc w:val="both"/>
        <w:textAlignment w:val="auto"/>
        <w:rPr>
          <w:rFonts w:ascii="Cambria" w:hAnsi="Cambria"/>
          <w:bCs/>
          <w:sz w:val="24"/>
          <w:szCs w:val="24"/>
        </w:rPr>
      </w:pPr>
    </w:p>
    <w:p w14:paraId="3E08A4DA" w14:textId="1773CBD8" w:rsidR="00A0039D" w:rsidRDefault="00D271A5" w:rsidP="00213209">
      <w:pPr>
        <w:jc w:val="both"/>
        <w:rPr>
          <w:rFonts w:ascii="Cambria" w:hAnsi="Cambria"/>
          <w:sz w:val="24"/>
          <w:szCs w:val="24"/>
        </w:rPr>
      </w:pPr>
      <w:r w:rsidRPr="00D271A5">
        <w:rPr>
          <w:rFonts w:ascii="Cambria" w:hAnsi="Cambria"/>
          <w:bCs/>
          <w:sz w:val="24"/>
          <w:szCs w:val="24"/>
        </w:rPr>
        <w:t xml:space="preserve">Absolútnu spodnú hranicu minimálnej kapitálovej požiadavky na solventnosť poisťovne, zaisťovne, pobočky zahraničnej poisťovne a pobočky zahraničnej zaisťovne </w:t>
      </w:r>
      <w:r w:rsidR="00157CD5">
        <w:rPr>
          <w:rFonts w:ascii="Cambria" w:hAnsi="Cambria"/>
          <w:bCs/>
          <w:sz w:val="24"/>
          <w:szCs w:val="24"/>
        </w:rPr>
        <w:t xml:space="preserve">aktuálne </w:t>
      </w:r>
      <w:r>
        <w:rPr>
          <w:rFonts w:ascii="Cambria" w:hAnsi="Cambria"/>
          <w:bCs/>
          <w:sz w:val="24"/>
          <w:szCs w:val="24"/>
        </w:rPr>
        <w:t xml:space="preserve"> uprav</w:t>
      </w:r>
      <w:r w:rsidR="00157CD5">
        <w:rPr>
          <w:rFonts w:ascii="Cambria" w:hAnsi="Cambria"/>
          <w:bCs/>
          <w:sz w:val="24"/>
          <w:szCs w:val="24"/>
        </w:rPr>
        <w:t>uje</w:t>
      </w:r>
      <w:r>
        <w:rPr>
          <w:rFonts w:ascii="Cambria" w:hAnsi="Cambria"/>
          <w:bCs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opatrenie </w:t>
      </w:r>
      <w:r w:rsidRPr="00D050D4">
        <w:rPr>
          <w:rFonts w:ascii="Cambria" w:hAnsi="Cambria"/>
          <w:sz w:val="24"/>
          <w:szCs w:val="24"/>
        </w:rPr>
        <w:t>Národnej banky Slovenska</w:t>
      </w:r>
      <w:r w:rsidR="00D44ECB">
        <w:rPr>
          <w:rFonts w:ascii="Cambria" w:hAnsi="Cambria"/>
          <w:sz w:val="24"/>
          <w:szCs w:val="24"/>
        </w:rPr>
        <w:t xml:space="preserve"> zo 14. júla 2015</w:t>
      </w:r>
      <w:r w:rsidRPr="00D050D4">
        <w:rPr>
          <w:rFonts w:ascii="Cambria" w:hAnsi="Cambria"/>
          <w:sz w:val="24"/>
          <w:szCs w:val="24"/>
        </w:rPr>
        <w:t xml:space="preserve"> </w:t>
      </w:r>
      <w:r w:rsidRPr="00A0039D">
        <w:rPr>
          <w:rFonts w:ascii="Cambria" w:hAnsi="Cambria"/>
          <w:sz w:val="24"/>
          <w:szCs w:val="24"/>
        </w:rPr>
        <w:t xml:space="preserve">č. 6/2015 o solventnosti pre poisťovne, na ktoré sa neuplatňuje osobitný režim, a pre zaisťovne, pobočky zahraničných poisťovní a pobočky zahraničných zaisťovní (oznámenie č. 182/2015 Z. z.) v znení opatrenia </w:t>
      </w:r>
      <w:r w:rsidR="00D44ECB">
        <w:rPr>
          <w:rFonts w:ascii="Cambria" w:hAnsi="Cambria"/>
          <w:sz w:val="24"/>
          <w:szCs w:val="24"/>
        </w:rPr>
        <w:t xml:space="preserve">z 8. novembra </w:t>
      </w:r>
      <w:r w:rsidRPr="00A0039D">
        <w:rPr>
          <w:rFonts w:ascii="Cambria" w:hAnsi="Cambria"/>
          <w:sz w:val="24"/>
          <w:szCs w:val="24"/>
        </w:rPr>
        <w:t>č. 8/2022 (oznámenie č. 387/2022 Z. z.)</w:t>
      </w:r>
      <w:r>
        <w:rPr>
          <w:rFonts w:ascii="Cambria" w:hAnsi="Cambria"/>
          <w:sz w:val="24"/>
          <w:szCs w:val="24"/>
        </w:rPr>
        <w:t>, ktoré však bude zruše</w:t>
      </w:r>
      <w:r w:rsidR="00157CD5">
        <w:rPr>
          <w:rFonts w:ascii="Cambria" w:hAnsi="Cambria"/>
          <w:sz w:val="24"/>
          <w:szCs w:val="24"/>
        </w:rPr>
        <w:t>né</w:t>
      </w:r>
      <w:r w:rsidR="00D44ECB">
        <w:rPr>
          <w:rFonts w:ascii="Cambria" w:hAnsi="Cambria"/>
          <w:sz w:val="24"/>
          <w:szCs w:val="24"/>
        </w:rPr>
        <w:t>,</w:t>
      </w:r>
      <w:r w:rsidR="000169FB">
        <w:rPr>
          <w:rFonts w:ascii="Cambria" w:hAnsi="Cambria"/>
          <w:sz w:val="24"/>
          <w:szCs w:val="24"/>
        </w:rPr>
        <w:t xml:space="preserve"> pretože</w:t>
      </w:r>
      <w:r w:rsidR="00E4611B">
        <w:rPr>
          <w:rFonts w:ascii="Cambria" w:hAnsi="Cambria"/>
          <w:sz w:val="24"/>
          <w:szCs w:val="24"/>
        </w:rPr>
        <w:t xml:space="preserve"> s</w:t>
      </w:r>
      <w:r w:rsidR="00157CD5">
        <w:rPr>
          <w:rFonts w:ascii="Cambria" w:hAnsi="Cambria"/>
          <w:sz w:val="24"/>
          <w:szCs w:val="24"/>
        </w:rPr>
        <w:t>účasťou návrhu zákona</w:t>
      </w:r>
      <w:r w:rsidR="00157CD5" w:rsidRPr="00D271A5">
        <w:rPr>
          <w:rFonts w:ascii="Cambria" w:hAnsi="Cambria"/>
          <w:sz w:val="24"/>
          <w:szCs w:val="24"/>
        </w:rPr>
        <w:t>, ktorým sa mení a dopĺňa zákon č. 39/2015 Z. z. o poisťovníctve a o zmene a doplnení niektorých zákonov v znení neskorších predpisov</w:t>
      </w:r>
      <w:r w:rsidR="00157CD5">
        <w:rPr>
          <w:rFonts w:ascii="Cambria" w:hAnsi="Cambria"/>
          <w:sz w:val="24"/>
          <w:szCs w:val="24"/>
        </w:rPr>
        <w:t xml:space="preserve"> je </w:t>
      </w:r>
      <w:r w:rsidR="00D44ECB">
        <w:rPr>
          <w:rFonts w:ascii="Cambria" w:hAnsi="Cambria"/>
          <w:sz w:val="24"/>
          <w:szCs w:val="24"/>
        </w:rPr>
        <w:t xml:space="preserve">v </w:t>
      </w:r>
      <w:r w:rsidR="00D44ECB" w:rsidRPr="00E62A8D">
        <w:rPr>
          <w:rFonts w:ascii="Cambria" w:hAnsi="Cambria"/>
          <w:sz w:val="24"/>
          <w:szCs w:val="24"/>
        </w:rPr>
        <w:t xml:space="preserve">§ 207b </w:t>
      </w:r>
      <w:r w:rsidR="00D44ECB">
        <w:rPr>
          <w:rFonts w:ascii="Cambria" w:hAnsi="Cambria"/>
          <w:sz w:val="24"/>
          <w:szCs w:val="24"/>
        </w:rPr>
        <w:t xml:space="preserve">aj </w:t>
      </w:r>
      <w:r w:rsidR="00157CD5">
        <w:rPr>
          <w:rFonts w:ascii="Cambria" w:hAnsi="Cambria"/>
          <w:sz w:val="24"/>
          <w:szCs w:val="24"/>
        </w:rPr>
        <w:t>z</w:t>
      </w:r>
      <w:r w:rsidR="00157CD5" w:rsidRPr="00E62A8D">
        <w:rPr>
          <w:rFonts w:ascii="Cambria" w:hAnsi="Cambria"/>
          <w:sz w:val="24"/>
          <w:szCs w:val="24"/>
        </w:rPr>
        <w:t>rušovacie ustanovenie účinné od 30. januára 2027</w:t>
      </w:r>
      <w:r w:rsidR="00157CD5">
        <w:rPr>
          <w:rFonts w:ascii="Cambria" w:hAnsi="Cambria"/>
          <w:sz w:val="24"/>
          <w:szCs w:val="24"/>
        </w:rPr>
        <w:t>, ktorým sa z</w:t>
      </w:r>
      <w:r w:rsidR="00157CD5" w:rsidRPr="00E62A8D">
        <w:rPr>
          <w:rFonts w:ascii="Cambria" w:hAnsi="Cambria"/>
          <w:sz w:val="24"/>
          <w:szCs w:val="24"/>
        </w:rPr>
        <w:t xml:space="preserve">rušuje </w:t>
      </w:r>
      <w:r w:rsidR="000169FB">
        <w:rPr>
          <w:rFonts w:ascii="Cambria" w:hAnsi="Cambria"/>
          <w:sz w:val="24"/>
          <w:szCs w:val="24"/>
        </w:rPr>
        <w:t>toto opatrenie.</w:t>
      </w:r>
    </w:p>
    <w:p w14:paraId="1C27ADDA" w14:textId="77777777" w:rsidR="00A0039D" w:rsidRDefault="00A0039D" w:rsidP="00213209">
      <w:pPr>
        <w:jc w:val="both"/>
        <w:rPr>
          <w:rFonts w:ascii="Cambria" w:hAnsi="Cambria"/>
          <w:sz w:val="24"/>
          <w:szCs w:val="24"/>
        </w:rPr>
      </w:pPr>
    </w:p>
    <w:p w14:paraId="305B88D0" w14:textId="77777777" w:rsidR="00A0039D" w:rsidRPr="00EA515B" w:rsidRDefault="00A0039D" w:rsidP="00213209">
      <w:pPr>
        <w:jc w:val="both"/>
        <w:rPr>
          <w:rFonts w:ascii="Cambria" w:hAnsi="Cambria"/>
          <w:sz w:val="24"/>
          <w:szCs w:val="24"/>
        </w:rPr>
      </w:pPr>
    </w:p>
    <w:p w14:paraId="6CFA7201" w14:textId="77777777" w:rsidR="00213209" w:rsidRDefault="00213209" w:rsidP="00213209">
      <w:pPr>
        <w:pStyle w:val="Odsekzoznamu"/>
        <w:widowControl/>
        <w:numPr>
          <w:ilvl w:val="0"/>
          <w:numId w:val="1"/>
        </w:numPr>
        <w:suppressAutoHyphens w:val="0"/>
        <w:autoSpaceDN/>
        <w:ind w:left="426" w:hanging="426"/>
        <w:jc w:val="both"/>
        <w:textAlignment w:val="auto"/>
        <w:rPr>
          <w:rFonts w:ascii="Cambria" w:hAnsi="Cambria"/>
          <w:b/>
          <w:sz w:val="24"/>
          <w:szCs w:val="24"/>
        </w:rPr>
      </w:pPr>
      <w:r w:rsidRPr="00EA515B">
        <w:rPr>
          <w:rFonts w:ascii="Cambria" w:hAnsi="Cambria"/>
          <w:b/>
          <w:sz w:val="24"/>
          <w:szCs w:val="24"/>
        </w:rPr>
        <w:t>Spôsob zapojenia verejnosti do prípravy právneho predpisu:</w:t>
      </w:r>
    </w:p>
    <w:p w14:paraId="5EF47FA1" w14:textId="77777777" w:rsidR="00213209" w:rsidRPr="00EA515B" w:rsidRDefault="00213209" w:rsidP="00213209">
      <w:pPr>
        <w:pStyle w:val="Odsekzoznamu"/>
        <w:widowControl/>
        <w:suppressAutoHyphens w:val="0"/>
        <w:autoSpaceDN/>
        <w:ind w:left="426"/>
        <w:jc w:val="both"/>
        <w:textAlignment w:val="auto"/>
        <w:rPr>
          <w:rFonts w:ascii="Cambria" w:hAnsi="Cambria"/>
          <w:b/>
          <w:sz w:val="24"/>
          <w:szCs w:val="24"/>
        </w:rPr>
      </w:pPr>
    </w:p>
    <w:p w14:paraId="64D139A6" w14:textId="1B601D02" w:rsidR="00213209" w:rsidRPr="00785CC4" w:rsidRDefault="00213209" w:rsidP="00213209">
      <w:pPr>
        <w:jc w:val="both"/>
        <w:rPr>
          <w:rFonts w:ascii="Cambria" w:hAnsi="Cambria"/>
          <w:b/>
          <w:bCs/>
          <w:sz w:val="24"/>
          <w:szCs w:val="24"/>
        </w:rPr>
      </w:pPr>
      <w:r w:rsidRPr="00EA515B">
        <w:rPr>
          <w:rFonts w:ascii="Cambria" w:hAnsi="Cambria"/>
          <w:sz w:val="24"/>
          <w:szCs w:val="24"/>
        </w:rPr>
        <w:t xml:space="preserve">Verejnosť sa môže zapojiť do prípravy právneho predpisu formou zasielania podnetov, či návrhov v intenciách vecného zamerania podľa bodu 2. </w:t>
      </w:r>
    </w:p>
    <w:p w14:paraId="499D804D" w14:textId="77777777" w:rsidR="00213209" w:rsidRDefault="00213209" w:rsidP="00213209">
      <w:pPr>
        <w:jc w:val="both"/>
        <w:rPr>
          <w:rFonts w:ascii="Cambria" w:hAnsi="Cambria"/>
          <w:sz w:val="24"/>
          <w:szCs w:val="24"/>
        </w:rPr>
      </w:pPr>
    </w:p>
    <w:p w14:paraId="02A2C22F" w14:textId="77777777" w:rsidR="00A0039D" w:rsidRPr="00EA515B" w:rsidRDefault="00A0039D" w:rsidP="00213209">
      <w:pPr>
        <w:jc w:val="both"/>
        <w:rPr>
          <w:rFonts w:ascii="Cambria" w:hAnsi="Cambria"/>
          <w:sz w:val="24"/>
          <w:szCs w:val="24"/>
        </w:rPr>
      </w:pPr>
    </w:p>
    <w:p w14:paraId="2816DAE3" w14:textId="41123795" w:rsidR="00213209" w:rsidRPr="00EA515B" w:rsidRDefault="00213209" w:rsidP="00213209">
      <w:pPr>
        <w:rPr>
          <w:rFonts w:ascii="Cambria" w:hAnsi="Cambria"/>
          <w:sz w:val="24"/>
          <w:szCs w:val="24"/>
        </w:rPr>
      </w:pPr>
      <w:r w:rsidRPr="00EA515B">
        <w:rPr>
          <w:rFonts w:ascii="Cambria" w:hAnsi="Cambria"/>
          <w:sz w:val="24"/>
          <w:szCs w:val="24"/>
        </w:rPr>
        <w:t>Kontaktné údaje:</w:t>
      </w:r>
    </w:p>
    <w:p w14:paraId="6E949667" w14:textId="4AA54343" w:rsidR="00213209" w:rsidRPr="00EA515B" w:rsidRDefault="00213209" w:rsidP="00213209">
      <w:pPr>
        <w:ind w:right="-142"/>
        <w:jc w:val="both"/>
        <w:rPr>
          <w:rFonts w:ascii="Cambria" w:hAnsi="Cambria"/>
          <w:sz w:val="24"/>
          <w:szCs w:val="24"/>
        </w:rPr>
      </w:pPr>
      <w:r w:rsidRPr="00EA515B">
        <w:rPr>
          <w:rFonts w:ascii="Cambria" w:hAnsi="Cambria"/>
          <w:sz w:val="24"/>
          <w:szCs w:val="24"/>
        </w:rPr>
        <w:t xml:space="preserve">Národná banka Slovenska </w:t>
      </w:r>
    </w:p>
    <w:p w14:paraId="5FF580C5" w14:textId="49D96DCA" w:rsidR="00631877" w:rsidRPr="00631877" w:rsidRDefault="00631877" w:rsidP="00631877">
      <w:pPr>
        <w:ind w:right="-142"/>
        <w:jc w:val="both"/>
        <w:rPr>
          <w:rFonts w:ascii="Cambria" w:hAnsi="Cambria"/>
          <w:sz w:val="24"/>
          <w:szCs w:val="24"/>
        </w:rPr>
      </w:pPr>
      <w:r w:rsidRPr="00631877">
        <w:rPr>
          <w:rFonts w:ascii="Cambria" w:hAnsi="Cambria"/>
          <w:sz w:val="24"/>
          <w:szCs w:val="24"/>
        </w:rPr>
        <w:t>Odbor dohľadu nad poisťovníctvom a dôchodkovým sporením</w:t>
      </w:r>
    </w:p>
    <w:p w14:paraId="555ADFD5" w14:textId="6859E94B" w:rsidR="00213209" w:rsidRPr="00EA515B" w:rsidRDefault="00631877" w:rsidP="00631877">
      <w:pPr>
        <w:ind w:right="-142"/>
        <w:jc w:val="both"/>
        <w:rPr>
          <w:rFonts w:ascii="Cambria" w:hAnsi="Cambria"/>
          <w:sz w:val="24"/>
          <w:szCs w:val="24"/>
        </w:rPr>
      </w:pPr>
      <w:r w:rsidRPr="00631877">
        <w:rPr>
          <w:rFonts w:ascii="Cambria" w:hAnsi="Cambria"/>
          <w:sz w:val="24"/>
          <w:szCs w:val="24"/>
        </w:rPr>
        <w:t>Oddelenie regulácie a medzinárodnej koordinácie</w:t>
      </w:r>
    </w:p>
    <w:p w14:paraId="1A49D64F" w14:textId="77777777" w:rsidR="00213209" w:rsidRPr="00EA515B" w:rsidRDefault="00213209" w:rsidP="00213209">
      <w:pPr>
        <w:ind w:right="-142"/>
        <w:jc w:val="both"/>
        <w:rPr>
          <w:rFonts w:ascii="Cambria" w:hAnsi="Cambria"/>
          <w:sz w:val="24"/>
          <w:szCs w:val="24"/>
        </w:rPr>
      </w:pPr>
      <w:r w:rsidRPr="00EA515B">
        <w:rPr>
          <w:rFonts w:ascii="Cambria" w:hAnsi="Cambria"/>
          <w:sz w:val="24"/>
          <w:szCs w:val="24"/>
        </w:rPr>
        <w:t xml:space="preserve">Imricha </w:t>
      </w:r>
      <w:proofErr w:type="spellStart"/>
      <w:r w:rsidRPr="00EA515B">
        <w:rPr>
          <w:rFonts w:ascii="Cambria" w:hAnsi="Cambria"/>
          <w:sz w:val="24"/>
          <w:szCs w:val="24"/>
        </w:rPr>
        <w:t>Karvaša</w:t>
      </w:r>
      <w:proofErr w:type="spellEnd"/>
      <w:r w:rsidRPr="00EA515B">
        <w:rPr>
          <w:rFonts w:ascii="Cambria" w:hAnsi="Cambria"/>
          <w:sz w:val="24"/>
          <w:szCs w:val="24"/>
        </w:rPr>
        <w:t xml:space="preserve"> 1</w:t>
      </w:r>
    </w:p>
    <w:p w14:paraId="1DAF45B4" w14:textId="77777777" w:rsidR="00213209" w:rsidRPr="00EA515B" w:rsidRDefault="00213209" w:rsidP="00213209">
      <w:pPr>
        <w:ind w:right="-142"/>
        <w:jc w:val="both"/>
        <w:rPr>
          <w:rFonts w:ascii="Cambria" w:hAnsi="Cambria"/>
          <w:sz w:val="24"/>
          <w:szCs w:val="24"/>
        </w:rPr>
      </w:pPr>
      <w:r w:rsidRPr="00EA515B">
        <w:rPr>
          <w:rFonts w:ascii="Cambria" w:hAnsi="Cambria"/>
          <w:sz w:val="24"/>
          <w:szCs w:val="24"/>
        </w:rPr>
        <w:t>813 25 Bratislava</w:t>
      </w:r>
    </w:p>
    <w:p w14:paraId="103CCAD1" w14:textId="5CC0F8EC" w:rsidR="00213209" w:rsidRPr="00631877" w:rsidRDefault="00213209" w:rsidP="00213209">
      <w:pPr>
        <w:rPr>
          <w:rFonts w:ascii="Cambria" w:hAnsi="Cambria"/>
          <w:sz w:val="24"/>
          <w:szCs w:val="24"/>
          <w:bdr w:val="none" w:sz="0" w:space="0" w:color="auto" w:frame="1"/>
          <w:shd w:val="clear" w:color="auto" w:fill="FFFFFF"/>
        </w:rPr>
      </w:pPr>
      <w:r w:rsidRPr="00EA515B">
        <w:rPr>
          <w:rFonts w:ascii="Cambria" w:hAnsi="Cambria"/>
          <w:sz w:val="24"/>
          <w:szCs w:val="24"/>
        </w:rPr>
        <w:t xml:space="preserve">email: </w:t>
      </w:r>
      <w:hyperlink r:id="rId8" w:history="1">
        <w:r w:rsidR="00631877" w:rsidRPr="0078610E">
          <w:rPr>
            <w:rStyle w:val="Hypertextovprepojenie"/>
            <w:rFonts w:ascii="Cambria" w:hAnsi="Cambria"/>
            <w:bCs/>
            <w:sz w:val="24"/>
            <w:szCs w:val="24"/>
          </w:rPr>
          <w:t>oznamopk@nbs.sk</w:t>
        </w:r>
      </w:hyperlink>
    </w:p>
    <w:p w14:paraId="39B75B61" w14:textId="77777777" w:rsidR="00631877" w:rsidRDefault="00631877" w:rsidP="00213209">
      <w:pPr>
        <w:rPr>
          <w:rFonts w:ascii="Cambria" w:hAnsi="Cambria"/>
          <w:b/>
          <w:sz w:val="24"/>
          <w:szCs w:val="24"/>
        </w:rPr>
      </w:pPr>
    </w:p>
    <w:p w14:paraId="5A2FB7C1" w14:textId="77777777" w:rsidR="00A0039D" w:rsidRPr="00EA515B" w:rsidRDefault="00A0039D" w:rsidP="00213209">
      <w:pPr>
        <w:rPr>
          <w:rFonts w:ascii="Cambria" w:hAnsi="Cambria"/>
          <w:b/>
          <w:sz w:val="24"/>
          <w:szCs w:val="24"/>
        </w:rPr>
      </w:pPr>
    </w:p>
    <w:p w14:paraId="073D75CB" w14:textId="77777777" w:rsidR="00213209" w:rsidRPr="00EA515B" w:rsidRDefault="00213209" w:rsidP="00213209">
      <w:pPr>
        <w:rPr>
          <w:rFonts w:ascii="Cambria" w:hAnsi="Cambria"/>
          <w:sz w:val="24"/>
          <w:szCs w:val="24"/>
        </w:rPr>
      </w:pPr>
      <w:r w:rsidRPr="00EA515B">
        <w:rPr>
          <w:rFonts w:ascii="Cambria" w:hAnsi="Cambria"/>
          <w:b/>
          <w:sz w:val="24"/>
          <w:szCs w:val="24"/>
        </w:rPr>
        <w:t>5.  Predpokladaný termín začatia pripomienkového konania:</w:t>
      </w:r>
    </w:p>
    <w:p w14:paraId="5BDC9342" w14:textId="505FDCEF" w:rsidR="00213209" w:rsidRPr="00EA515B" w:rsidRDefault="00840A0A" w:rsidP="00213209">
      <w:pPr>
        <w:rPr>
          <w:rFonts w:ascii="Cambria" w:hAnsi="Cambria"/>
          <w:sz w:val="24"/>
          <w:szCs w:val="24"/>
        </w:rPr>
      </w:pPr>
      <w:r w:rsidRPr="00840A0A">
        <w:rPr>
          <w:rFonts w:ascii="Cambria" w:hAnsi="Cambria"/>
          <w:sz w:val="24"/>
          <w:szCs w:val="24"/>
        </w:rPr>
        <w:t xml:space="preserve">október </w:t>
      </w:r>
      <w:r w:rsidR="00213209" w:rsidRPr="00840A0A">
        <w:rPr>
          <w:rFonts w:ascii="Cambria" w:hAnsi="Cambria"/>
          <w:sz w:val="24"/>
          <w:szCs w:val="24"/>
        </w:rPr>
        <w:t>2026</w:t>
      </w:r>
    </w:p>
    <w:p w14:paraId="42BB5349" w14:textId="77777777" w:rsidR="00FF04B5" w:rsidRPr="00564381" w:rsidRDefault="00FF04B5" w:rsidP="00B42F36"/>
    <w:sectPr w:rsidR="00FF04B5" w:rsidRPr="0056438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54B97" w14:textId="77777777" w:rsidR="00745B0B" w:rsidRDefault="00745B0B" w:rsidP="0009480D">
      <w:r>
        <w:separator/>
      </w:r>
    </w:p>
  </w:endnote>
  <w:endnote w:type="continuationSeparator" w:id="0">
    <w:p w14:paraId="7212B03B" w14:textId="77777777" w:rsidR="00745B0B" w:rsidRDefault="00745B0B" w:rsidP="00094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3A66F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962F8" w14:textId="77777777" w:rsidR="00745B0B" w:rsidRDefault="00745B0B" w:rsidP="0009480D">
      <w:r>
        <w:separator/>
      </w:r>
    </w:p>
  </w:footnote>
  <w:footnote w:type="continuationSeparator" w:id="0">
    <w:p w14:paraId="4865A73F" w14:textId="77777777" w:rsidR="00745B0B" w:rsidRDefault="00745B0B" w:rsidP="000948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E0C04"/>
    <w:multiLevelType w:val="hybridMultilevel"/>
    <w:tmpl w:val="8674959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51818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209"/>
    <w:rsid w:val="000169FB"/>
    <w:rsid w:val="00093AE1"/>
    <w:rsid w:val="0009480D"/>
    <w:rsid w:val="00127EAD"/>
    <w:rsid w:val="00130860"/>
    <w:rsid w:val="00131A1F"/>
    <w:rsid w:val="00157CD5"/>
    <w:rsid w:val="001663B6"/>
    <w:rsid w:val="001A694C"/>
    <w:rsid w:val="001D01FE"/>
    <w:rsid w:val="001D5F9F"/>
    <w:rsid w:val="002072F8"/>
    <w:rsid w:val="00213209"/>
    <w:rsid w:val="00225679"/>
    <w:rsid w:val="002B4CD0"/>
    <w:rsid w:val="00362DFB"/>
    <w:rsid w:val="003636B5"/>
    <w:rsid w:val="0037379A"/>
    <w:rsid w:val="00373A50"/>
    <w:rsid w:val="00386485"/>
    <w:rsid w:val="00392F01"/>
    <w:rsid w:val="003B3F97"/>
    <w:rsid w:val="004100B0"/>
    <w:rsid w:val="00445B18"/>
    <w:rsid w:val="004D7E2D"/>
    <w:rsid w:val="005316F2"/>
    <w:rsid w:val="00564381"/>
    <w:rsid w:val="005939CC"/>
    <w:rsid w:val="005A1CD3"/>
    <w:rsid w:val="00631877"/>
    <w:rsid w:val="006470E3"/>
    <w:rsid w:val="006F2CF8"/>
    <w:rsid w:val="00745B0B"/>
    <w:rsid w:val="007516CB"/>
    <w:rsid w:val="007640DE"/>
    <w:rsid w:val="00782367"/>
    <w:rsid w:val="00787300"/>
    <w:rsid w:val="007A2CDE"/>
    <w:rsid w:val="00840A0A"/>
    <w:rsid w:val="008F35A2"/>
    <w:rsid w:val="009841D6"/>
    <w:rsid w:val="009943CC"/>
    <w:rsid w:val="009A6FA0"/>
    <w:rsid w:val="00A0039D"/>
    <w:rsid w:val="00A12284"/>
    <w:rsid w:val="00A719D6"/>
    <w:rsid w:val="00B040F1"/>
    <w:rsid w:val="00B31C02"/>
    <w:rsid w:val="00B42F36"/>
    <w:rsid w:val="00BA4BE5"/>
    <w:rsid w:val="00BB2701"/>
    <w:rsid w:val="00BC1FE7"/>
    <w:rsid w:val="00C35E8A"/>
    <w:rsid w:val="00C90D8E"/>
    <w:rsid w:val="00CB7C08"/>
    <w:rsid w:val="00D271A5"/>
    <w:rsid w:val="00D44ECB"/>
    <w:rsid w:val="00DB4BEC"/>
    <w:rsid w:val="00E269F7"/>
    <w:rsid w:val="00E4611B"/>
    <w:rsid w:val="00E62A8D"/>
    <w:rsid w:val="00EF3078"/>
    <w:rsid w:val="00F412EA"/>
    <w:rsid w:val="00F45E27"/>
    <w:rsid w:val="00FE29B3"/>
    <w:rsid w:val="00FF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901A9"/>
  <w15:chartTrackingRefBased/>
  <w15:docId w15:val="{00C8E609-A2E7-4CC5-BCA3-42665210E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rsid w:val="0021320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9841D6"/>
    <w:pPr>
      <w:keepNext/>
      <w:keepLines/>
      <w:spacing w:before="240"/>
      <w:outlineLvl w:val="0"/>
    </w:pPr>
    <w:rPr>
      <w:rFonts w:ascii="Verdana" w:eastAsiaTheme="majorEastAsia" w:hAnsi="Verdana" w:cstheme="majorBidi"/>
      <w:color w:val="0067AC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841D6"/>
    <w:pPr>
      <w:keepNext/>
      <w:keepLines/>
      <w:spacing w:before="120" w:after="240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841D6"/>
    <w:pPr>
      <w:keepNext/>
      <w:keepLines/>
      <w:spacing w:before="240"/>
      <w:outlineLvl w:val="2"/>
    </w:pPr>
    <w:rPr>
      <w:rFonts w:ascii="Verdana" w:eastAsiaTheme="majorEastAsia" w:hAnsi="Verdana" w:cstheme="majorBidi"/>
      <w:color w:val="0067AC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2132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04C80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2132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04C80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21320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21320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21320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21320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Bezriadkovania">
    <w:name w:val="No Spacing"/>
    <w:uiPriority w:val="1"/>
    <w:rsid w:val="005316F2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09480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9480D"/>
  </w:style>
  <w:style w:type="paragraph" w:styleId="Pta">
    <w:name w:val="footer"/>
    <w:basedOn w:val="Normlny"/>
    <w:link w:val="PtaChar"/>
    <w:uiPriority w:val="99"/>
    <w:unhideWhenUsed/>
    <w:rsid w:val="0009480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9480D"/>
  </w:style>
  <w:style w:type="paragraph" w:customStyle="1" w:styleId="Paticka">
    <w:name w:val="Paticka"/>
    <w:basedOn w:val="Pta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Pta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Predvolenpsmoodseku"/>
    <w:link w:val="Poznamka"/>
    <w:rsid w:val="0009480D"/>
    <w:rPr>
      <w:rFonts w:ascii="Verdana" w:hAnsi="Verdana"/>
      <w:sz w:val="1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213209"/>
    <w:rPr>
      <w:rFonts w:asciiTheme="minorHAnsi" w:eastAsiaTheme="majorEastAsia" w:hAnsiTheme="minorHAnsi" w:cstheme="majorBidi"/>
      <w:i/>
      <w:iCs/>
      <w:color w:val="004C80" w:themeColor="accent1" w:themeShade="BF"/>
      <w:sz w:val="22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213209"/>
    <w:rPr>
      <w:rFonts w:asciiTheme="minorHAnsi" w:eastAsiaTheme="majorEastAsia" w:hAnsiTheme="minorHAnsi" w:cstheme="majorBidi"/>
      <w:color w:val="004C80" w:themeColor="accent1" w:themeShade="BF"/>
      <w:sz w:val="22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213209"/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213209"/>
    <w:rPr>
      <w:rFonts w:asciiTheme="minorHAnsi" w:eastAsiaTheme="majorEastAsia" w:hAnsiTheme="minorHAnsi" w:cstheme="majorBidi"/>
      <w:color w:val="595959" w:themeColor="text1" w:themeTint="A6"/>
      <w:sz w:val="22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213209"/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213209"/>
    <w:rPr>
      <w:rFonts w:asciiTheme="minorHAnsi" w:eastAsiaTheme="majorEastAsia" w:hAnsiTheme="minorHAnsi" w:cstheme="majorBidi"/>
      <w:color w:val="272727" w:themeColor="text1" w:themeTint="D8"/>
      <w:sz w:val="22"/>
    </w:rPr>
  </w:style>
  <w:style w:type="paragraph" w:styleId="Nzov">
    <w:name w:val="Title"/>
    <w:basedOn w:val="Normlny"/>
    <w:next w:val="Normlny"/>
    <w:link w:val="NzovChar"/>
    <w:uiPriority w:val="10"/>
    <w:qFormat/>
    <w:rsid w:val="002132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2132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21320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21320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21320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213209"/>
    <w:rPr>
      <w:i/>
      <w:iCs/>
      <w:color w:val="404040" w:themeColor="text1" w:themeTint="BF"/>
      <w:sz w:val="22"/>
    </w:rPr>
  </w:style>
  <w:style w:type="paragraph" w:styleId="Odsekzoznamu">
    <w:name w:val="List Paragraph"/>
    <w:basedOn w:val="Normlny"/>
    <w:uiPriority w:val="34"/>
    <w:qFormat/>
    <w:rsid w:val="00213209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213209"/>
    <w:rPr>
      <w:i/>
      <w:iCs/>
      <w:color w:val="004C80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213209"/>
    <w:pPr>
      <w:pBdr>
        <w:top w:val="single" w:sz="4" w:space="10" w:color="004C80" w:themeColor="accent1" w:themeShade="BF"/>
        <w:bottom w:val="single" w:sz="4" w:space="10" w:color="004C80" w:themeColor="accent1" w:themeShade="BF"/>
      </w:pBdr>
      <w:spacing w:before="360" w:after="360"/>
      <w:ind w:left="864" w:right="864"/>
      <w:jc w:val="center"/>
    </w:pPr>
    <w:rPr>
      <w:i/>
      <w:iCs/>
      <w:color w:val="004C80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213209"/>
    <w:rPr>
      <w:i/>
      <w:iCs/>
      <w:color w:val="004C80" w:themeColor="accent1" w:themeShade="BF"/>
      <w:sz w:val="22"/>
    </w:rPr>
  </w:style>
  <w:style w:type="character" w:styleId="Zvraznenodkaz">
    <w:name w:val="Intense Reference"/>
    <w:basedOn w:val="Predvolenpsmoodseku"/>
    <w:uiPriority w:val="32"/>
    <w:qFormat/>
    <w:rsid w:val="00213209"/>
    <w:rPr>
      <w:b/>
      <w:bCs/>
      <w:smallCaps/>
      <w:color w:val="004C80" w:themeColor="accent1" w:themeShade="BF"/>
      <w:spacing w:val="5"/>
    </w:rPr>
  </w:style>
  <w:style w:type="character" w:styleId="Hypertextovprepojenie">
    <w:name w:val="Hyperlink"/>
    <w:uiPriority w:val="99"/>
    <w:unhideWhenUsed/>
    <w:rsid w:val="00213209"/>
    <w:rPr>
      <w:color w:val="0000FF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31877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6F2CF8"/>
    <w:pPr>
      <w:spacing w:after="0" w:line="240" w:lineRule="auto"/>
    </w:pPr>
    <w:rPr>
      <w:rFonts w:ascii="Calibri" w:eastAsia="Calibri" w:hAnsi="Calibri" w:cs="Times New Roman"/>
      <w:kern w:val="3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D44EC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D44ECB"/>
  </w:style>
  <w:style w:type="character" w:customStyle="1" w:styleId="TextkomentraChar">
    <w:name w:val="Text komentára Char"/>
    <w:basedOn w:val="Predvolenpsmoodseku"/>
    <w:link w:val="Textkomentra"/>
    <w:uiPriority w:val="99"/>
    <w:rsid w:val="00D44ECB"/>
    <w:rPr>
      <w:rFonts w:ascii="Calibri" w:eastAsia="Calibri" w:hAnsi="Calibri" w:cs="Times New Roman"/>
      <w:kern w:val="3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44E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44ECB"/>
    <w:rPr>
      <w:rFonts w:ascii="Calibri" w:eastAsia="Calibri" w:hAnsi="Calibri" w:cs="Times New Roman"/>
      <w:b/>
      <w:bCs/>
      <w:kern w:val="3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znamopk@nbs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Pavlíková Katarína</dc:creator>
  <cp:keywords/>
  <dc:description/>
  <cp:lastModifiedBy>Pavlíková Katarína</cp:lastModifiedBy>
  <cp:revision>7</cp:revision>
  <dcterms:created xsi:type="dcterms:W3CDTF">2026-08-12T09:38:00Z</dcterms:created>
  <dcterms:modified xsi:type="dcterms:W3CDTF">2026-08-13T09:23:00Z</dcterms:modified>
</cp:coreProperties>
</file>