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DDD79" w14:textId="3CF58BB9" w:rsidR="00981A67" w:rsidRPr="00BF0640" w:rsidRDefault="00D11F1C" w:rsidP="007545CB">
      <w:pPr>
        <w:pStyle w:val="Heading1"/>
        <w:keepNext w:val="0"/>
        <w:ind w:right="400"/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3.</w:t>
      </w:r>
    </w:p>
    <w:p w14:paraId="01564E04" w14:textId="618A2F1B" w:rsidR="001F23D5" w:rsidRPr="00BF0640" w:rsidRDefault="001A671D" w:rsidP="00C6520D">
      <w:pPr>
        <w:pStyle w:val="Heading1"/>
        <w:keepNext w:val="0"/>
        <w:rPr>
          <w:rFonts w:ascii="Verdana" w:hAnsi="Verdana"/>
          <w:color w:val="000000" w:themeColor="text1"/>
          <w:sz w:val="20"/>
          <w:szCs w:val="20"/>
        </w:rPr>
      </w:pPr>
      <w:r w:rsidRPr="00BF0640">
        <w:rPr>
          <w:rFonts w:ascii="Verdana" w:hAnsi="Verdana"/>
          <w:color w:val="000000" w:themeColor="text1"/>
          <w:sz w:val="20"/>
          <w:szCs w:val="20"/>
        </w:rPr>
        <w:t>Dôvodová správa</w:t>
      </w:r>
    </w:p>
    <w:p w14:paraId="46AB0D96" w14:textId="77777777" w:rsidR="00891986" w:rsidRDefault="00891986" w:rsidP="00C6520D">
      <w:pPr>
        <w:rPr>
          <w:rFonts w:ascii="Cambria" w:hAnsi="Cambria"/>
          <w:color w:val="000000" w:themeColor="text1"/>
          <w:sz w:val="22"/>
          <w:szCs w:val="22"/>
        </w:rPr>
      </w:pPr>
    </w:p>
    <w:p w14:paraId="330E545A" w14:textId="77777777" w:rsidR="009C0541" w:rsidRDefault="009C0541" w:rsidP="00C6520D">
      <w:pPr>
        <w:rPr>
          <w:rFonts w:ascii="Cambria" w:hAnsi="Cambria"/>
          <w:color w:val="000000" w:themeColor="text1"/>
          <w:sz w:val="22"/>
          <w:szCs w:val="22"/>
        </w:rPr>
      </w:pPr>
    </w:p>
    <w:p w14:paraId="5B4A57CB" w14:textId="77777777" w:rsidR="009C0541" w:rsidRPr="000C08E9" w:rsidRDefault="009C0541" w:rsidP="00C6520D">
      <w:pPr>
        <w:rPr>
          <w:rFonts w:ascii="Cambria" w:hAnsi="Cambria"/>
          <w:color w:val="000000" w:themeColor="text1"/>
          <w:sz w:val="22"/>
          <w:szCs w:val="22"/>
        </w:rPr>
      </w:pPr>
    </w:p>
    <w:p w14:paraId="5F640D99" w14:textId="77777777" w:rsidR="001F23D5" w:rsidRPr="00BF0640" w:rsidRDefault="001F23D5" w:rsidP="00C6520D">
      <w:pPr>
        <w:pStyle w:val="Heading2"/>
        <w:keepNext w:val="0"/>
        <w:rPr>
          <w:rFonts w:ascii="Verdana" w:hAnsi="Verdana"/>
          <w:color w:val="000000" w:themeColor="text1"/>
          <w:sz w:val="20"/>
          <w:szCs w:val="20"/>
        </w:rPr>
      </w:pPr>
      <w:r w:rsidRPr="00BF0640">
        <w:rPr>
          <w:rFonts w:ascii="Verdana" w:hAnsi="Verdana"/>
          <w:color w:val="000000" w:themeColor="text1"/>
          <w:sz w:val="20"/>
          <w:szCs w:val="20"/>
        </w:rPr>
        <w:t>A. Všeobecná časť</w:t>
      </w:r>
    </w:p>
    <w:p w14:paraId="4EA57B77" w14:textId="77777777" w:rsidR="00333EBA" w:rsidRDefault="00333EBA" w:rsidP="00C6520D">
      <w:pPr>
        <w:rPr>
          <w:rFonts w:ascii="Cambria" w:hAnsi="Cambria"/>
          <w:color w:val="000000" w:themeColor="text1"/>
          <w:sz w:val="22"/>
          <w:szCs w:val="22"/>
        </w:rPr>
      </w:pPr>
      <w:bookmarkStart w:id="0" w:name="_Hlk6307102"/>
    </w:p>
    <w:p w14:paraId="3CC882AE" w14:textId="02838F24" w:rsidR="00333EBA" w:rsidRPr="008F21E4" w:rsidRDefault="00333EBA" w:rsidP="00C6520D">
      <w:pPr>
        <w:ind w:firstLine="720"/>
        <w:rPr>
          <w:rFonts w:ascii="Cambria" w:hAnsi="Cambria"/>
          <w:sz w:val="22"/>
          <w:szCs w:val="22"/>
        </w:rPr>
      </w:pPr>
      <w:r w:rsidRPr="008F21E4">
        <w:rPr>
          <w:rFonts w:ascii="Cambria" w:hAnsi="Cambria"/>
          <w:sz w:val="22"/>
          <w:szCs w:val="22"/>
        </w:rPr>
        <w:t>Predloženým návrhom opatrenia Národnej banky Slovenska (ďalej len „návrh opatrenia“) sa mení opatrenie Národnej banky Slovenska z 12. decembra 2017 č. 13/2017 o predkladaní výkazov, hlásení a iných správ bankami a pobočkami zahraničných bánk na účely vykonávania dohľadu v znení neskorších predpisov. Návrh opatrenia je vypracovaný na základe splnomocňovacích ustanovení § 42 ods. 2 a § 45 ods. 3 zákona č. 483/2001 Z. z. o bankách a o zmene a doplnení niektorých zákonov v znení neskorších predpisov.</w:t>
      </w:r>
    </w:p>
    <w:p w14:paraId="734A295F" w14:textId="77777777" w:rsidR="00333EBA" w:rsidRPr="008F21E4" w:rsidRDefault="00333EBA" w:rsidP="00C6520D">
      <w:pPr>
        <w:rPr>
          <w:rFonts w:ascii="Cambria" w:hAnsi="Cambria"/>
          <w:sz w:val="22"/>
          <w:szCs w:val="22"/>
        </w:rPr>
      </w:pPr>
    </w:p>
    <w:p w14:paraId="7F220B62" w14:textId="3856FB61" w:rsidR="00333EBA" w:rsidRPr="008F21E4" w:rsidRDefault="00333EBA" w:rsidP="00C6520D">
      <w:pPr>
        <w:ind w:firstLine="720"/>
        <w:rPr>
          <w:rFonts w:ascii="Cambria" w:hAnsi="Cambria"/>
          <w:sz w:val="22"/>
          <w:szCs w:val="22"/>
        </w:rPr>
      </w:pPr>
      <w:r w:rsidRPr="008F21E4">
        <w:rPr>
          <w:rFonts w:ascii="Cambria" w:hAnsi="Cambria"/>
          <w:sz w:val="22"/>
          <w:szCs w:val="22"/>
        </w:rPr>
        <w:t xml:space="preserve">Cieľom návrhu opatrenia je </w:t>
      </w:r>
      <w:r w:rsidR="00A03562">
        <w:rPr>
          <w:rFonts w:ascii="Cambria" w:hAnsi="Cambria"/>
          <w:sz w:val="22"/>
          <w:szCs w:val="22"/>
        </w:rPr>
        <w:t>vypustenie</w:t>
      </w:r>
      <w:r w:rsidR="00A03562" w:rsidRPr="008F21E4">
        <w:rPr>
          <w:rFonts w:ascii="Cambria" w:hAnsi="Cambria"/>
          <w:sz w:val="22"/>
          <w:szCs w:val="22"/>
        </w:rPr>
        <w:t xml:space="preserve"> </w:t>
      </w:r>
      <w:r w:rsidR="00A12143">
        <w:rPr>
          <w:rFonts w:ascii="Cambria" w:hAnsi="Cambria"/>
          <w:sz w:val="22"/>
          <w:szCs w:val="22"/>
        </w:rPr>
        <w:t>týchto</w:t>
      </w:r>
      <w:r w:rsidR="00A12143" w:rsidRPr="008F21E4">
        <w:rPr>
          <w:rFonts w:ascii="Cambria" w:hAnsi="Cambria"/>
          <w:sz w:val="22"/>
          <w:szCs w:val="22"/>
        </w:rPr>
        <w:t xml:space="preserve"> </w:t>
      </w:r>
      <w:r w:rsidRPr="008F21E4">
        <w:rPr>
          <w:rFonts w:ascii="Cambria" w:hAnsi="Cambria"/>
          <w:sz w:val="22"/>
          <w:szCs w:val="22"/>
        </w:rPr>
        <w:t>výkazov predkladaných bank</w:t>
      </w:r>
      <w:r>
        <w:rPr>
          <w:rFonts w:ascii="Cambria" w:hAnsi="Cambria"/>
          <w:sz w:val="22"/>
          <w:szCs w:val="22"/>
        </w:rPr>
        <w:t>ami so sídlom v Slovenskej republike</w:t>
      </w:r>
      <w:r w:rsidRPr="008F21E4">
        <w:rPr>
          <w:rFonts w:ascii="Cambria" w:hAnsi="Cambria"/>
          <w:sz w:val="22"/>
          <w:szCs w:val="22"/>
        </w:rPr>
        <w:t>:</w:t>
      </w:r>
    </w:p>
    <w:p w14:paraId="581BA1C4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/>
          <w:szCs w:val="22"/>
        </w:rPr>
      </w:pPr>
      <w:r w:rsidRPr="008F21E4">
        <w:rPr>
          <w:color w:val="000000"/>
          <w:szCs w:val="22"/>
        </w:rPr>
        <w:t>hlásenie o citlivosti na zmenu úrokových mier Bd (HUC) 53-04,</w:t>
      </w:r>
    </w:p>
    <w:p w14:paraId="3719BD16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/>
          <w:szCs w:val="22"/>
        </w:rPr>
      </w:pPr>
      <w:r w:rsidRPr="008F21E4">
        <w:rPr>
          <w:color w:val="000000"/>
          <w:szCs w:val="22"/>
        </w:rPr>
        <w:t>hlásenie o evidencii finančných aktív a finančných záväzkov Bd (ZPZ) 1-04,</w:t>
      </w:r>
    </w:p>
    <w:p w14:paraId="7177C982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color w:val="000000" w:themeColor="text1"/>
          <w:szCs w:val="22"/>
        </w:rPr>
        <w:t>hlásenie o plánoch financovania P_01, P_02, P_04, P_05 / Pk_01, Pk_02, Pk_04, Pk_05,</w:t>
      </w:r>
    </w:p>
    <w:p w14:paraId="1B7A7C3C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rFonts w:cs="Times New Roman"/>
          <w:color w:val="000000" w:themeColor="text1"/>
          <w:szCs w:val="22"/>
        </w:rPr>
        <w:t>hlásenie o spotrebiteľských úveroch Spo (SPU) 5-01,</w:t>
      </w:r>
    </w:p>
    <w:p w14:paraId="44FCD4F3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rFonts w:cs="Times New Roman"/>
          <w:color w:val="000000" w:themeColor="text1"/>
          <w:szCs w:val="22"/>
        </w:rPr>
        <w:t>hlásenie o iných úveroch Spo (INU) 6-01.</w:t>
      </w:r>
    </w:p>
    <w:p w14:paraId="32824F3C" w14:textId="77777777" w:rsidR="00333EBA" w:rsidRPr="008F21E4" w:rsidRDefault="00333EBA" w:rsidP="00C6520D">
      <w:pPr>
        <w:pStyle w:val="ListParagraph"/>
        <w:spacing w:after="0" w:line="240" w:lineRule="auto"/>
        <w:ind w:left="426" w:hanging="426"/>
        <w:jc w:val="both"/>
        <w:rPr>
          <w:color w:val="000000" w:themeColor="text1"/>
          <w:szCs w:val="22"/>
        </w:rPr>
      </w:pPr>
    </w:p>
    <w:p w14:paraId="4C268C49" w14:textId="3F1489C7" w:rsidR="00333EBA" w:rsidRPr="001120DD" w:rsidRDefault="00333EBA" w:rsidP="00C6520D">
      <w:pPr>
        <w:ind w:firstLine="720"/>
        <w:rPr>
          <w:color w:val="000000" w:themeColor="text1"/>
          <w:szCs w:val="22"/>
        </w:rPr>
      </w:pPr>
      <w:r w:rsidRPr="001120DD">
        <w:rPr>
          <w:rFonts w:ascii="Cambria" w:hAnsi="Cambria"/>
          <w:color w:val="000000" w:themeColor="text1"/>
          <w:sz w:val="22"/>
          <w:szCs w:val="22"/>
        </w:rPr>
        <w:t xml:space="preserve">Cieľom návrhu opatrenia je takisto </w:t>
      </w:r>
      <w:r w:rsidR="00A03562">
        <w:rPr>
          <w:rFonts w:ascii="Cambria" w:hAnsi="Cambria"/>
          <w:color w:val="000000" w:themeColor="text1"/>
          <w:sz w:val="22"/>
          <w:szCs w:val="22"/>
        </w:rPr>
        <w:t>vypustenie</w:t>
      </w:r>
      <w:r w:rsidR="00A03562" w:rsidRPr="001120DD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A12143">
        <w:rPr>
          <w:rFonts w:ascii="Cambria" w:hAnsi="Cambria"/>
          <w:color w:val="000000" w:themeColor="text1"/>
          <w:sz w:val="22"/>
          <w:szCs w:val="22"/>
        </w:rPr>
        <w:t>týchto</w:t>
      </w:r>
      <w:r w:rsidR="00A12143" w:rsidRPr="001120DD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Pr="001120DD">
        <w:rPr>
          <w:rFonts w:ascii="Cambria" w:hAnsi="Cambria"/>
          <w:color w:val="000000" w:themeColor="text1"/>
          <w:sz w:val="22"/>
          <w:szCs w:val="22"/>
        </w:rPr>
        <w:t>výkazov predkladaných pobočk</w:t>
      </w:r>
      <w:r>
        <w:rPr>
          <w:rFonts w:ascii="Cambria" w:hAnsi="Cambria"/>
          <w:color w:val="000000" w:themeColor="text1"/>
          <w:sz w:val="22"/>
          <w:szCs w:val="22"/>
        </w:rPr>
        <w:t>ami</w:t>
      </w:r>
      <w:r w:rsidRPr="001120DD">
        <w:rPr>
          <w:rFonts w:ascii="Cambria" w:hAnsi="Cambria"/>
          <w:color w:val="000000" w:themeColor="text1"/>
          <w:sz w:val="22"/>
          <w:szCs w:val="22"/>
        </w:rPr>
        <w:t xml:space="preserve"> zahraničn</w:t>
      </w:r>
      <w:r>
        <w:rPr>
          <w:rFonts w:ascii="Cambria" w:hAnsi="Cambria"/>
          <w:color w:val="000000" w:themeColor="text1"/>
          <w:sz w:val="22"/>
          <w:szCs w:val="22"/>
        </w:rPr>
        <w:t>ých</w:t>
      </w:r>
      <w:r w:rsidRPr="001120DD">
        <w:rPr>
          <w:rFonts w:ascii="Cambria" w:hAnsi="Cambria"/>
          <w:color w:val="000000" w:themeColor="text1"/>
          <w:sz w:val="22"/>
          <w:szCs w:val="22"/>
        </w:rPr>
        <w:t xml:space="preserve"> b</w:t>
      </w:r>
      <w:r>
        <w:rPr>
          <w:rFonts w:ascii="Cambria" w:hAnsi="Cambria"/>
          <w:color w:val="000000" w:themeColor="text1"/>
          <w:sz w:val="22"/>
          <w:szCs w:val="22"/>
        </w:rPr>
        <w:t>á</w:t>
      </w:r>
      <w:r w:rsidRPr="001120DD">
        <w:rPr>
          <w:rFonts w:ascii="Cambria" w:hAnsi="Cambria"/>
          <w:color w:val="000000" w:themeColor="text1"/>
          <w:sz w:val="22"/>
          <w:szCs w:val="22"/>
        </w:rPr>
        <w:t>nk</w:t>
      </w:r>
      <w:r>
        <w:rPr>
          <w:rFonts w:ascii="Cambria" w:hAnsi="Cambria"/>
          <w:color w:val="000000" w:themeColor="text1"/>
          <w:sz w:val="22"/>
          <w:szCs w:val="22"/>
        </w:rPr>
        <w:t xml:space="preserve"> usadených v Slovenskej republike</w:t>
      </w:r>
      <w:r w:rsidRPr="001120DD">
        <w:rPr>
          <w:rFonts w:ascii="Cambria" w:hAnsi="Cambria"/>
          <w:color w:val="000000" w:themeColor="text1"/>
          <w:sz w:val="22"/>
          <w:szCs w:val="22"/>
        </w:rPr>
        <w:t>:</w:t>
      </w:r>
    </w:p>
    <w:p w14:paraId="7DE09E0A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color w:val="000000" w:themeColor="text1"/>
          <w:szCs w:val="22"/>
        </w:rPr>
        <w:t>hlásenie o citlivosti na zmenu úrokových mier Bd (HUC) 53-04,</w:t>
      </w:r>
    </w:p>
    <w:p w14:paraId="2D1BD773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color w:val="000000" w:themeColor="text1"/>
          <w:szCs w:val="22"/>
        </w:rPr>
        <w:t>hlásenie o evidencii finančných aktív a finančných záväzkov Bd (ZPZ) 1-04,</w:t>
      </w:r>
    </w:p>
    <w:p w14:paraId="20252D52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rFonts w:cs="Times New Roman"/>
          <w:color w:val="000000" w:themeColor="text1"/>
          <w:szCs w:val="22"/>
        </w:rPr>
        <w:t>hlásenie o spotrebiteľských úveroch Spo (SPU) 5-01,</w:t>
      </w:r>
    </w:p>
    <w:p w14:paraId="4D4874C3" w14:textId="77777777" w:rsidR="00333EBA" w:rsidRPr="008F21E4" w:rsidRDefault="00333EBA" w:rsidP="00C6520D">
      <w:pPr>
        <w:pStyle w:val="ListParagraph"/>
        <w:numPr>
          <w:ilvl w:val="0"/>
          <w:numId w:val="18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 w:rsidRPr="008F21E4">
        <w:rPr>
          <w:rFonts w:cs="Times New Roman"/>
          <w:color w:val="000000" w:themeColor="text1"/>
          <w:szCs w:val="22"/>
        </w:rPr>
        <w:t>hlásenie o iných úveroch Spo (INU) 6-01.</w:t>
      </w:r>
    </w:p>
    <w:p w14:paraId="6FB42BBD" w14:textId="77777777" w:rsidR="00333EBA" w:rsidRPr="008F21E4" w:rsidRDefault="00333EBA" w:rsidP="00C6520D">
      <w:pPr>
        <w:rPr>
          <w:rFonts w:ascii="Cambria" w:hAnsi="Cambria"/>
          <w:sz w:val="22"/>
          <w:szCs w:val="22"/>
        </w:rPr>
      </w:pPr>
    </w:p>
    <w:p w14:paraId="6DFED5C3" w14:textId="74380F11" w:rsidR="00333EBA" w:rsidRPr="008F21E4" w:rsidRDefault="00333EBA" w:rsidP="00C6520D">
      <w:pPr>
        <w:ind w:firstLine="720"/>
        <w:rPr>
          <w:rFonts w:ascii="Cambria" w:hAnsi="Cambria"/>
          <w:sz w:val="22"/>
          <w:szCs w:val="22"/>
        </w:rPr>
      </w:pPr>
      <w:r w:rsidRPr="008F21E4">
        <w:rPr>
          <w:rFonts w:ascii="Cambria" w:hAnsi="Cambria"/>
          <w:color w:val="000000"/>
          <w:sz w:val="22"/>
          <w:szCs w:val="22"/>
        </w:rPr>
        <w:t>Uvedené hlásenia sa navrhuj</w:t>
      </w:r>
      <w:r w:rsidR="00115DDC">
        <w:rPr>
          <w:rFonts w:ascii="Cambria" w:hAnsi="Cambria"/>
          <w:color w:val="000000"/>
          <w:sz w:val="22"/>
          <w:szCs w:val="22"/>
        </w:rPr>
        <w:t>e</w:t>
      </w:r>
      <w:r w:rsidRPr="008F21E4">
        <w:rPr>
          <w:rFonts w:ascii="Cambria" w:hAnsi="Cambria"/>
          <w:color w:val="000000"/>
          <w:sz w:val="22"/>
          <w:szCs w:val="22"/>
        </w:rPr>
        <w:t xml:space="preserve"> </w:t>
      </w:r>
      <w:r w:rsidR="00A03562">
        <w:rPr>
          <w:rFonts w:ascii="Cambria" w:hAnsi="Cambria"/>
          <w:color w:val="000000"/>
          <w:sz w:val="22"/>
          <w:szCs w:val="22"/>
        </w:rPr>
        <w:t>vypustiť</w:t>
      </w:r>
      <w:r w:rsidR="00A03562" w:rsidRPr="008F21E4">
        <w:rPr>
          <w:rFonts w:ascii="Cambria" w:hAnsi="Cambria"/>
          <w:color w:val="000000"/>
          <w:sz w:val="22"/>
          <w:szCs w:val="22"/>
        </w:rPr>
        <w:t xml:space="preserve"> </w:t>
      </w:r>
      <w:r w:rsidRPr="008F21E4">
        <w:rPr>
          <w:rFonts w:ascii="Cambria" w:hAnsi="Cambria"/>
          <w:color w:val="000000"/>
          <w:sz w:val="22"/>
          <w:szCs w:val="22"/>
        </w:rPr>
        <w:t>z</w:t>
      </w:r>
      <w:r>
        <w:rPr>
          <w:rFonts w:ascii="Cambria" w:hAnsi="Cambria"/>
          <w:color w:val="000000"/>
          <w:sz w:val="22"/>
          <w:szCs w:val="22"/>
        </w:rPr>
        <w:t> </w:t>
      </w:r>
      <w:r w:rsidRPr="008F21E4">
        <w:rPr>
          <w:rFonts w:ascii="Cambria" w:hAnsi="Cambria"/>
          <w:color w:val="000000"/>
          <w:sz w:val="22"/>
          <w:szCs w:val="22"/>
        </w:rPr>
        <w:t>dôvodu</w:t>
      </w:r>
      <w:r>
        <w:rPr>
          <w:rFonts w:ascii="Cambria" w:hAnsi="Cambria"/>
          <w:color w:val="000000"/>
          <w:sz w:val="22"/>
          <w:szCs w:val="22"/>
        </w:rPr>
        <w:t xml:space="preserve"> duplicity</w:t>
      </w:r>
      <w:r w:rsidRPr="008F21E4">
        <w:rPr>
          <w:rFonts w:ascii="Cambria" w:hAnsi="Cambria"/>
          <w:color w:val="000000"/>
          <w:sz w:val="22"/>
          <w:szCs w:val="22"/>
        </w:rPr>
        <w:t xml:space="preserve">, </w:t>
      </w:r>
      <w:r>
        <w:rPr>
          <w:rFonts w:ascii="Cambria" w:hAnsi="Cambria"/>
          <w:color w:val="000000"/>
          <w:sz w:val="22"/>
          <w:szCs w:val="22"/>
        </w:rPr>
        <w:t>keď</w:t>
      </w:r>
      <w:r w:rsidRPr="008F21E4">
        <w:rPr>
          <w:rFonts w:ascii="Cambria" w:hAnsi="Cambria"/>
          <w:color w:val="000000"/>
          <w:sz w:val="22"/>
          <w:szCs w:val="22"/>
        </w:rPr>
        <w:t xml:space="preserve">že údaje v nich obsiahnuté </w:t>
      </w:r>
      <w:r w:rsidRPr="008F21E4">
        <w:rPr>
          <w:rFonts w:ascii="Cambria" w:hAnsi="Cambria"/>
          <w:sz w:val="22"/>
          <w:szCs w:val="22"/>
        </w:rPr>
        <w:t xml:space="preserve">sa vykazujú </w:t>
      </w:r>
      <w:r w:rsidR="00CE0B04">
        <w:rPr>
          <w:rFonts w:ascii="Cambria" w:hAnsi="Cambria"/>
          <w:sz w:val="22"/>
          <w:szCs w:val="22"/>
        </w:rPr>
        <w:t xml:space="preserve">a predkladajú </w:t>
      </w:r>
      <w:r w:rsidRPr="008F21E4">
        <w:rPr>
          <w:rFonts w:ascii="Cambria" w:hAnsi="Cambria"/>
          <w:sz w:val="22"/>
          <w:szCs w:val="22"/>
        </w:rPr>
        <w:t xml:space="preserve">prostredníctvom </w:t>
      </w:r>
      <w:r w:rsidR="00A03562">
        <w:rPr>
          <w:rFonts w:ascii="Cambria" w:hAnsi="Cambria"/>
          <w:sz w:val="22"/>
          <w:szCs w:val="22"/>
        </w:rPr>
        <w:t>v</w:t>
      </w:r>
      <w:r w:rsidR="00813F80" w:rsidRPr="00813F80">
        <w:rPr>
          <w:rFonts w:ascii="Cambria" w:hAnsi="Cambria"/>
          <w:sz w:val="22"/>
          <w:szCs w:val="22"/>
        </w:rPr>
        <w:t>ykonávacie</w:t>
      </w:r>
      <w:r w:rsidR="00CE0B04">
        <w:rPr>
          <w:rFonts w:ascii="Cambria" w:hAnsi="Cambria"/>
          <w:sz w:val="22"/>
          <w:szCs w:val="22"/>
        </w:rPr>
        <w:t>ho</w:t>
      </w:r>
      <w:r w:rsidR="00813F80" w:rsidRPr="00813F80">
        <w:rPr>
          <w:rFonts w:ascii="Cambria" w:hAnsi="Cambria"/>
          <w:sz w:val="22"/>
          <w:szCs w:val="22"/>
        </w:rPr>
        <w:t xml:space="preserve"> nariadeni</w:t>
      </w:r>
      <w:r w:rsidR="00CE0B04">
        <w:rPr>
          <w:rFonts w:ascii="Cambria" w:hAnsi="Cambria"/>
          <w:sz w:val="22"/>
          <w:szCs w:val="22"/>
        </w:rPr>
        <w:t>a</w:t>
      </w:r>
      <w:r w:rsidR="00813F80" w:rsidRPr="00813F80">
        <w:rPr>
          <w:rFonts w:ascii="Cambria" w:hAnsi="Cambria"/>
          <w:sz w:val="22"/>
          <w:szCs w:val="22"/>
        </w:rPr>
        <w:t xml:space="preserve"> Komisie (EÚ) 2021/451</w:t>
      </w:r>
      <w:r w:rsidR="00636FC5">
        <w:rPr>
          <w:rFonts w:ascii="Cambria" w:hAnsi="Cambria"/>
          <w:sz w:val="22"/>
          <w:szCs w:val="22"/>
        </w:rPr>
        <w:t xml:space="preserve"> v platnom znení</w:t>
      </w:r>
      <w:r w:rsidRPr="008F21E4">
        <w:rPr>
          <w:rStyle w:val="FootnoteReference"/>
          <w:rFonts w:ascii="Cambria" w:hAnsi="Cambria"/>
          <w:sz w:val="22"/>
          <w:szCs w:val="22"/>
        </w:rPr>
        <w:footnoteReference w:id="1"/>
      </w:r>
      <w:r>
        <w:rPr>
          <w:rFonts w:ascii="Cambria" w:hAnsi="Cambria"/>
          <w:sz w:val="22"/>
          <w:szCs w:val="22"/>
        </w:rPr>
        <w:t xml:space="preserve"> a takisto </w:t>
      </w:r>
      <w:r w:rsidRPr="008F21E4">
        <w:rPr>
          <w:rFonts w:ascii="Cambria" w:hAnsi="Cambria"/>
          <w:sz w:val="22"/>
          <w:szCs w:val="22"/>
        </w:rPr>
        <w:t xml:space="preserve">vzhľadom na </w:t>
      </w:r>
      <w:r>
        <w:rPr>
          <w:rFonts w:ascii="Cambria" w:hAnsi="Cambria"/>
          <w:sz w:val="22"/>
          <w:szCs w:val="22"/>
        </w:rPr>
        <w:t>zmenu</w:t>
      </w:r>
      <w:r w:rsidRPr="008F21E4">
        <w:rPr>
          <w:rFonts w:ascii="Cambria" w:hAnsi="Cambria"/>
          <w:sz w:val="22"/>
          <w:szCs w:val="22"/>
        </w:rPr>
        <w:t xml:space="preserve"> zákonnej úpravy</w:t>
      </w:r>
      <w:r>
        <w:rPr>
          <w:rFonts w:ascii="Cambria" w:hAnsi="Cambria"/>
          <w:sz w:val="22"/>
          <w:szCs w:val="22"/>
        </w:rPr>
        <w:t xml:space="preserve"> v oblasti spotrebiteľských úverov</w:t>
      </w:r>
      <w:r w:rsidRPr="008F21E4">
        <w:rPr>
          <w:rStyle w:val="FootnoteReference"/>
          <w:rFonts w:ascii="Cambria" w:hAnsi="Cambria"/>
          <w:sz w:val="22"/>
          <w:szCs w:val="22"/>
        </w:rPr>
        <w:footnoteReference w:id="2"/>
      </w:r>
      <w:r w:rsidRPr="008F21E4">
        <w:rPr>
          <w:rFonts w:ascii="Cambria" w:hAnsi="Cambria"/>
          <w:sz w:val="22"/>
          <w:szCs w:val="22"/>
        </w:rPr>
        <w:t>.</w:t>
      </w:r>
    </w:p>
    <w:p w14:paraId="177B46AA" w14:textId="77777777" w:rsidR="00682697" w:rsidRDefault="00682697" w:rsidP="00C6520D">
      <w:pPr>
        <w:pStyle w:val="Default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97106026"/>
      <w:bookmarkStart w:id="2" w:name="_Hlk52439072"/>
    </w:p>
    <w:bookmarkEnd w:id="1"/>
    <w:bookmarkEnd w:id="2"/>
    <w:p w14:paraId="0B9E6EF5" w14:textId="77777777" w:rsidR="00494E26" w:rsidRPr="00494E26" w:rsidRDefault="003678F5" w:rsidP="00C6520D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494E26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494E26">
        <w:rPr>
          <w:rFonts w:asciiTheme="majorHAnsi" w:hAnsiTheme="majorHAnsi"/>
          <w:color w:val="000000" w:themeColor="text1"/>
          <w:sz w:val="22"/>
          <w:szCs w:val="22"/>
          <w:u w:val="single"/>
        </w:rPr>
        <w:t>Hlásenie o citlivosti na zmenu úrokových mier</w:t>
      </w:r>
      <w:r w:rsidR="00A6707D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>slúži na zis</w:t>
      </w:r>
      <w:r w:rsidR="00966124" w:rsidRPr="00494E26">
        <w:rPr>
          <w:rFonts w:asciiTheme="majorHAnsi" w:hAnsiTheme="majorHAnsi"/>
          <w:color w:val="000000" w:themeColor="text1"/>
          <w:sz w:val="22"/>
          <w:szCs w:val="22"/>
        </w:rPr>
        <w:t>ťovanie,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ako zmeny úrokových mier ovplyvňujú </w:t>
      </w:r>
      <w:r w:rsidR="006B065A" w:rsidRPr="00494E26">
        <w:rPr>
          <w:rFonts w:asciiTheme="majorHAnsi" w:hAnsiTheme="majorHAnsi"/>
          <w:color w:val="000000" w:themeColor="text1"/>
          <w:sz w:val="22"/>
          <w:szCs w:val="22"/>
        </w:rPr>
        <w:t>hodnotu položiek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súvahových aktív</w:t>
      </w:r>
      <w:r w:rsidR="006B065A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a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pasív, podsúvahových aktív a pasív, najmä jej čistý úrokový výnos a hodnotu vlastného imania. Umožňuje NBS monitorovať úrokové riziko v bankovej knihe a hodnotiť finančnú stabilitu</w:t>
      </w:r>
      <w:r w:rsidR="005279A4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bankového sektora a tiež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slúži ako podklad</w:t>
      </w:r>
      <w:r w:rsidR="005279A4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na </w:t>
      </w:r>
      <w:r w:rsidR="005C53EE" w:rsidRPr="00494E26">
        <w:rPr>
          <w:rFonts w:asciiTheme="majorHAnsi" w:hAnsiTheme="majorHAnsi"/>
          <w:color w:val="000000" w:themeColor="text1"/>
          <w:sz w:val="22"/>
          <w:szCs w:val="22"/>
        </w:rPr>
        <w:t>stresové testy a overovanie interných modelov riadenia rizík.</w:t>
      </w:r>
    </w:p>
    <w:p w14:paraId="6B96C034" w14:textId="25A704B3" w:rsidR="003678F5" w:rsidRPr="00494E26" w:rsidRDefault="00494E26" w:rsidP="00C6520D">
      <w:pPr>
        <w:ind w:firstLine="720"/>
        <w:rPr>
          <w:rFonts w:asciiTheme="majorHAnsi" w:hAnsiTheme="majorHAnsi"/>
          <w:color w:val="000000" w:themeColor="text1"/>
          <w:sz w:val="22"/>
          <w:szCs w:val="22"/>
        </w:rPr>
      </w:pP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Údaje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v ňom 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 xml:space="preserve">obsiahnuté 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>s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ú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CE0B04">
        <w:rPr>
          <w:rFonts w:asciiTheme="majorHAnsi" w:hAnsiTheme="majorHAnsi"/>
          <w:color w:val="000000" w:themeColor="text1"/>
          <w:sz w:val="22"/>
          <w:szCs w:val="22"/>
        </w:rPr>
        <w:t>vypracúva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né</w:t>
      </w:r>
      <w:r w:rsidR="00CE0B04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 xml:space="preserve">a 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>predklada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né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aj na základe </w:t>
      </w:r>
      <w:r w:rsidR="00636FC5" w:rsidRPr="007B6547">
        <w:rPr>
          <w:rFonts w:ascii="Cambria" w:hAnsi="Cambria"/>
          <w:sz w:val="22"/>
          <w:szCs w:val="22"/>
        </w:rPr>
        <w:t>vykonávacieho nariadenia (EÚ) 2021/451</w:t>
      </w:r>
      <w:r w:rsidR="00636FC5">
        <w:rPr>
          <w:rFonts w:ascii="Cambria" w:hAnsi="Cambria"/>
          <w:sz w:val="22"/>
          <w:szCs w:val="22"/>
        </w:rPr>
        <w:t xml:space="preserve"> v platnom znení</w:t>
      </w:r>
      <w:r w:rsidR="00636FC5">
        <w:rPr>
          <w:rFonts w:asciiTheme="majorHAnsi" w:hAnsiTheme="majorHAnsi"/>
          <w:color w:val="000000" w:themeColor="text1"/>
          <w:sz w:val="22"/>
          <w:szCs w:val="22"/>
          <w:vertAlign w:val="superscript"/>
        </w:rPr>
        <w:t xml:space="preserve"> </w:t>
      </w:r>
      <w:r w:rsidRPr="00494E26">
        <w:rPr>
          <w:rFonts w:asciiTheme="majorHAnsi" w:hAnsiTheme="majorHAnsi"/>
          <w:color w:val="000000" w:themeColor="text1"/>
          <w:sz w:val="22"/>
          <w:szCs w:val="22"/>
          <w:vertAlign w:val="superscript"/>
        </w:rPr>
        <w:t>1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14:paraId="08CC5849" w14:textId="77777777" w:rsidR="003678F5" w:rsidRPr="00494E26" w:rsidRDefault="003678F5" w:rsidP="00C6520D">
      <w:pPr>
        <w:rPr>
          <w:rFonts w:asciiTheme="majorHAnsi" w:hAnsiTheme="majorHAnsi"/>
          <w:color w:val="000000" w:themeColor="text1"/>
          <w:sz w:val="22"/>
          <w:szCs w:val="22"/>
        </w:rPr>
      </w:pPr>
    </w:p>
    <w:p w14:paraId="4A95A8D2" w14:textId="38EC427E" w:rsidR="00EC69B0" w:rsidRPr="00494E26" w:rsidRDefault="00EC69B0" w:rsidP="00C6520D">
      <w:pPr>
        <w:rPr>
          <w:rFonts w:asciiTheme="majorHAnsi" w:hAnsiTheme="majorHAnsi"/>
          <w:color w:val="000000"/>
          <w:sz w:val="22"/>
          <w:szCs w:val="22"/>
        </w:rPr>
      </w:pPr>
      <w:r w:rsidRPr="00494E26">
        <w:rPr>
          <w:rFonts w:asciiTheme="majorHAnsi" w:hAnsiTheme="majorHAnsi"/>
          <w:color w:val="000000" w:themeColor="text1"/>
          <w:sz w:val="22"/>
          <w:szCs w:val="22"/>
        </w:rPr>
        <w:tab/>
      </w:r>
      <w:r w:rsidRPr="00494E26">
        <w:rPr>
          <w:rFonts w:asciiTheme="majorHAnsi" w:hAnsiTheme="majorHAnsi"/>
          <w:color w:val="000000" w:themeColor="text1"/>
          <w:sz w:val="22"/>
          <w:szCs w:val="22"/>
          <w:u w:val="single"/>
        </w:rPr>
        <w:t>V Hlásení o evidencii finančných aktív a finančných záväzkov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94E26">
        <w:rPr>
          <w:rFonts w:asciiTheme="majorHAnsi" w:hAnsiTheme="majorHAnsi"/>
          <w:color w:val="000000"/>
          <w:sz w:val="22"/>
          <w:szCs w:val="22"/>
        </w:rPr>
        <w:t xml:space="preserve">sa predkladajú informácie o jednotlivých zložkách majetku banky a pobočky zahraničnej banky, v členení podľa omeškania so splácaním pohľadávok a podľa výšky vytvorenej opravnej položky k nim. Útvaru dohľadu </w:t>
      </w:r>
      <w:r w:rsidR="00A03562">
        <w:rPr>
          <w:rFonts w:asciiTheme="majorHAnsi" w:hAnsiTheme="majorHAnsi"/>
          <w:color w:val="000000"/>
          <w:sz w:val="22"/>
          <w:szCs w:val="22"/>
        </w:rPr>
        <w:t xml:space="preserve">nad finančným trhom </w:t>
      </w:r>
      <w:r w:rsidRPr="00494E26">
        <w:rPr>
          <w:rFonts w:asciiTheme="majorHAnsi" w:hAnsiTheme="majorHAnsi"/>
          <w:color w:val="000000"/>
          <w:sz w:val="22"/>
          <w:szCs w:val="22"/>
        </w:rPr>
        <w:t xml:space="preserve">hlásenie slúži ako podklad na prípadnú podrobnejšiu analýzu stavu, ak údaje </w:t>
      </w:r>
      <w:r w:rsidR="006B065A" w:rsidRPr="00494E26">
        <w:rPr>
          <w:rFonts w:asciiTheme="majorHAnsi" w:hAnsiTheme="majorHAnsi"/>
          <w:color w:val="000000"/>
          <w:sz w:val="22"/>
          <w:szCs w:val="22"/>
        </w:rPr>
        <w:t xml:space="preserve">z výkazu </w:t>
      </w:r>
      <w:r w:rsidRPr="00494E26">
        <w:rPr>
          <w:rFonts w:asciiTheme="majorHAnsi" w:hAnsiTheme="majorHAnsi"/>
          <w:color w:val="000000"/>
          <w:sz w:val="22"/>
          <w:szCs w:val="22"/>
        </w:rPr>
        <w:t>naznačujú istú rozpornosť (napr. omeškanie so splácaním pohľadávok je viac ako 360 dní a vytvorená opravná položka k nim je vo výške iba 50 %).</w:t>
      </w:r>
    </w:p>
    <w:p w14:paraId="79F9F6A9" w14:textId="136C14E2" w:rsidR="00494E26" w:rsidRPr="00494E26" w:rsidRDefault="00494E26" w:rsidP="00C6520D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494E26">
        <w:rPr>
          <w:rFonts w:asciiTheme="majorHAnsi" w:hAnsiTheme="majorHAnsi"/>
          <w:color w:val="000000"/>
          <w:sz w:val="22"/>
          <w:szCs w:val="22"/>
        </w:rPr>
        <w:tab/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Údaje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v ňom obsiahnuté 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>s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ú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 xml:space="preserve">vypracúvané a 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>predklada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né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aj na základe </w:t>
      </w:r>
      <w:r w:rsidR="003A59D5" w:rsidRPr="007B6547">
        <w:rPr>
          <w:rFonts w:ascii="Cambria" w:hAnsi="Cambria"/>
          <w:sz w:val="22"/>
          <w:szCs w:val="22"/>
        </w:rPr>
        <w:t>vykonávacieho nariadenia (EÚ) 2021/451</w:t>
      </w:r>
      <w:r w:rsidR="003A59D5">
        <w:rPr>
          <w:rFonts w:ascii="Cambria" w:hAnsi="Cambria"/>
          <w:sz w:val="22"/>
          <w:szCs w:val="22"/>
        </w:rPr>
        <w:t xml:space="preserve"> v platnom znení</w:t>
      </w:r>
      <w:r w:rsidR="003A59D5" w:rsidRPr="00494E26" w:rsidDel="003A59D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94E26">
        <w:rPr>
          <w:rFonts w:asciiTheme="majorHAnsi" w:hAnsiTheme="majorHAnsi"/>
          <w:color w:val="000000" w:themeColor="text1"/>
          <w:sz w:val="22"/>
          <w:szCs w:val="22"/>
          <w:vertAlign w:val="superscript"/>
        </w:rPr>
        <w:t>1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14:paraId="1AC6443B" w14:textId="77777777" w:rsidR="00494E26" w:rsidRPr="00494E26" w:rsidRDefault="00494E26" w:rsidP="00C6520D">
      <w:pPr>
        <w:rPr>
          <w:rFonts w:asciiTheme="majorHAnsi" w:hAnsiTheme="majorHAnsi"/>
          <w:color w:val="000000"/>
          <w:sz w:val="22"/>
          <w:szCs w:val="22"/>
        </w:rPr>
      </w:pPr>
    </w:p>
    <w:p w14:paraId="063FBA3F" w14:textId="3469CB03" w:rsidR="003678F5" w:rsidRPr="00494E26" w:rsidRDefault="003678F5" w:rsidP="00C6520D">
      <w:pPr>
        <w:rPr>
          <w:rFonts w:asciiTheme="majorHAnsi" w:hAnsiTheme="majorHAnsi"/>
          <w:sz w:val="22"/>
          <w:szCs w:val="22"/>
        </w:rPr>
      </w:pPr>
      <w:r w:rsidRPr="00494E26">
        <w:rPr>
          <w:rFonts w:asciiTheme="majorHAnsi" w:hAnsiTheme="majorHAnsi"/>
          <w:color w:val="000000"/>
          <w:sz w:val="22"/>
          <w:szCs w:val="22"/>
        </w:rPr>
        <w:tab/>
      </w:r>
      <w:r w:rsidRPr="00494E26">
        <w:rPr>
          <w:rFonts w:asciiTheme="majorHAnsi" w:hAnsiTheme="majorHAnsi"/>
          <w:color w:val="000000"/>
          <w:sz w:val="22"/>
          <w:szCs w:val="22"/>
          <w:u w:val="single"/>
        </w:rPr>
        <w:t>Hláseni</w:t>
      </w:r>
      <w:r w:rsidR="00494E26" w:rsidRPr="00494E26">
        <w:rPr>
          <w:rFonts w:asciiTheme="majorHAnsi" w:hAnsiTheme="majorHAnsi"/>
          <w:color w:val="000000"/>
          <w:sz w:val="22"/>
          <w:szCs w:val="22"/>
          <w:u w:val="single"/>
        </w:rPr>
        <w:t>e</w:t>
      </w:r>
      <w:r w:rsidRPr="00494E26">
        <w:rPr>
          <w:rFonts w:asciiTheme="majorHAnsi" w:hAnsiTheme="majorHAnsi"/>
          <w:color w:val="000000"/>
          <w:sz w:val="22"/>
          <w:szCs w:val="22"/>
          <w:u w:val="single"/>
        </w:rPr>
        <w:t xml:space="preserve"> o plánoch financovania</w:t>
      </w:r>
      <w:r w:rsidR="0014153B" w:rsidRPr="00494E26">
        <w:rPr>
          <w:rFonts w:asciiTheme="majorHAnsi" w:hAnsiTheme="majorHAnsi"/>
          <w:color w:val="000000"/>
          <w:sz w:val="22"/>
          <w:szCs w:val="22"/>
        </w:rPr>
        <w:t xml:space="preserve"> má za cieľ zí</w:t>
      </w:r>
      <w:r w:rsidR="0014153B" w:rsidRPr="00494E26">
        <w:rPr>
          <w:rFonts w:asciiTheme="majorHAnsi" w:hAnsiTheme="majorHAnsi"/>
          <w:sz w:val="22"/>
          <w:szCs w:val="22"/>
        </w:rPr>
        <w:t>ska</w:t>
      </w:r>
      <w:r w:rsidR="00494E26" w:rsidRPr="00494E26">
        <w:rPr>
          <w:rFonts w:asciiTheme="majorHAnsi" w:hAnsiTheme="majorHAnsi"/>
          <w:sz w:val="22"/>
          <w:szCs w:val="22"/>
        </w:rPr>
        <w:t>va</w:t>
      </w:r>
      <w:r w:rsidR="0014153B" w:rsidRPr="00494E26">
        <w:rPr>
          <w:rFonts w:asciiTheme="majorHAnsi" w:hAnsiTheme="majorHAnsi"/>
          <w:sz w:val="22"/>
          <w:szCs w:val="22"/>
        </w:rPr>
        <w:t xml:space="preserve">ť prehľad o plánovanom vývoji položiek aktív a pasív, </w:t>
      </w:r>
      <w:r w:rsidR="00A03562">
        <w:rPr>
          <w:rFonts w:asciiTheme="majorHAnsi" w:hAnsiTheme="majorHAnsi"/>
          <w:sz w:val="22"/>
          <w:szCs w:val="22"/>
        </w:rPr>
        <w:t xml:space="preserve">o </w:t>
      </w:r>
      <w:r w:rsidR="0014153B" w:rsidRPr="00494E26">
        <w:rPr>
          <w:rFonts w:asciiTheme="majorHAnsi" w:hAnsiTheme="majorHAnsi"/>
          <w:sz w:val="22"/>
          <w:szCs w:val="22"/>
        </w:rPr>
        <w:t xml:space="preserve">ukazovateľoch likvidity, podchytiť menové nesúlady pri financovaní úverov a vkladov v troch najväčších menách, ako aj posúdiť uskutočniteľnosť plánovaného financovania a ich zmeny v horizonte </w:t>
      </w:r>
      <w:r w:rsidR="006B065A" w:rsidRPr="00494E26">
        <w:rPr>
          <w:rFonts w:asciiTheme="majorHAnsi" w:hAnsiTheme="majorHAnsi"/>
          <w:sz w:val="22"/>
          <w:szCs w:val="22"/>
        </w:rPr>
        <w:t xml:space="preserve">plánovania </w:t>
      </w:r>
      <w:r w:rsidR="000E7A1F" w:rsidRPr="00494E26">
        <w:rPr>
          <w:rFonts w:asciiTheme="majorHAnsi" w:hAnsiTheme="majorHAnsi"/>
          <w:sz w:val="22"/>
          <w:szCs w:val="22"/>
        </w:rPr>
        <w:t xml:space="preserve">na obdobie </w:t>
      </w:r>
      <w:r w:rsidR="0014153B" w:rsidRPr="00494E26">
        <w:rPr>
          <w:rFonts w:asciiTheme="majorHAnsi" w:hAnsiTheme="majorHAnsi"/>
          <w:sz w:val="22"/>
          <w:szCs w:val="22"/>
        </w:rPr>
        <w:t>troch rokov.</w:t>
      </w:r>
    </w:p>
    <w:p w14:paraId="54031DAE" w14:textId="599E12AC" w:rsidR="00333EBA" w:rsidRPr="00494E26" w:rsidRDefault="00494E26" w:rsidP="00C6520D">
      <w:pPr>
        <w:rPr>
          <w:rFonts w:asciiTheme="majorHAnsi" w:hAnsiTheme="majorHAnsi"/>
          <w:color w:val="000000" w:themeColor="text1"/>
          <w:sz w:val="22"/>
          <w:szCs w:val="22"/>
        </w:rPr>
      </w:pPr>
      <w:r w:rsidRPr="00494E26">
        <w:rPr>
          <w:rFonts w:asciiTheme="majorHAnsi" w:hAnsiTheme="majorHAnsi"/>
          <w:sz w:val="22"/>
          <w:szCs w:val="22"/>
        </w:rPr>
        <w:tab/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Údaje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v ňom obsiahnuté 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>s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ú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 xml:space="preserve">vypracúvané a 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>predklada</w:t>
      </w:r>
      <w:r w:rsidR="00C6520D">
        <w:rPr>
          <w:rFonts w:asciiTheme="majorHAnsi" w:hAnsiTheme="majorHAnsi"/>
          <w:color w:val="000000" w:themeColor="text1"/>
          <w:sz w:val="22"/>
          <w:szCs w:val="22"/>
        </w:rPr>
        <w:t>né</w:t>
      </w:r>
      <w:r w:rsidR="00C6520D"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 xml:space="preserve">aj na základe </w:t>
      </w:r>
      <w:r w:rsidR="003A59D5" w:rsidRPr="007B6547">
        <w:rPr>
          <w:rFonts w:ascii="Cambria" w:hAnsi="Cambria"/>
          <w:sz w:val="22"/>
          <w:szCs w:val="22"/>
        </w:rPr>
        <w:t>vykonávacieho nariadenia (EÚ) 2021/451</w:t>
      </w:r>
      <w:r w:rsidR="003A59D5">
        <w:rPr>
          <w:rFonts w:ascii="Cambria" w:hAnsi="Cambria"/>
          <w:sz w:val="22"/>
          <w:szCs w:val="22"/>
        </w:rPr>
        <w:t xml:space="preserve"> v platnom znení</w:t>
      </w:r>
      <w:r w:rsidR="003A59D5" w:rsidRPr="00494E26" w:rsidDel="003A59D5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494E26">
        <w:rPr>
          <w:rFonts w:asciiTheme="majorHAnsi" w:hAnsiTheme="majorHAnsi"/>
          <w:color w:val="000000" w:themeColor="text1"/>
          <w:sz w:val="22"/>
          <w:szCs w:val="22"/>
          <w:vertAlign w:val="superscript"/>
        </w:rPr>
        <w:t>1</w:t>
      </w:r>
      <w:r w:rsidRPr="00494E26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14:paraId="63B9419B" w14:textId="77777777" w:rsidR="00333EBA" w:rsidRDefault="00333EBA" w:rsidP="00C6520D">
      <w:pPr>
        <w:rPr>
          <w:color w:val="000000" w:themeColor="text1"/>
        </w:rPr>
      </w:pPr>
    </w:p>
    <w:p w14:paraId="7FC0F21E" w14:textId="5776E579" w:rsidR="009C0541" w:rsidRDefault="009C0541" w:rsidP="00C6520D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Návrh opatrenia nemá vplyv na rozpočet verejnej správy, limit verejných výdavkov, podnikateľské prostredie, životné prostredie, informatizáciu spoločnosti, služby verejnej správy pre občana a nemá ani sociálne vplyvy</w:t>
      </w:r>
      <w:r w:rsidR="00A03562">
        <w:rPr>
          <w:rFonts w:ascii="Cambria" w:hAnsi="Cambria"/>
          <w:sz w:val="22"/>
          <w:szCs w:val="22"/>
        </w:rPr>
        <w:t xml:space="preserve"> a </w:t>
      </w:r>
      <w:r w:rsidR="00A03562">
        <w:rPr>
          <w:rFonts w:asciiTheme="majorHAnsi" w:hAnsiTheme="majorHAnsi"/>
          <w:sz w:val="22"/>
          <w:szCs w:val="22"/>
        </w:rPr>
        <w:t xml:space="preserve">vplyvy na </w:t>
      </w:r>
      <w:r w:rsidR="00A03562" w:rsidRPr="00346B1B">
        <w:rPr>
          <w:rFonts w:asciiTheme="majorHAnsi" w:hAnsiTheme="majorHAnsi"/>
          <w:sz w:val="22"/>
          <w:szCs w:val="22"/>
        </w:rPr>
        <w:t>manželstvo, rodičovstvo, rodinu a deti</w:t>
      </w:r>
      <w:r>
        <w:rPr>
          <w:rFonts w:ascii="Cambria" w:hAnsi="Cambria"/>
          <w:sz w:val="22"/>
          <w:szCs w:val="22"/>
        </w:rPr>
        <w:t>.</w:t>
      </w:r>
    </w:p>
    <w:p w14:paraId="28156595" w14:textId="77777777" w:rsidR="009C0541" w:rsidRDefault="009C0541" w:rsidP="00C6520D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57E6C232" w14:textId="77777777" w:rsidR="009C0541" w:rsidRDefault="009C0541" w:rsidP="00C6520D">
      <w:pPr>
        <w:ind w:firstLine="720"/>
        <w:rPr>
          <w:rFonts w:ascii="Cambria" w:hAnsi="Cambria"/>
          <w:sz w:val="22"/>
          <w:szCs w:val="22"/>
          <w:lang w:eastAsia="sk-SK"/>
        </w:rPr>
      </w:pPr>
      <w:bookmarkStart w:id="3" w:name="_Hlk97106058"/>
      <w:r>
        <w:rPr>
          <w:rFonts w:ascii="Cambria" w:hAnsi="Cambria"/>
          <w:sz w:val="22"/>
          <w:szCs w:val="22"/>
          <w:lang w:eastAsia="sk-SK"/>
        </w:rPr>
        <w:t>N</w:t>
      </w:r>
      <w:r w:rsidRPr="00D14E11">
        <w:rPr>
          <w:rFonts w:ascii="Cambria" w:hAnsi="Cambria"/>
          <w:sz w:val="22"/>
          <w:szCs w:val="22"/>
          <w:lang w:eastAsia="sk-SK"/>
        </w:rPr>
        <w:t xml:space="preserve">ávrh opatrenia je v súlade s Ústavou Slovenskej republiky, ústavnými zákonmi, nálezmi Ústavného súdu Slovenskej republiky, </w:t>
      </w:r>
      <w:r>
        <w:rPr>
          <w:rFonts w:ascii="Cambria" w:hAnsi="Cambria"/>
          <w:sz w:val="22"/>
          <w:szCs w:val="22"/>
          <w:lang w:eastAsia="sk-SK"/>
        </w:rPr>
        <w:t xml:space="preserve">so </w:t>
      </w:r>
      <w:r w:rsidRPr="00D14E11">
        <w:rPr>
          <w:rFonts w:ascii="Cambria" w:hAnsi="Cambria"/>
          <w:sz w:val="22"/>
          <w:szCs w:val="22"/>
          <w:lang w:eastAsia="sk-SK"/>
        </w:rPr>
        <w:t>zákonmi a ostatnými všeobecne záväznými právnymi predpismi, medzinárodnými zmluvami a inými medzinárodnými dokumentmi, ktorými je Slovenská republika viazaná, ako aj s právom Európskej únie.</w:t>
      </w:r>
    </w:p>
    <w:bookmarkEnd w:id="3"/>
    <w:p w14:paraId="1B9273F7" w14:textId="77777777" w:rsidR="009C0541" w:rsidRDefault="009C0541" w:rsidP="00C6520D">
      <w:pPr>
        <w:rPr>
          <w:color w:val="000000" w:themeColor="text1"/>
        </w:rPr>
      </w:pPr>
    </w:p>
    <w:p w14:paraId="72147169" w14:textId="330DDAE7" w:rsidR="00A1511C" w:rsidRDefault="00C569A3" w:rsidP="00C6520D">
      <w:pPr>
        <w:pStyle w:val="Default"/>
        <w:ind w:firstLine="720"/>
        <w:jc w:val="both"/>
        <w:rPr>
          <w:rFonts w:ascii="Cambria" w:hAnsi="Cambria"/>
          <w:sz w:val="22"/>
          <w:szCs w:val="22"/>
        </w:rPr>
      </w:pPr>
      <w:bookmarkStart w:id="4" w:name="_Hlk97543915"/>
      <w:r>
        <w:rPr>
          <w:rFonts w:ascii="Cambria" w:hAnsi="Cambria"/>
          <w:color w:val="000000" w:themeColor="text1"/>
          <w:sz w:val="22"/>
          <w:szCs w:val="22"/>
        </w:rPr>
        <w:t>M</w:t>
      </w:r>
      <w:r w:rsidR="00F65EE9" w:rsidRPr="00BF0640">
        <w:rPr>
          <w:rFonts w:ascii="Cambria" w:hAnsi="Cambria"/>
          <w:color w:val="000000" w:themeColor="text1"/>
          <w:sz w:val="22"/>
          <w:szCs w:val="22"/>
        </w:rPr>
        <w:t>ateriál neobsahuje tabuľku zhody, nakoľko sa návrhom opatrenia nepreberajú žiadne smernice Európskej únie</w:t>
      </w:r>
      <w:bookmarkEnd w:id="0"/>
      <w:bookmarkEnd w:id="4"/>
      <w:r w:rsidR="003A59D5">
        <w:rPr>
          <w:rFonts w:ascii="Cambria" w:hAnsi="Cambria"/>
          <w:color w:val="000000" w:themeColor="text1"/>
          <w:sz w:val="22"/>
          <w:szCs w:val="22"/>
        </w:rPr>
        <w:t>.</w:t>
      </w:r>
      <w:r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3A59D5" w:rsidRPr="003A59D5">
        <w:rPr>
          <w:rFonts w:ascii="Cambria" w:hAnsi="Cambria"/>
          <w:color w:val="000000" w:themeColor="text1"/>
          <w:sz w:val="22"/>
          <w:szCs w:val="22"/>
        </w:rPr>
        <w:t>Predkladaný návrh opatrenia nie je predmetom vnútrokomunitárneho pripomienkového konania.</w:t>
      </w:r>
    </w:p>
    <w:p w14:paraId="7B4CF4ED" w14:textId="77777777" w:rsidR="00891986" w:rsidRDefault="00891986" w:rsidP="00C6520D">
      <w:pPr>
        <w:pStyle w:val="Default"/>
        <w:jc w:val="both"/>
        <w:rPr>
          <w:rFonts w:ascii="Cambria" w:hAnsi="Cambria"/>
          <w:sz w:val="22"/>
          <w:szCs w:val="22"/>
        </w:rPr>
      </w:pPr>
    </w:p>
    <w:p w14:paraId="62EB7B89" w14:textId="77777777" w:rsidR="009C0541" w:rsidRDefault="009C0541" w:rsidP="00C6520D">
      <w:pPr>
        <w:pStyle w:val="Default"/>
        <w:jc w:val="both"/>
        <w:rPr>
          <w:rFonts w:ascii="Cambria" w:hAnsi="Cambria"/>
          <w:sz w:val="22"/>
          <w:szCs w:val="22"/>
        </w:rPr>
      </w:pPr>
    </w:p>
    <w:p w14:paraId="37CC9AC5" w14:textId="77777777" w:rsidR="009C0541" w:rsidRDefault="009C0541" w:rsidP="00C6520D">
      <w:pPr>
        <w:pStyle w:val="Default"/>
        <w:jc w:val="both"/>
        <w:rPr>
          <w:rFonts w:ascii="Cambria" w:hAnsi="Cambria"/>
          <w:sz w:val="22"/>
          <w:szCs w:val="22"/>
        </w:rPr>
      </w:pPr>
    </w:p>
    <w:p w14:paraId="1655110D" w14:textId="262B4ABB" w:rsidR="001F23D5" w:rsidRPr="00BF0640" w:rsidRDefault="001F23D5" w:rsidP="00C6520D">
      <w:pPr>
        <w:pStyle w:val="Heading2"/>
        <w:keepNext w:val="0"/>
        <w:rPr>
          <w:rFonts w:ascii="Verdana" w:hAnsi="Verdana"/>
          <w:color w:val="000000" w:themeColor="text1"/>
          <w:sz w:val="20"/>
          <w:szCs w:val="20"/>
        </w:rPr>
      </w:pPr>
      <w:r w:rsidRPr="00BF0640">
        <w:rPr>
          <w:rFonts w:ascii="Verdana" w:hAnsi="Verdana"/>
          <w:color w:val="000000" w:themeColor="text1"/>
          <w:sz w:val="20"/>
          <w:szCs w:val="20"/>
        </w:rPr>
        <w:t>B. Osobitná časť</w:t>
      </w:r>
    </w:p>
    <w:p w14:paraId="1E6FC7DE" w14:textId="77777777" w:rsidR="00873A2F" w:rsidRPr="00A1511C" w:rsidRDefault="00873A2F" w:rsidP="00C6520D">
      <w:pPr>
        <w:rPr>
          <w:rFonts w:ascii="Cambria" w:hAnsi="Cambria"/>
          <w:color w:val="000000" w:themeColor="text1"/>
          <w:sz w:val="22"/>
          <w:szCs w:val="22"/>
        </w:rPr>
      </w:pPr>
    </w:p>
    <w:p w14:paraId="2028CB4C" w14:textId="2BB04B2A" w:rsidR="001F23D5" w:rsidRPr="00BF0640" w:rsidRDefault="00442263" w:rsidP="00C6520D">
      <w:pPr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Čl. I</w:t>
      </w:r>
    </w:p>
    <w:p w14:paraId="254058B6" w14:textId="3097F86A" w:rsidR="003A4FF5" w:rsidRPr="00A1511C" w:rsidRDefault="003A4FF5" w:rsidP="00C6520D">
      <w:pPr>
        <w:rPr>
          <w:rFonts w:ascii="Cambria" w:hAnsi="Cambria"/>
          <w:b/>
          <w:bCs/>
          <w:color w:val="000000" w:themeColor="text1"/>
          <w:sz w:val="22"/>
          <w:szCs w:val="22"/>
        </w:rPr>
      </w:pPr>
    </w:p>
    <w:p w14:paraId="5121BA1F" w14:textId="10F2A409" w:rsidR="003A4FF5" w:rsidRDefault="003A4FF5" w:rsidP="00C6520D">
      <w:pPr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K</w:t>
      </w:r>
      <w:r w:rsidR="00A559D0">
        <w:rPr>
          <w:rFonts w:ascii="Verdana" w:hAnsi="Verdana"/>
          <w:b/>
          <w:bCs/>
          <w:color w:val="000000" w:themeColor="text1"/>
          <w:sz w:val="20"/>
          <w:szCs w:val="20"/>
        </w:rPr>
        <w:t> </w:t>
      </w:r>
      <w:r w:rsidRPr="00BF0640">
        <w:rPr>
          <w:rFonts w:ascii="Verdana" w:hAnsi="Verdana"/>
          <w:b/>
          <w:bCs/>
          <w:color w:val="000000" w:themeColor="text1"/>
          <w:sz w:val="20"/>
          <w:szCs w:val="20"/>
        </w:rPr>
        <w:t>bod</w:t>
      </w:r>
      <w:r w:rsidR="00A559D0">
        <w:rPr>
          <w:rFonts w:ascii="Verdana" w:hAnsi="Verdana"/>
          <w:b/>
          <w:bCs/>
          <w:color w:val="000000" w:themeColor="text1"/>
          <w:sz w:val="20"/>
          <w:szCs w:val="20"/>
        </w:rPr>
        <w:t>om 1</w:t>
      </w:r>
      <w:r w:rsidR="009C20AA">
        <w:rPr>
          <w:rFonts w:ascii="Verdana" w:hAnsi="Verdana"/>
          <w:b/>
          <w:bCs/>
          <w:color w:val="000000" w:themeColor="text1"/>
          <w:sz w:val="20"/>
          <w:szCs w:val="20"/>
        </w:rPr>
        <w:t>, 2, 5 a 6</w:t>
      </w:r>
    </w:p>
    <w:p w14:paraId="494F2C33" w14:textId="35EA5878" w:rsidR="00A559D0" w:rsidRPr="00C6520D" w:rsidRDefault="00E6465C" w:rsidP="00C6520D">
      <w:pPr>
        <w:ind w:firstLine="720"/>
        <w:rPr>
          <w:rFonts w:asciiTheme="majorHAnsi" w:hAnsiTheme="majorHAnsi"/>
          <w:color w:val="000000"/>
          <w:sz w:val="22"/>
          <w:szCs w:val="22"/>
        </w:rPr>
      </w:pPr>
      <w:r w:rsidRPr="00C6520D">
        <w:rPr>
          <w:rFonts w:asciiTheme="majorHAnsi" w:hAnsiTheme="majorHAnsi"/>
          <w:color w:val="000000" w:themeColor="text1"/>
          <w:sz w:val="22"/>
          <w:szCs w:val="22"/>
        </w:rPr>
        <w:t>Vypúšťa</w:t>
      </w:r>
      <w:r w:rsidR="00A559D0" w:rsidRPr="00C6520D">
        <w:rPr>
          <w:rFonts w:asciiTheme="majorHAnsi" w:hAnsiTheme="majorHAnsi"/>
          <w:color w:val="000000" w:themeColor="text1"/>
          <w:sz w:val="22"/>
          <w:szCs w:val="22"/>
        </w:rPr>
        <w:t xml:space="preserve">jú sa výkazy predkladané bankou a to: </w:t>
      </w:r>
      <w:r w:rsidR="00A559D0" w:rsidRPr="00C6520D">
        <w:rPr>
          <w:rFonts w:asciiTheme="majorHAnsi" w:hAnsiTheme="majorHAnsi"/>
          <w:color w:val="000000"/>
          <w:sz w:val="22"/>
          <w:szCs w:val="22"/>
        </w:rPr>
        <w:t>Hlásenie o citlivosti na zmenu úrokových mier, Hlásenie o evidencii finančných aktív a finančných záväzkov</w:t>
      </w:r>
      <w:r w:rsidR="00EA20E2" w:rsidRPr="00C6520D">
        <w:rPr>
          <w:rFonts w:asciiTheme="majorHAnsi" w:hAnsiTheme="majorHAnsi"/>
          <w:color w:val="000000"/>
          <w:sz w:val="22"/>
          <w:szCs w:val="22"/>
        </w:rPr>
        <w:t>,</w:t>
      </w:r>
      <w:r w:rsidR="00A559D0" w:rsidRPr="00C6520D">
        <w:rPr>
          <w:rFonts w:asciiTheme="majorHAnsi" w:hAnsiTheme="majorHAnsi"/>
          <w:color w:val="000000"/>
          <w:sz w:val="22"/>
          <w:szCs w:val="22"/>
        </w:rPr>
        <w:t xml:space="preserve"> H</w:t>
      </w:r>
      <w:r w:rsidR="00A559D0" w:rsidRPr="00C6520D">
        <w:rPr>
          <w:rFonts w:asciiTheme="majorHAnsi" w:hAnsiTheme="majorHAnsi"/>
          <w:color w:val="000000" w:themeColor="text1"/>
          <w:sz w:val="22"/>
          <w:szCs w:val="22"/>
        </w:rPr>
        <w:t>lásenie o plánoch financovania</w:t>
      </w:r>
      <w:r w:rsidR="00EA20E2" w:rsidRPr="00C6520D">
        <w:rPr>
          <w:rFonts w:asciiTheme="majorHAnsi" w:hAnsiTheme="majorHAnsi"/>
          <w:color w:val="000000" w:themeColor="text1"/>
          <w:sz w:val="22"/>
          <w:szCs w:val="22"/>
        </w:rPr>
        <w:t>, Hlásenie o spotrebiteľských úveroch a Hlásenie o iných úveroch</w:t>
      </w:r>
      <w:r w:rsidR="00A559D0" w:rsidRPr="00C6520D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14:paraId="3F8179B1" w14:textId="65264E9E" w:rsidR="003A4FF5" w:rsidRDefault="003A4FF5" w:rsidP="00C6520D">
      <w:pPr>
        <w:rPr>
          <w:rFonts w:ascii="Cambria" w:hAnsi="Cambria"/>
          <w:bCs/>
          <w:color w:val="000000" w:themeColor="text1"/>
          <w:sz w:val="22"/>
          <w:szCs w:val="22"/>
        </w:rPr>
      </w:pPr>
    </w:p>
    <w:p w14:paraId="00CAB6CB" w14:textId="2EE859B9" w:rsidR="00885268" w:rsidRPr="00885268" w:rsidRDefault="00885268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885268">
        <w:rPr>
          <w:rFonts w:ascii="Verdana" w:hAnsi="Verdana"/>
          <w:b/>
          <w:color w:val="000000" w:themeColor="text1"/>
          <w:sz w:val="20"/>
          <w:szCs w:val="20"/>
        </w:rPr>
        <w:t>K bodom 3, 4 a 7</w:t>
      </w:r>
    </w:p>
    <w:p w14:paraId="14F6D82D" w14:textId="4F6FA9E0" w:rsidR="00885268" w:rsidRDefault="00885268" w:rsidP="00C6520D">
      <w:pPr>
        <w:rPr>
          <w:rFonts w:ascii="Cambria" w:hAnsi="Cambria"/>
          <w:bCs/>
          <w:color w:val="000000" w:themeColor="text1"/>
          <w:sz w:val="22"/>
          <w:szCs w:val="22"/>
        </w:rPr>
      </w:pPr>
      <w:r>
        <w:rPr>
          <w:rFonts w:ascii="Cambria" w:hAnsi="Cambria"/>
          <w:bCs/>
          <w:color w:val="000000" w:themeColor="text1"/>
          <w:sz w:val="22"/>
          <w:szCs w:val="22"/>
        </w:rPr>
        <w:tab/>
      </w:r>
      <w:r w:rsidRPr="00885268">
        <w:rPr>
          <w:rFonts w:ascii="Cambria" w:hAnsi="Cambria"/>
          <w:bCs/>
          <w:color w:val="000000" w:themeColor="text1"/>
          <w:sz w:val="22"/>
          <w:szCs w:val="22"/>
        </w:rPr>
        <w:t xml:space="preserve">Zosúladenie </w:t>
      </w:r>
      <w:r>
        <w:rPr>
          <w:rFonts w:ascii="Cambria" w:hAnsi="Cambria"/>
          <w:bCs/>
          <w:color w:val="000000" w:themeColor="text1"/>
          <w:sz w:val="22"/>
          <w:szCs w:val="22"/>
        </w:rPr>
        <w:t xml:space="preserve">názvov výkazov </w:t>
      </w:r>
      <w:r w:rsidRPr="00885268">
        <w:rPr>
          <w:rFonts w:ascii="Cambria" w:hAnsi="Cambria"/>
          <w:bCs/>
          <w:color w:val="000000" w:themeColor="text1"/>
          <w:sz w:val="22"/>
          <w:szCs w:val="22"/>
        </w:rPr>
        <w:t xml:space="preserve">so znením opatrenia NBS č. 13/2014 </w:t>
      </w:r>
      <w:r w:rsidR="004B01C3" w:rsidRPr="004B01C3">
        <w:rPr>
          <w:rFonts w:ascii="Cambria" w:hAnsi="Cambria"/>
          <w:bCs/>
          <w:color w:val="000000" w:themeColor="text1"/>
          <w:sz w:val="22"/>
          <w:szCs w:val="22"/>
        </w:rPr>
        <w:t>o predkladaní výkazov, hlásení a iných správ obchodníkmi s cennými papiermi a pobočkami zahraničných obchodníkov s cennými papiermi na účely vykonávania dohľadu</w:t>
      </w:r>
      <w:r w:rsidR="004B01C3" w:rsidRPr="004B01C3" w:rsidDel="004B01C3">
        <w:rPr>
          <w:rFonts w:ascii="Cambria" w:hAnsi="Cambria"/>
          <w:bCs/>
          <w:color w:val="000000" w:themeColor="text1"/>
          <w:sz w:val="22"/>
          <w:szCs w:val="22"/>
        </w:rPr>
        <w:t xml:space="preserve"> </w:t>
      </w:r>
      <w:r w:rsidRPr="00885268">
        <w:rPr>
          <w:rFonts w:ascii="Cambria" w:hAnsi="Cambria"/>
          <w:bCs/>
          <w:color w:val="000000" w:themeColor="text1"/>
          <w:sz w:val="22"/>
          <w:szCs w:val="22"/>
        </w:rPr>
        <w:t>v platnom znení.</w:t>
      </w:r>
    </w:p>
    <w:p w14:paraId="6EE107E8" w14:textId="77777777" w:rsidR="00885268" w:rsidRDefault="00885268" w:rsidP="00C6520D">
      <w:pPr>
        <w:rPr>
          <w:rFonts w:ascii="Cambria" w:hAnsi="Cambria"/>
          <w:bCs/>
          <w:color w:val="000000" w:themeColor="text1"/>
          <w:sz w:val="22"/>
          <w:szCs w:val="22"/>
        </w:rPr>
      </w:pPr>
    </w:p>
    <w:p w14:paraId="3E0976F5" w14:textId="48EAF56F" w:rsidR="00A559D0" w:rsidRPr="00E6465C" w:rsidRDefault="00A559D0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E6465C">
        <w:rPr>
          <w:rFonts w:ascii="Verdana" w:hAnsi="Verdana"/>
          <w:b/>
          <w:color w:val="000000" w:themeColor="text1"/>
          <w:sz w:val="20"/>
          <w:szCs w:val="20"/>
        </w:rPr>
        <w:t>K</w:t>
      </w:r>
      <w:r>
        <w:rPr>
          <w:rFonts w:ascii="Verdana" w:hAnsi="Verdana"/>
          <w:b/>
          <w:color w:val="000000" w:themeColor="text1"/>
          <w:sz w:val="20"/>
          <w:szCs w:val="20"/>
        </w:rPr>
        <w:t> </w:t>
      </w:r>
      <w:r w:rsidRPr="00E6465C">
        <w:rPr>
          <w:rFonts w:ascii="Verdana" w:hAnsi="Verdana"/>
          <w:b/>
          <w:color w:val="000000" w:themeColor="text1"/>
          <w:sz w:val="20"/>
          <w:szCs w:val="20"/>
        </w:rPr>
        <w:t>bod</w:t>
      </w:r>
      <w:r>
        <w:rPr>
          <w:rFonts w:ascii="Verdana" w:hAnsi="Verdana"/>
          <w:b/>
          <w:color w:val="000000" w:themeColor="text1"/>
          <w:sz w:val="20"/>
          <w:szCs w:val="20"/>
        </w:rPr>
        <w:t xml:space="preserve">om </w:t>
      </w:r>
      <w:r w:rsidR="009C20AA">
        <w:rPr>
          <w:rFonts w:ascii="Verdana" w:hAnsi="Verdana"/>
          <w:b/>
          <w:color w:val="000000" w:themeColor="text1"/>
          <w:sz w:val="20"/>
          <w:szCs w:val="20"/>
        </w:rPr>
        <w:t>8 až 10</w:t>
      </w:r>
    </w:p>
    <w:p w14:paraId="1B484E68" w14:textId="460B8A20" w:rsidR="00EA20E2" w:rsidRPr="00C6520D" w:rsidRDefault="00A559D0" w:rsidP="00C6520D">
      <w:pPr>
        <w:ind w:firstLine="720"/>
        <w:rPr>
          <w:rFonts w:asciiTheme="majorHAnsi" w:hAnsiTheme="majorHAnsi"/>
          <w:color w:val="000000"/>
          <w:sz w:val="22"/>
          <w:szCs w:val="22"/>
        </w:rPr>
      </w:pPr>
      <w:r w:rsidRPr="00C6520D">
        <w:rPr>
          <w:rFonts w:asciiTheme="majorHAnsi" w:hAnsiTheme="majorHAnsi"/>
          <w:color w:val="000000" w:themeColor="text1"/>
          <w:sz w:val="22"/>
          <w:szCs w:val="22"/>
        </w:rPr>
        <w:t xml:space="preserve">Vypúšťajú sa výkazy predkladané pobočkou zahraničnej banky a to: </w:t>
      </w:r>
      <w:r w:rsidRPr="00C6520D">
        <w:rPr>
          <w:rFonts w:asciiTheme="majorHAnsi" w:hAnsiTheme="majorHAnsi"/>
          <w:color w:val="000000"/>
          <w:sz w:val="22"/>
          <w:szCs w:val="22"/>
        </w:rPr>
        <w:t>Hlásenie o citlivosti na zmenu úrokových mier</w:t>
      </w:r>
      <w:r w:rsidR="00EA20E2" w:rsidRPr="00C6520D">
        <w:rPr>
          <w:rFonts w:asciiTheme="majorHAnsi" w:hAnsiTheme="majorHAnsi"/>
          <w:color w:val="000000"/>
          <w:sz w:val="22"/>
          <w:szCs w:val="22"/>
        </w:rPr>
        <w:t>,</w:t>
      </w:r>
      <w:r w:rsidRPr="00C6520D">
        <w:rPr>
          <w:rFonts w:asciiTheme="majorHAnsi" w:hAnsiTheme="majorHAnsi"/>
          <w:color w:val="000000"/>
          <w:sz w:val="22"/>
          <w:szCs w:val="22"/>
        </w:rPr>
        <w:t xml:space="preserve"> Hlásenie o evidencii finančných aktív a finančných záväzkov</w:t>
      </w:r>
      <w:r w:rsidR="00EA20E2" w:rsidRPr="00C6520D">
        <w:rPr>
          <w:rFonts w:asciiTheme="majorHAnsi" w:hAnsiTheme="majorHAnsi"/>
          <w:color w:val="000000"/>
          <w:sz w:val="22"/>
          <w:szCs w:val="22"/>
        </w:rPr>
        <w:t xml:space="preserve">, </w:t>
      </w:r>
      <w:r w:rsidR="00EA20E2" w:rsidRPr="00C6520D">
        <w:rPr>
          <w:rFonts w:asciiTheme="majorHAnsi" w:hAnsiTheme="majorHAnsi"/>
          <w:color w:val="000000" w:themeColor="text1"/>
          <w:sz w:val="22"/>
          <w:szCs w:val="22"/>
        </w:rPr>
        <w:t>Hlásenie o spotrebiteľských úveroch a Hlásenie o iných úveroch.</w:t>
      </w:r>
    </w:p>
    <w:p w14:paraId="7F8C3AE5" w14:textId="77777777" w:rsidR="00A559D0" w:rsidRDefault="00A559D0" w:rsidP="00C6520D">
      <w:pPr>
        <w:rPr>
          <w:rFonts w:ascii="Cambria" w:hAnsi="Cambria"/>
          <w:bCs/>
          <w:color w:val="000000" w:themeColor="text1"/>
          <w:sz w:val="22"/>
          <w:szCs w:val="22"/>
        </w:rPr>
      </w:pPr>
    </w:p>
    <w:p w14:paraId="07A448FC" w14:textId="1BF219A0" w:rsidR="00E6465C" w:rsidRPr="003678F5" w:rsidRDefault="00E6465C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3678F5">
        <w:rPr>
          <w:rFonts w:ascii="Verdana" w:hAnsi="Verdana"/>
          <w:b/>
          <w:color w:val="000000" w:themeColor="text1"/>
          <w:sz w:val="20"/>
          <w:szCs w:val="20"/>
        </w:rPr>
        <w:t xml:space="preserve">K bodom </w:t>
      </w:r>
      <w:r w:rsidR="009C20AA">
        <w:rPr>
          <w:rFonts w:ascii="Verdana" w:hAnsi="Verdana"/>
          <w:b/>
          <w:color w:val="000000" w:themeColor="text1"/>
          <w:sz w:val="20"/>
          <w:szCs w:val="20"/>
        </w:rPr>
        <w:t>11</w:t>
      </w:r>
      <w:r w:rsidR="00A559D0" w:rsidRPr="003678F5">
        <w:rPr>
          <w:rFonts w:ascii="Verdana" w:hAnsi="Verdana"/>
          <w:b/>
          <w:color w:val="000000" w:themeColor="text1"/>
          <w:sz w:val="20"/>
          <w:szCs w:val="20"/>
        </w:rPr>
        <w:t xml:space="preserve"> až </w:t>
      </w:r>
      <w:r w:rsidR="00812293" w:rsidRPr="003678F5">
        <w:rPr>
          <w:rFonts w:ascii="Verdana" w:hAnsi="Verdana"/>
          <w:b/>
          <w:color w:val="000000" w:themeColor="text1"/>
          <w:sz w:val="20"/>
          <w:szCs w:val="20"/>
        </w:rPr>
        <w:t>2</w:t>
      </w:r>
      <w:r w:rsidR="009C20AA">
        <w:rPr>
          <w:rFonts w:ascii="Verdana" w:hAnsi="Verdana"/>
          <w:b/>
          <w:color w:val="000000" w:themeColor="text1"/>
          <w:sz w:val="20"/>
          <w:szCs w:val="20"/>
        </w:rPr>
        <w:t>8</w:t>
      </w:r>
    </w:p>
    <w:p w14:paraId="43EB5465" w14:textId="6331C671" w:rsidR="00E6465C" w:rsidRPr="00C6520D" w:rsidRDefault="00562EFE" w:rsidP="00C6520D">
      <w:pPr>
        <w:ind w:firstLine="720"/>
        <w:rPr>
          <w:rFonts w:asciiTheme="majorHAnsi" w:hAnsiTheme="majorHAnsi"/>
          <w:bCs/>
          <w:color w:val="000000" w:themeColor="text1"/>
          <w:sz w:val="22"/>
          <w:szCs w:val="22"/>
        </w:rPr>
      </w:pP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>L</w:t>
      </w:r>
      <w:r w:rsidR="00E6465C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egislatívno-technické úpravy v jednotlivých paragrafoch a odsekoch </w:t>
      </w:r>
      <w:r w:rsidR="00DA1020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návrhu </w:t>
      </w:r>
      <w:r w:rsidR="00E6465C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opatrenia (úpravy krížových referencií), v súvislosti </w:t>
      </w:r>
      <w:r w:rsidR="00D972CB" w:rsidRPr="00C6520D">
        <w:rPr>
          <w:rFonts w:asciiTheme="majorHAnsi" w:hAnsiTheme="majorHAnsi"/>
          <w:bCs/>
          <w:color w:val="000000" w:themeColor="text1"/>
          <w:sz w:val="22"/>
          <w:szCs w:val="22"/>
        </w:rPr>
        <w:t>s  úpravami podľa predchádzajúcich bodov.</w:t>
      </w:r>
    </w:p>
    <w:p w14:paraId="651BE0FA" w14:textId="77777777" w:rsidR="00A01A5E" w:rsidRPr="003678F5" w:rsidRDefault="00A01A5E" w:rsidP="00C6520D">
      <w:pPr>
        <w:rPr>
          <w:rFonts w:ascii="Cambria" w:hAnsi="Cambria"/>
          <w:bCs/>
          <w:color w:val="000000" w:themeColor="text1"/>
          <w:sz w:val="22"/>
          <w:szCs w:val="22"/>
        </w:rPr>
      </w:pPr>
    </w:p>
    <w:p w14:paraId="08760597" w14:textId="371AC848" w:rsidR="00A559D0" w:rsidRPr="003678F5" w:rsidRDefault="00A559D0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3678F5">
        <w:rPr>
          <w:rFonts w:ascii="Verdana" w:hAnsi="Verdana"/>
          <w:b/>
          <w:color w:val="000000" w:themeColor="text1"/>
          <w:sz w:val="20"/>
          <w:szCs w:val="20"/>
        </w:rPr>
        <w:t>K</w:t>
      </w:r>
      <w:r w:rsidR="00F27179" w:rsidRPr="003678F5">
        <w:rPr>
          <w:rFonts w:ascii="Verdana" w:hAnsi="Verdana"/>
          <w:b/>
          <w:color w:val="000000" w:themeColor="text1"/>
          <w:sz w:val="20"/>
          <w:szCs w:val="20"/>
        </w:rPr>
        <w:t> </w:t>
      </w:r>
      <w:r w:rsidRPr="003678F5">
        <w:rPr>
          <w:rFonts w:ascii="Verdana" w:hAnsi="Verdana"/>
          <w:b/>
          <w:color w:val="000000" w:themeColor="text1"/>
          <w:sz w:val="20"/>
          <w:szCs w:val="20"/>
        </w:rPr>
        <w:t>bod</w:t>
      </w:r>
      <w:r w:rsidR="00F27179" w:rsidRPr="003678F5">
        <w:rPr>
          <w:rFonts w:ascii="Verdana" w:hAnsi="Verdana"/>
          <w:b/>
          <w:color w:val="000000" w:themeColor="text1"/>
          <w:sz w:val="20"/>
          <w:szCs w:val="20"/>
        </w:rPr>
        <w:t xml:space="preserve">u </w:t>
      </w:r>
      <w:r w:rsidR="00812293" w:rsidRPr="003678F5">
        <w:rPr>
          <w:rFonts w:ascii="Verdana" w:hAnsi="Verdana"/>
          <w:b/>
          <w:color w:val="000000" w:themeColor="text1"/>
          <w:sz w:val="20"/>
          <w:szCs w:val="20"/>
        </w:rPr>
        <w:t>2</w:t>
      </w:r>
      <w:r w:rsidR="009C20AA">
        <w:rPr>
          <w:rFonts w:ascii="Verdana" w:hAnsi="Verdana"/>
          <w:b/>
          <w:color w:val="000000" w:themeColor="text1"/>
          <w:sz w:val="20"/>
          <w:szCs w:val="20"/>
        </w:rPr>
        <w:t>9</w:t>
      </w:r>
    </w:p>
    <w:p w14:paraId="61BD5157" w14:textId="35939980" w:rsidR="00A559D0" w:rsidRPr="00C6520D" w:rsidRDefault="00F27179" w:rsidP="00C6520D">
      <w:pPr>
        <w:ind w:firstLine="720"/>
        <w:rPr>
          <w:rFonts w:asciiTheme="majorHAnsi" w:hAnsiTheme="majorHAnsi"/>
          <w:bCs/>
          <w:color w:val="000000" w:themeColor="text1"/>
          <w:sz w:val="22"/>
          <w:szCs w:val="22"/>
        </w:rPr>
      </w:pP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>V nadväznosti na úpravy</w:t>
      </w:r>
      <w:r w:rsidR="00562EFE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 podľa predchádzajúcich</w:t>
      </w: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 </w:t>
      </w:r>
      <w:r w:rsidR="005E4B3E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bodov </w:t>
      </w: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>sa v</w:t>
      </w:r>
      <w:r w:rsidR="00A559D0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ypúšťajú </w:t>
      </w:r>
      <w:r w:rsidR="00DB7EF3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príslušné </w:t>
      </w:r>
      <w:r w:rsidR="00A559D0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vzory </w:t>
      </w: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hlásení </w:t>
      </w:r>
      <w:r w:rsidR="005A3761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ustanovené </w:t>
      </w:r>
      <w:r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pre banky a pobočky zahraničných bánk </w:t>
      </w:r>
      <w:r w:rsidR="003678F5" w:rsidRPr="00C6520D">
        <w:rPr>
          <w:rFonts w:asciiTheme="majorHAnsi" w:hAnsiTheme="majorHAnsi"/>
          <w:bCs/>
          <w:color w:val="000000" w:themeColor="text1"/>
          <w:sz w:val="22"/>
          <w:szCs w:val="22"/>
        </w:rPr>
        <w:t>vrátane metod</w:t>
      </w:r>
      <w:r w:rsidR="000F5A9A">
        <w:rPr>
          <w:rFonts w:asciiTheme="majorHAnsi" w:hAnsiTheme="majorHAnsi"/>
          <w:bCs/>
          <w:color w:val="000000" w:themeColor="text1"/>
          <w:sz w:val="22"/>
          <w:szCs w:val="22"/>
        </w:rPr>
        <w:t>ík</w:t>
      </w:r>
      <w:r w:rsidR="003678F5" w:rsidRPr="00C6520D">
        <w:rPr>
          <w:rFonts w:asciiTheme="majorHAnsi" w:hAnsiTheme="majorHAnsi"/>
          <w:bCs/>
          <w:color w:val="000000" w:themeColor="text1"/>
          <w:sz w:val="22"/>
          <w:szCs w:val="22"/>
        </w:rPr>
        <w:t xml:space="preserve"> na ich vypracúvanie.</w:t>
      </w:r>
    </w:p>
    <w:p w14:paraId="079E4CB3" w14:textId="77777777" w:rsidR="009C0541" w:rsidRDefault="009C0541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4298BACA" w14:textId="77777777" w:rsidR="00AD1815" w:rsidRDefault="00AD1815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6124DECC" w14:textId="77777777" w:rsidR="009C0541" w:rsidRDefault="009C0541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</w:p>
    <w:p w14:paraId="497C9760" w14:textId="029ED27E" w:rsidR="00225581" w:rsidRPr="00BF0640" w:rsidRDefault="00442263" w:rsidP="00C6520D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BF0640">
        <w:rPr>
          <w:rFonts w:ascii="Verdana" w:hAnsi="Verdana"/>
          <w:b/>
          <w:color w:val="000000" w:themeColor="text1"/>
          <w:sz w:val="20"/>
          <w:szCs w:val="20"/>
        </w:rPr>
        <w:t>Čl. II</w:t>
      </w:r>
    </w:p>
    <w:p w14:paraId="4BC81A56" w14:textId="68A467DB" w:rsidR="00673A71" w:rsidRPr="00C6520D" w:rsidRDefault="009D2C37" w:rsidP="00C6520D">
      <w:pPr>
        <w:ind w:firstLine="720"/>
        <w:rPr>
          <w:rFonts w:asciiTheme="majorHAnsi" w:hAnsiTheme="majorHAnsi"/>
          <w:color w:val="000000" w:themeColor="text1"/>
          <w:sz w:val="22"/>
          <w:szCs w:val="22"/>
        </w:rPr>
      </w:pPr>
      <w:r w:rsidRPr="00BF0640">
        <w:rPr>
          <w:rFonts w:ascii="Cambria" w:hAnsi="Cambria"/>
          <w:color w:val="000000" w:themeColor="text1"/>
          <w:sz w:val="22"/>
          <w:szCs w:val="22"/>
        </w:rPr>
        <w:t xml:space="preserve">Účinnosť opatrenia sa navrhuje dňom </w:t>
      </w:r>
      <w:r>
        <w:rPr>
          <w:rFonts w:ascii="Cambria" w:hAnsi="Cambria"/>
          <w:color w:val="000000" w:themeColor="text1"/>
          <w:sz w:val="22"/>
          <w:szCs w:val="22"/>
        </w:rPr>
        <w:t>31. decembra 2026</w:t>
      </w:r>
      <w:r w:rsidRPr="00BF0640">
        <w:rPr>
          <w:rFonts w:ascii="Cambria" w:hAnsi="Cambria"/>
          <w:color w:val="000000" w:themeColor="text1"/>
          <w:sz w:val="22"/>
          <w:szCs w:val="22"/>
        </w:rPr>
        <w:t>.</w:t>
      </w:r>
    </w:p>
    <w:sectPr w:rsidR="00673A71" w:rsidRPr="00C6520D" w:rsidSect="00BC078A">
      <w:footerReference w:type="default" r:id="rId10"/>
      <w:pgSz w:w="12240" w:h="15840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32E0" w14:textId="77777777" w:rsidR="001E515F" w:rsidRDefault="001E515F">
      <w:r>
        <w:separator/>
      </w:r>
    </w:p>
  </w:endnote>
  <w:endnote w:type="continuationSeparator" w:id="0">
    <w:p w14:paraId="4379ED3C" w14:textId="77777777" w:rsidR="001E515F" w:rsidRDefault="001E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85AB" w14:textId="77777777" w:rsidR="001F23D5" w:rsidRDefault="001F23D5" w:rsidP="00A43D0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F17">
      <w:rPr>
        <w:rStyle w:val="PageNumber"/>
        <w:noProof/>
      </w:rPr>
      <w:t>1</w:t>
    </w:r>
    <w:r>
      <w:rPr>
        <w:rStyle w:val="PageNumber"/>
      </w:rPr>
      <w:fldChar w:fldCharType="end"/>
    </w:r>
  </w:p>
  <w:p w14:paraId="21E4E51D" w14:textId="77777777" w:rsidR="001F23D5" w:rsidRDefault="001F23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3BCF7" w14:textId="77777777" w:rsidR="001E515F" w:rsidRDefault="001E515F">
      <w:r>
        <w:separator/>
      </w:r>
    </w:p>
  </w:footnote>
  <w:footnote w:type="continuationSeparator" w:id="0">
    <w:p w14:paraId="050EFD85" w14:textId="77777777" w:rsidR="001E515F" w:rsidRDefault="001E515F">
      <w:r>
        <w:continuationSeparator/>
      </w:r>
    </w:p>
  </w:footnote>
  <w:footnote w:id="1">
    <w:p w14:paraId="371F4DCB" w14:textId="16D1B090" w:rsidR="00333EBA" w:rsidRPr="00CE0B04" w:rsidRDefault="00333EBA" w:rsidP="00333EBA">
      <w:pPr>
        <w:pStyle w:val="FootnoteText"/>
        <w:jc w:val="both"/>
        <w:rPr>
          <w:rFonts w:asciiTheme="majorHAnsi" w:hAnsiTheme="majorHAnsi"/>
          <w:sz w:val="16"/>
          <w:szCs w:val="16"/>
        </w:rPr>
      </w:pPr>
      <w:r w:rsidRPr="00CE0B04">
        <w:rPr>
          <w:rStyle w:val="FootnoteReference"/>
          <w:rFonts w:asciiTheme="majorHAnsi" w:hAnsiTheme="majorHAnsi"/>
          <w:sz w:val="16"/>
          <w:szCs w:val="16"/>
        </w:rPr>
        <w:footnoteRef/>
      </w:r>
      <w:r w:rsidRPr="00CE0B04">
        <w:rPr>
          <w:rFonts w:asciiTheme="majorHAnsi" w:hAnsiTheme="majorHAnsi"/>
          <w:sz w:val="16"/>
          <w:szCs w:val="16"/>
        </w:rPr>
        <w:t xml:space="preserve"> </w:t>
      </w:r>
      <w:r w:rsidRPr="00CE0B04">
        <w:rPr>
          <w:rFonts w:asciiTheme="majorHAnsi" w:hAnsiTheme="majorHAnsi"/>
          <w:sz w:val="16"/>
          <w:szCs w:val="16"/>
          <w:lang w:val="sk-SK"/>
        </w:rPr>
        <w:t>Vykonávacie nariadenie Komisie (EÚ) 2021/451 zo 17. decembra 2020, ktorým sa stanovujú vykonávacie technické predpisy na uplatňovanie nariadenia Európskeho parlamentu a Rady (EÚ) č. 575/2013, pokiaľ ide o vykazovanie inštitúciami na účely dohľadu, a ktorým sa zrušuje vykonávacie nariadenie (EÚ) č. 680/2014</w:t>
      </w:r>
      <w:r w:rsidR="00636FC5">
        <w:rPr>
          <w:rFonts w:asciiTheme="majorHAnsi" w:hAnsiTheme="majorHAnsi"/>
          <w:sz w:val="16"/>
          <w:szCs w:val="16"/>
          <w:lang w:val="sk-SK"/>
        </w:rPr>
        <w:t xml:space="preserve"> </w:t>
      </w:r>
      <w:r w:rsidR="00636FC5" w:rsidRPr="00636FC5">
        <w:rPr>
          <w:rFonts w:asciiTheme="majorHAnsi" w:hAnsiTheme="majorHAnsi"/>
          <w:sz w:val="16"/>
          <w:szCs w:val="16"/>
          <w:lang w:val="sk-SK"/>
        </w:rPr>
        <w:t>(Ú. v. EÚ L 97, 19.3.2021) v platnom znení</w:t>
      </w:r>
      <w:r w:rsidRPr="00CE0B04">
        <w:rPr>
          <w:rFonts w:asciiTheme="majorHAnsi" w:hAnsiTheme="majorHAnsi"/>
          <w:sz w:val="16"/>
          <w:szCs w:val="16"/>
          <w:lang w:val="sk-SK"/>
        </w:rPr>
        <w:t>.</w:t>
      </w:r>
    </w:p>
  </w:footnote>
  <w:footnote w:id="2">
    <w:p w14:paraId="46F833A5" w14:textId="77777777" w:rsidR="00333EBA" w:rsidRPr="00CE0B04" w:rsidRDefault="00333EBA" w:rsidP="00333EBA">
      <w:pPr>
        <w:rPr>
          <w:rFonts w:asciiTheme="majorHAnsi" w:hAnsiTheme="majorHAnsi"/>
          <w:sz w:val="16"/>
          <w:szCs w:val="16"/>
        </w:rPr>
      </w:pPr>
      <w:r w:rsidRPr="00CE0B04">
        <w:rPr>
          <w:rStyle w:val="FootnoteReference"/>
          <w:rFonts w:asciiTheme="majorHAnsi" w:hAnsiTheme="majorHAnsi"/>
          <w:sz w:val="16"/>
          <w:szCs w:val="16"/>
        </w:rPr>
        <w:footnoteRef/>
      </w:r>
      <w:r w:rsidRPr="00CE0B04">
        <w:rPr>
          <w:rFonts w:asciiTheme="majorHAnsi" w:hAnsiTheme="majorHAnsi"/>
          <w:sz w:val="16"/>
          <w:szCs w:val="16"/>
        </w:rPr>
        <w:t xml:space="preserve"> Zákon č. 312/2025 Z. z. o spotrebiteľských úveroch a o iných úveroch a pôžičkách pre spotrebiteľov a o zmene a doplnení niektorých zákonov.</w:t>
      </w:r>
    </w:p>
    <w:p w14:paraId="3AE2250C" w14:textId="77777777" w:rsidR="00333EBA" w:rsidRPr="00E7447A" w:rsidRDefault="00333EBA" w:rsidP="00333EBA">
      <w:pPr>
        <w:pStyle w:val="FootnoteText"/>
        <w:rPr>
          <w:lang w:val="sk-SK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4A4"/>
    <w:multiLevelType w:val="hybridMultilevel"/>
    <w:tmpl w:val="E3C45A7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85542"/>
    <w:multiLevelType w:val="hybridMultilevel"/>
    <w:tmpl w:val="097ADFB8"/>
    <w:lvl w:ilvl="0" w:tplc="4490A26C">
      <w:start w:val="1"/>
      <w:numFmt w:val="decimal"/>
      <w:lvlText w:val="%1."/>
      <w:lvlJc w:val="left"/>
      <w:pPr>
        <w:ind w:left="1020" w:hanging="360"/>
      </w:pPr>
    </w:lvl>
    <w:lvl w:ilvl="1" w:tplc="AB9CF446">
      <w:start w:val="1"/>
      <w:numFmt w:val="decimal"/>
      <w:lvlText w:val="%2."/>
      <w:lvlJc w:val="left"/>
      <w:pPr>
        <w:ind w:left="1020" w:hanging="360"/>
      </w:pPr>
    </w:lvl>
    <w:lvl w:ilvl="2" w:tplc="A538F70C">
      <w:start w:val="1"/>
      <w:numFmt w:val="decimal"/>
      <w:lvlText w:val="%3."/>
      <w:lvlJc w:val="left"/>
      <w:pPr>
        <w:ind w:left="1020" w:hanging="360"/>
      </w:pPr>
    </w:lvl>
    <w:lvl w:ilvl="3" w:tplc="0BBEE53A">
      <w:start w:val="1"/>
      <w:numFmt w:val="decimal"/>
      <w:lvlText w:val="%4."/>
      <w:lvlJc w:val="left"/>
      <w:pPr>
        <w:ind w:left="1020" w:hanging="360"/>
      </w:pPr>
    </w:lvl>
    <w:lvl w:ilvl="4" w:tplc="8D3822D4">
      <w:start w:val="1"/>
      <w:numFmt w:val="decimal"/>
      <w:lvlText w:val="%5."/>
      <w:lvlJc w:val="left"/>
      <w:pPr>
        <w:ind w:left="1020" w:hanging="360"/>
      </w:pPr>
    </w:lvl>
    <w:lvl w:ilvl="5" w:tplc="A8CC14A4">
      <w:start w:val="1"/>
      <w:numFmt w:val="decimal"/>
      <w:lvlText w:val="%6."/>
      <w:lvlJc w:val="left"/>
      <w:pPr>
        <w:ind w:left="1020" w:hanging="360"/>
      </w:pPr>
    </w:lvl>
    <w:lvl w:ilvl="6" w:tplc="38D80B2C">
      <w:start w:val="1"/>
      <w:numFmt w:val="decimal"/>
      <w:lvlText w:val="%7."/>
      <w:lvlJc w:val="left"/>
      <w:pPr>
        <w:ind w:left="1020" w:hanging="360"/>
      </w:pPr>
    </w:lvl>
    <w:lvl w:ilvl="7" w:tplc="DA881CE0">
      <w:start w:val="1"/>
      <w:numFmt w:val="decimal"/>
      <w:lvlText w:val="%8."/>
      <w:lvlJc w:val="left"/>
      <w:pPr>
        <w:ind w:left="1020" w:hanging="360"/>
      </w:pPr>
    </w:lvl>
    <w:lvl w:ilvl="8" w:tplc="140A491A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0BC06767"/>
    <w:multiLevelType w:val="hybridMultilevel"/>
    <w:tmpl w:val="A4CA898A"/>
    <w:lvl w:ilvl="0" w:tplc="00DC77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D175C17"/>
    <w:multiLevelType w:val="hybridMultilevel"/>
    <w:tmpl w:val="A1E44E90"/>
    <w:lvl w:ilvl="0" w:tplc="C5A262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F281981"/>
    <w:multiLevelType w:val="hybridMultilevel"/>
    <w:tmpl w:val="26841500"/>
    <w:lvl w:ilvl="0" w:tplc="ACB66A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5825C80"/>
    <w:multiLevelType w:val="hybridMultilevel"/>
    <w:tmpl w:val="377CEC1E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4096E"/>
    <w:multiLevelType w:val="hybridMultilevel"/>
    <w:tmpl w:val="034E01F8"/>
    <w:lvl w:ilvl="0" w:tplc="CFAEFD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A4BAF64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</w:rPr>
    </w:lvl>
    <w:lvl w:ilvl="2" w:tplc="EA66FF3E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17374419"/>
    <w:multiLevelType w:val="hybridMultilevel"/>
    <w:tmpl w:val="EA3CA3A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22CA636D"/>
    <w:multiLevelType w:val="hybridMultilevel"/>
    <w:tmpl w:val="E8EAEDCC"/>
    <w:lvl w:ilvl="0" w:tplc="1A685B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9C6408F"/>
    <w:multiLevelType w:val="hybridMultilevel"/>
    <w:tmpl w:val="CAA008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97A9A"/>
    <w:multiLevelType w:val="hybridMultilevel"/>
    <w:tmpl w:val="B868DEFA"/>
    <w:lvl w:ilvl="0" w:tplc="077EA60C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E9F0A35"/>
    <w:multiLevelType w:val="hybridMultilevel"/>
    <w:tmpl w:val="A8CC3B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5E63C9F"/>
    <w:multiLevelType w:val="hybridMultilevel"/>
    <w:tmpl w:val="946687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4AA73FD7"/>
    <w:multiLevelType w:val="hybridMultilevel"/>
    <w:tmpl w:val="AB1248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4E5C5A2B"/>
    <w:multiLevelType w:val="hybridMultilevel"/>
    <w:tmpl w:val="576AFC66"/>
    <w:lvl w:ilvl="0" w:tplc="4F7E17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9EF7E67"/>
    <w:multiLevelType w:val="hybridMultilevel"/>
    <w:tmpl w:val="419C7968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42B07CE"/>
    <w:multiLevelType w:val="hybridMultilevel"/>
    <w:tmpl w:val="ABD494AE"/>
    <w:lvl w:ilvl="0" w:tplc="99C23CF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  <w:color w:val="auto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E13F8"/>
    <w:multiLevelType w:val="hybridMultilevel"/>
    <w:tmpl w:val="EB5A999E"/>
    <w:lvl w:ilvl="0" w:tplc="66C4F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44177807">
    <w:abstractNumId w:val="4"/>
  </w:num>
  <w:num w:numId="2" w16cid:durableId="160239535">
    <w:abstractNumId w:val="17"/>
  </w:num>
  <w:num w:numId="3" w16cid:durableId="92824214">
    <w:abstractNumId w:val="12"/>
  </w:num>
  <w:num w:numId="4" w16cid:durableId="1951888561">
    <w:abstractNumId w:val="7"/>
  </w:num>
  <w:num w:numId="5" w16cid:durableId="1026709292">
    <w:abstractNumId w:val="13"/>
  </w:num>
  <w:num w:numId="6" w16cid:durableId="942498336">
    <w:abstractNumId w:val="9"/>
  </w:num>
  <w:num w:numId="7" w16cid:durableId="539974610">
    <w:abstractNumId w:val="6"/>
  </w:num>
  <w:num w:numId="8" w16cid:durableId="32777388">
    <w:abstractNumId w:val="14"/>
  </w:num>
  <w:num w:numId="9" w16cid:durableId="309098422">
    <w:abstractNumId w:val="11"/>
  </w:num>
  <w:num w:numId="10" w16cid:durableId="288820073">
    <w:abstractNumId w:val="10"/>
  </w:num>
  <w:num w:numId="11" w16cid:durableId="1744914569">
    <w:abstractNumId w:val="2"/>
  </w:num>
  <w:num w:numId="12" w16cid:durableId="1685131197">
    <w:abstractNumId w:val="8"/>
  </w:num>
  <w:num w:numId="13" w16cid:durableId="1392574939">
    <w:abstractNumId w:val="3"/>
  </w:num>
  <w:num w:numId="14" w16cid:durableId="1567297435">
    <w:abstractNumId w:val="0"/>
  </w:num>
  <w:num w:numId="15" w16cid:durableId="1710952000">
    <w:abstractNumId w:val="5"/>
  </w:num>
  <w:num w:numId="16" w16cid:durableId="1848404778">
    <w:abstractNumId w:val="18"/>
  </w:num>
  <w:num w:numId="17" w16cid:durableId="1607153092">
    <w:abstractNumId w:val="15"/>
  </w:num>
  <w:num w:numId="18" w16cid:durableId="490945508">
    <w:abstractNumId w:val="16"/>
  </w:num>
  <w:num w:numId="19" w16cid:durableId="1751465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D5"/>
    <w:rsid w:val="00007DF1"/>
    <w:rsid w:val="000110AF"/>
    <w:rsid w:val="0001204F"/>
    <w:rsid w:val="0001420C"/>
    <w:rsid w:val="000155B0"/>
    <w:rsid w:val="00015DEF"/>
    <w:rsid w:val="000175AA"/>
    <w:rsid w:val="0002318E"/>
    <w:rsid w:val="00030BF9"/>
    <w:rsid w:val="00031AB7"/>
    <w:rsid w:val="0003278F"/>
    <w:rsid w:val="000327E0"/>
    <w:rsid w:val="000334F8"/>
    <w:rsid w:val="000413D8"/>
    <w:rsid w:val="00041739"/>
    <w:rsid w:val="0004750E"/>
    <w:rsid w:val="00054064"/>
    <w:rsid w:val="00057784"/>
    <w:rsid w:val="00063060"/>
    <w:rsid w:val="000731F9"/>
    <w:rsid w:val="00073436"/>
    <w:rsid w:val="0007416F"/>
    <w:rsid w:val="00074A8B"/>
    <w:rsid w:val="00075EB4"/>
    <w:rsid w:val="000778E2"/>
    <w:rsid w:val="0008344F"/>
    <w:rsid w:val="0009089D"/>
    <w:rsid w:val="00090BA9"/>
    <w:rsid w:val="00094CF3"/>
    <w:rsid w:val="000A1854"/>
    <w:rsid w:val="000A1BE9"/>
    <w:rsid w:val="000A22C4"/>
    <w:rsid w:val="000A56E0"/>
    <w:rsid w:val="000B0B35"/>
    <w:rsid w:val="000B27EA"/>
    <w:rsid w:val="000B395D"/>
    <w:rsid w:val="000B4896"/>
    <w:rsid w:val="000C08E9"/>
    <w:rsid w:val="000C351D"/>
    <w:rsid w:val="000C7097"/>
    <w:rsid w:val="000D0039"/>
    <w:rsid w:val="000D6199"/>
    <w:rsid w:val="000E13A9"/>
    <w:rsid w:val="000E6098"/>
    <w:rsid w:val="000E7A1F"/>
    <w:rsid w:val="000F1789"/>
    <w:rsid w:val="000F1FE5"/>
    <w:rsid w:val="000F4416"/>
    <w:rsid w:val="000F5A9A"/>
    <w:rsid w:val="00100D0C"/>
    <w:rsid w:val="00101537"/>
    <w:rsid w:val="00102664"/>
    <w:rsid w:val="00102AF9"/>
    <w:rsid w:val="00103D48"/>
    <w:rsid w:val="00103E17"/>
    <w:rsid w:val="00105C3B"/>
    <w:rsid w:val="00111A4F"/>
    <w:rsid w:val="00115CB7"/>
    <w:rsid w:val="00115DDC"/>
    <w:rsid w:val="001216C3"/>
    <w:rsid w:val="00122889"/>
    <w:rsid w:val="001228B0"/>
    <w:rsid w:val="001402A0"/>
    <w:rsid w:val="0014153B"/>
    <w:rsid w:val="00141C02"/>
    <w:rsid w:val="00153BDD"/>
    <w:rsid w:val="001543F0"/>
    <w:rsid w:val="00157871"/>
    <w:rsid w:val="001614EF"/>
    <w:rsid w:val="00164E76"/>
    <w:rsid w:val="00170C8A"/>
    <w:rsid w:val="00171817"/>
    <w:rsid w:val="001771C4"/>
    <w:rsid w:val="0018483A"/>
    <w:rsid w:val="00185270"/>
    <w:rsid w:val="00187967"/>
    <w:rsid w:val="001943C8"/>
    <w:rsid w:val="00195AC1"/>
    <w:rsid w:val="001A14F2"/>
    <w:rsid w:val="001A2ADA"/>
    <w:rsid w:val="001A5436"/>
    <w:rsid w:val="001A671D"/>
    <w:rsid w:val="001B0805"/>
    <w:rsid w:val="001B0BFB"/>
    <w:rsid w:val="001B5149"/>
    <w:rsid w:val="001B626C"/>
    <w:rsid w:val="001B6F5F"/>
    <w:rsid w:val="001B7E10"/>
    <w:rsid w:val="001C0D00"/>
    <w:rsid w:val="001C1266"/>
    <w:rsid w:val="001C147F"/>
    <w:rsid w:val="001C4A88"/>
    <w:rsid w:val="001D09D6"/>
    <w:rsid w:val="001D1DA1"/>
    <w:rsid w:val="001D31C3"/>
    <w:rsid w:val="001D39F5"/>
    <w:rsid w:val="001D4B09"/>
    <w:rsid w:val="001D73C7"/>
    <w:rsid w:val="001E0E8A"/>
    <w:rsid w:val="001E515F"/>
    <w:rsid w:val="001F05EF"/>
    <w:rsid w:val="001F1FC7"/>
    <w:rsid w:val="001F23D5"/>
    <w:rsid w:val="001F30BB"/>
    <w:rsid w:val="00204F04"/>
    <w:rsid w:val="00210D97"/>
    <w:rsid w:val="002120D9"/>
    <w:rsid w:val="002138F5"/>
    <w:rsid w:val="00215558"/>
    <w:rsid w:val="00221510"/>
    <w:rsid w:val="002240C8"/>
    <w:rsid w:val="00225581"/>
    <w:rsid w:val="00227CD2"/>
    <w:rsid w:val="00230790"/>
    <w:rsid w:val="002329D5"/>
    <w:rsid w:val="002428D6"/>
    <w:rsid w:val="00253A05"/>
    <w:rsid w:val="002632F6"/>
    <w:rsid w:val="00265046"/>
    <w:rsid w:val="002651E5"/>
    <w:rsid w:val="00265500"/>
    <w:rsid w:val="00265784"/>
    <w:rsid w:val="002664A6"/>
    <w:rsid w:val="002715EA"/>
    <w:rsid w:val="002755FC"/>
    <w:rsid w:val="00276CDF"/>
    <w:rsid w:val="00287123"/>
    <w:rsid w:val="00290090"/>
    <w:rsid w:val="002920DC"/>
    <w:rsid w:val="00292781"/>
    <w:rsid w:val="00293257"/>
    <w:rsid w:val="00293EB6"/>
    <w:rsid w:val="00294BFE"/>
    <w:rsid w:val="00297433"/>
    <w:rsid w:val="002A04BA"/>
    <w:rsid w:val="002A5891"/>
    <w:rsid w:val="002C3F70"/>
    <w:rsid w:val="002D02D5"/>
    <w:rsid w:val="002D0810"/>
    <w:rsid w:val="002D25E8"/>
    <w:rsid w:val="002D2D3D"/>
    <w:rsid w:val="002D354C"/>
    <w:rsid w:val="002E04AE"/>
    <w:rsid w:val="002E15FB"/>
    <w:rsid w:val="002E78FE"/>
    <w:rsid w:val="002F3BBB"/>
    <w:rsid w:val="002F4980"/>
    <w:rsid w:val="003008B0"/>
    <w:rsid w:val="00303F34"/>
    <w:rsid w:val="00304D82"/>
    <w:rsid w:val="00305219"/>
    <w:rsid w:val="00306B6B"/>
    <w:rsid w:val="00306CB4"/>
    <w:rsid w:val="0031690B"/>
    <w:rsid w:val="00320E20"/>
    <w:rsid w:val="0032759A"/>
    <w:rsid w:val="00333EBA"/>
    <w:rsid w:val="00351609"/>
    <w:rsid w:val="00352E42"/>
    <w:rsid w:val="00355D6C"/>
    <w:rsid w:val="0036203D"/>
    <w:rsid w:val="00362513"/>
    <w:rsid w:val="00362C3D"/>
    <w:rsid w:val="0036352F"/>
    <w:rsid w:val="0036459D"/>
    <w:rsid w:val="003678F5"/>
    <w:rsid w:val="00370D00"/>
    <w:rsid w:val="00377DC5"/>
    <w:rsid w:val="00381BD2"/>
    <w:rsid w:val="003851AB"/>
    <w:rsid w:val="00386521"/>
    <w:rsid w:val="00386B4B"/>
    <w:rsid w:val="00391E8D"/>
    <w:rsid w:val="00392A65"/>
    <w:rsid w:val="00392EAB"/>
    <w:rsid w:val="003965A9"/>
    <w:rsid w:val="003A16C3"/>
    <w:rsid w:val="003A4419"/>
    <w:rsid w:val="003A4FF5"/>
    <w:rsid w:val="003A59D5"/>
    <w:rsid w:val="003B373A"/>
    <w:rsid w:val="003C0171"/>
    <w:rsid w:val="003C7490"/>
    <w:rsid w:val="003D24A6"/>
    <w:rsid w:val="003D5431"/>
    <w:rsid w:val="003D5FC6"/>
    <w:rsid w:val="003D6854"/>
    <w:rsid w:val="003E15CB"/>
    <w:rsid w:val="003E24BD"/>
    <w:rsid w:val="003E4C8D"/>
    <w:rsid w:val="003F077F"/>
    <w:rsid w:val="003F415C"/>
    <w:rsid w:val="0040480C"/>
    <w:rsid w:val="004206F4"/>
    <w:rsid w:val="0042398E"/>
    <w:rsid w:val="00442263"/>
    <w:rsid w:val="00447B32"/>
    <w:rsid w:val="00453C11"/>
    <w:rsid w:val="004552DE"/>
    <w:rsid w:val="00455F27"/>
    <w:rsid w:val="00456202"/>
    <w:rsid w:val="004609C0"/>
    <w:rsid w:val="00462AA5"/>
    <w:rsid w:val="00464EBA"/>
    <w:rsid w:val="00475ED7"/>
    <w:rsid w:val="004822FF"/>
    <w:rsid w:val="00491B5D"/>
    <w:rsid w:val="00491FE4"/>
    <w:rsid w:val="00492708"/>
    <w:rsid w:val="00494E26"/>
    <w:rsid w:val="0049613D"/>
    <w:rsid w:val="0049712C"/>
    <w:rsid w:val="004A1D33"/>
    <w:rsid w:val="004A4521"/>
    <w:rsid w:val="004A5F3F"/>
    <w:rsid w:val="004B01C3"/>
    <w:rsid w:val="004B1766"/>
    <w:rsid w:val="004B2E59"/>
    <w:rsid w:val="004B3292"/>
    <w:rsid w:val="004B32D5"/>
    <w:rsid w:val="004B34FD"/>
    <w:rsid w:val="004B478B"/>
    <w:rsid w:val="004B4844"/>
    <w:rsid w:val="004B6A46"/>
    <w:rsid w:val="004B7FB5"/>
    <w:rsid w:val="004C0F85"/>
    <w:rsid w:val="004C127E"/>
    <w:rsid w:val="004C5554"/>
    <w:rsid w:val="004C586A"/>
    <w:rsid w:val="004D1BEE"/>
    <w:rsid w:val="004D2008"/>
    <w:rsid w:val="004D7BE3"/>
    <w:rsid w:val="004D7E0F"/>
    <w:rsid w:val="004E038B"/>
    <w:rsid w:val="004E0F1E"/>
    <w:rsid w:val="004E26EC"/>
    <w:rsid w:val="004E7E50"/>
    <w:rsid w:val="004F2E79"/>
    <w:rsid w:val="004F56AC"/>
    <w:rsid w:val="00500D4F"/>
    <w:rsid w:val="005037F5"/>
    <w:rsid w:val="00504FF2"/>
    <w:rsid w:val="00505D75"/>
    <w:rsid w:val="0050677A"/>
    <w:rsid w:val="00511F58"/>
    <w:rsid w:val="00514E87"/>
    <w:rsid w:val="00520083"/>
    <w:rsid w:val="00522BCA"/>
    <w:rsid w:val="00524515"/>
    <w:rsid w:val="005279A4"/>
    <w:rsid w:val="00543EC7"/>
    <w:rsid w:val="0054657F"/>
    <w:rsid w:val="005519B6"/>
    <w:rsid w:val="00562EFE"/>
    <w:rsid w:val="00563FF8"/>
    <w:rsid w:val="005662F6"/>
    <w:rsid w:val="00570F17"/>
    <w:rsid w:val="00571110"/>
    <w:rsid w:val="00593D57"/>
    <w:rsid w:val="0059417C"/>
    <w:rsid w:val="005A3761"/>
    <w:rsid w:val="005A534A"/>
    <w:rsid w:val="005B2F8D"/>
    <w:rsid w:val="005C45F0"/>
    <w:rsid w:val="005C4CE5"/>
    <w:rsid w:val="005C53EE"/>
    <w:rsid w:val="005C5832"/>
    <w:rsid w:val="005C61DB"/>
    <w:rsid w:val="005C6799"/>
    <w:rsid w:val="005C7415"/>
    <w:rsid w:val="005C79EC"/>
    <w:rsid w:val="005D1FEE"/>
    <w:rsid w:val="005D2B46"/>
    <w:rsid w:val="005D6431"/>
    <w:rsid w:val="005D7CE0"/>
    <w:rsid w:val="005D7D76"/>
    <w:rsid w:val="005E441F"/>
    <w:rsid w:val="005E4B3E"/>
    <w:rsid w:val="005E6A90"/>
    <w:rsid w:val="005F33DF"/>
    <w:rsid w:val="005F3AE1"/>
    <w:rsid w:val="005F70E4"/>
    <w:rsid w:val="005F773F"/>
    <w:rsid w:val="006005BA"/>
    <w:rsid w:val="00605418"/>
    <w:rsid w:val="006163F6"/>
    <w:rsid w:val="00620609"/>
    <w:rsid w:val="00621077"/>
    <w:rsid w:val="00621A98"/>
    <w:rsid w:val="00621CC1"/>
    <w:rsid w:val="006239FD"/>
    <w:rsid w:val="006252ED"/>
    <w:rsid w:val="00625FF2"/>
    <w:rsid w:val="00634149"/>
    <w:rsid w:val="00636FC5"/>
    <w:rsid w:val="006374F7"/>
    <w:rsid w:val="00640CEB"/>
    <w:rsid w:val="00641433"/>
    <w:rsid w:val="00642A64"/>
    <w:rsid w:val="00644342"/>
    <w:rsid w:val="006462AA"/>
    <w:rsid w:val="00651896"/>
    <w:rsid w:val="00651BA4"/>
    <w:rsid w:val="00655675"/>
    <w:rsid w:val="00662DC6"/>
    <w:rsid w:val="00666FBC"/>
    <w:rsid w:val="006711F2"/>
    <w:rsid w:val="006739A9"/>
    <w:rsid w:val="00673A71"/>
    <w:rsid w:val="0067459F"/>
    <w:rsid w:val="00675AA3"/>
    <w:rsid w:val="0067608A"/>
    <w:rsid w:val="006773D4"/>
    <w:rsid w:val="00682697"/>
    <w:rsid w:val="00683305"/>
    <w:rsid w:val="00687FC7"/>
    <w:rsid w:val="006A1E70"/>
    <w:rsid w:val="006A1FB3"/>
    <w:rsid w:val="006A4BC0"/>
    <w:rsid w:val="006A52A2"/>
    <w:rsid w:val="006B065A"/>
    <w:rsid w:val="006B2A1D"/>
    <w:rsid w:val="006C02EA"/>
    <w:rsid w:val="006C290E"/>
    <w:rsid w:val="006C3D06"/>
    <w:rsid w:val="006C58B0"/>
    <w:rsid w:val="006C623B"/>
    <w:rsid w:val="006D2E79"/>
    <w:rsid w:val="006D5844"/>
    <w:rsid w:val="006E22CD"/>
    <w:rsid w:val="006E515B"/>
    <w:rsid w:val="006E6B73"/>
    <w:rsid w:val="00703CBE"/>
    <w:rsid w:val="00704725"/>
    <w:rsid w:val="007050AA"/>
    <w:rsid w:val="00705FD3"/>
    <w:rsid w:val="00707B19"/>
    <w:rsid w:val="00710CCE"/>
    <w:rsid w:val="00711F16"/>
    <w:rsid w:val="00711FD2"/>
    <w:rsid w:val="00715B44"/>
    <w:rsid w:val="0072063E"/>
    <w:rsid w:val="00721F6A"/>
    <w:rsid w:val="007230C8"/>
    <w:rsid w:val="00723147"/>
    <w:rsid w:val="007266FC"/>
    <w:rsid w:val="00734CDA"/>
    <w:rsid w:val="0074005F"/>
    <w:rsid w:val="007408C5"/>
    <w:rsid w:val="00742710"/>
    <w:rsid w:val="00744B45"/>
    <w:rsid w:val="00745CA5"/>
    <w:rsid w:val="00747345"/>
    <w:rsid w:val="00747479"/>
    <w:rsid w:val="007475F3"/>
    <w:rsid w:val="007545CB"/>
    <w:rsid w:val="007652E3"/>
    <w:rsid w:val="007702DB"/>
    <w:rsid w:val="00773DD6"/>
    <w:rsid w:val="00774364"/>
    <w:rsid w:val="00777CBD"/>
    <w:rsid w:val="007812BA"/>
    <w:rsid w:val="00781BFA"/>
    <w:rsid w:val="00784114"/>
    <w:rsid w:val="00784CB7"/>
    <w:rsid w:val="007853D3"/>
    <w:rsid w:val="007854D6"/>
    <w:rsid w:val="00797F78"/>
    <w:rsid w:val="007A0FA9"/>
    <w:rsid w:val="007A26A7"/>
    <w:rsid w:val="007A2C08"/>
    <w:rsid w:val="007A522A"/>
    <w:rsid w:val="007A6C09"/>
    <w:rsid w:val="007B12F0"/>
    <w:rsid w:val="007B3CF3"/>
    <w:rsid w:val="007B4205"/>
    <w:rsid w:val="007C0D11"/>
    <w:rsid w:val="007C2815"/>
    <w:rsid w:val="007C2FC3"/>
    <w:rsid w:val="007C6671"/>
    <w:rsid w:val="007D2872"/>
    <w:rsid w:val="007D32C4"/>
    <w:rsid w:val="007D6020"/>
    <w:rsid w:val="007E443B"/>
    <w:rsid w:val="007F06C4"/>
    <w:rsid w:val="007F56D2"/>
    <w:rsid w:val="007F5D82"/>
    <w:rsid w:val="00800BE5"/>
    <w:rsid w:val="0080481F"/>
    <w:rsid w:val="00807369"/>
    <w:rsid w:val="008114F2"/>
    <w:rsid w:val="00811CC8"/>
    <w:rsid w:val="00812293"/>
    <w:rsid w:val="00813F80"/>
    <w:rsid w:val="008240FE"/>
    <w:rsid w:val="0082609D"/>
    <w:rsid w:val="0082618E"/>
    <w:rsid w:val="00827057"/>
    <w:rsid w:val="00827DD9"/>
    <w:rsid w:val="00841562"/>
    <w:rsid w:val="008471A3"/>
    <w:rsid w:val="00852CB7"/>
    <w:rsid w:val="00854321"/>
    <w:rsid w:val="00860F59"/>
    <w:rsid w:val="00861715"/>
    <w:rsid w:val="00864247"/>
    <w:rsid w:val="00865186"/>
    <w:rsid w:val="008659B1"/>
    <w:rsid w:val="00873A2F"/>
    <w:rsid w:val="00874290"/>
    <w:rsid w:val="00874A20"/>
    <w:rsid w:val="00874D33"/>
    <w:rsid w:val="008757BE"/>
    <w:rsid w:val="008827EE"/>
    <w:rsid w:val="00885268"/>
    <w:rsid w:val="00885BE2"/>
    <w:rsid w:val="00887D43"/>
    <w:rsid w:val="00891986"/>
    <w:rsid w:val="008A0197"/>
    <w:rsid w:val="008A094B"/>
    <w:rsid w:val="008A15EF"/>
    <w:rsid w:val="008A1A4F"/>
    <w:rsid w:val="008A4CA2"/>
    <w:rsid w:val="008A6D31"/>
    <w:rsid w:val="008A798B"/>
    <w:rsid w:val="008B1193"/>
    <w:rsid w:val="008B4C4F"/>
    <w:rsid w:val="008B4C7D"/>
    <w:rsid w:val="008B60D0"/>
    <w:rsid w:val="008C0359"/>
    <w:rsid w:val="008C36A3"/>
    <w:rsid w:val="008C4A6D"/>
    <w:rsid w:val="008D07B1"/>
    <w:rsid w:val="008D174D"/>
    <w:rsid w:val="008D4616"/>
    <w:rsid w:val="008D4B2C"/>
    <w:rsid w:val="008D7167"/>
    <w:rsid w:val="008E043F"/>
    <w:rsid w:val="008E0503"/>
    <w:rsid w:val="008E179F"/>
    <w:rsid w:val="008E381A"/>
    <w:rsid w:val="008E7372"/>
    <w:rsid w:val="008E7CF7"/>
    <w:rsid w:val="00900FF3"/>
    <w:rsid w:val="0090344E"/>
    <w:rsid w:val="0091180C"/>
    <w:rsid w:val="0091194F"/>
    <w:rsid w:val="00913E58"/>
    <w:rsid w:val="0091624C"/>
    <w:rsid w:val="00917982"/>
    <w:rsid w:val="00917AB8"/>
    <w:rsid w:val="0092065A"/>
    <w:rsid w:val="009235CF"/>
    <w:rsid w:val="009246F4"/>
    <w:rsid w:val="00924B95"/>
    <w:rsid w:val="0092503F"/>
    <w:rsid w:val="00930589"/>
    <w:rsid w:val="00935A5A"/>
    <w:rsid w:val="0094172A"/>
    <w:rsid w:val="009429E9"/>
    <w:rsid w:val="00942E9B"/>
    <w:rsid w:val="009606B6"/>
    <w:rsid w:val="00960816"/>
    <w:rsid w:val="0096084B"/>
    <w:rsid w:val="009618F1"/>
    <w:rsid w:val="0096323C"/>
    <w:rsid w:val="00964F0A"/>
    <w:rsid w:val="00966124"/>
    <w:rsid w:val="0097180C"/>
    <w:rsid w:val="009762DF"/>
    <w:rsid w:val="0098102F"/>
    <w:rsid w:val="00981A67"/>
    <w:rsid w:val="00983FB4"/>
    <w:rsid w:val="0098429D"/>
    <w:rsid w:val="00986488"/>
    <w:rsid w:val="00986C95"/>
    <w:rsid w:val="009900DA"/>
    <w:rsid w:val="009909DA"/>
    <w:rsid w:val="0099558D"/>
    <w:rsid w:val="009A7BB1"/>
    <w:rsid w:val="009B26D3"/>
    <w:rsid w:val="009B3515"/>
    <w:rsid w:val="009B729B"/>
    <w:rsid w:val="009B75FF"/>
    <w:rsid w:val="009C0541"/>
    <w:rsid w:val="009C15EF"/>
    <w:rsid w:val="009C20AA"/>
    <w:rsid w:val="009C2719"/>
    <w:rsid w:val="009C5973"/>
    <w:rsid w:val="009C61C0"/>
    <w:rsid w:val="009C670B"/>
    <w:rsid w:val="009C76DF"/>
    <w:rsid w:val="009D0185"/>
    <w:rsid w:val="009D177E"/>
    <w:rsid w:val="009D2C37"/>
    <w:rsid w:val="009E0F44"/>
    <w:rsid w:val="009E184B"/>
    <w:rsid w:val="009E1C08"/>
    <w:rsid w:val="009E290E"/>
    <w:rsid w:val="009E2F05"/>
    <w:rsid w:val="009E39FA"/>
    <w:rsid w:val="009E4102"/>
    <w:rsid w:val="009F0923"/>
    <w:rsid w:val="009F3961"/>
    <w:rsid w:val="009F498B"/>
    <w:rsid w:val="009F5C7C"/>
    <w:rsid w:val="009F6463"/>
    <w:rsid w:val="00A00BCE"/>
    <w:rsid w:val="00A01A5E"/>
    <w:rsid w:val="00A03562"/>
    <w:rsid w:val="00A12143"/>
    <w:rsid w:val="00A13136"/>
    <w:rsid w:val="00A14C34"/>
    <w:rsid w:val="00A1511C"/>
    <w:rsid w:val="00A163F2"/>
    <w:rsid w:val="00A17281"/>
    <w:rsid w:val="00A202B0"/>
    <w:rsid w:val="00A214C2"/>
    <w:rsid w:val="00A253B3"/>
    <w:rsid w:val="00A27DF0"/>
    <w:rsid w:val="00A368AD"/>
    <w:rsid w:val="00A379DF"/>
    <w:rsid w:val="00A40F8F"/>
    <w:rsid w:val="00A41FA0"/>
    <w:rsid w:val="00A43D09"/>
    <w:rsid w:val="00A446E1"/>
    <w:rsid w:val="00A44E8B"/>
    <w:rsid w:val="00A46B73"/>
    <w:rsid w:val="00A5061C"/>
    <w:rsid w:val="00A511AB"/>
    <w:rsid w:val="00A526D0"/>
    <w:rsid w:val="00A52B66"/>
    <w:rsid w:val="00A559D0"/>
    <w:rsid w:val="00A55BAC"/>
    <w:rsid w:val="00A576C1"/>
    <w:rsid w:val="00A652D6"/>
    <w:rsid w:val="00A65E11"/>
    <w:rsid w:val="00A66B55"/>
    <w:rsid w:val="00A6707D"/>
    <w:rsid w:val="00A75551"/>
    <w:rsid w:val="00A80C16"/>
    <w:rsid w:val="00A80EA1"/>
    <w:rsid w:val="00A81615"/>
    <w:rsid w:val="00A82C84"/>
    <w:rsid w:val="00A8588E"/>
    <w:rsid w:val="00A85BFC"/>
    <w:rsid w:val="00A85F55"/>
    <w:rsid w:val="00A86908"/>
    <w:rsid w:val="00A87174"/>
    <w:rsid w:val="00A90BFE"/>
    <w:rsid w:val="00A92C4F"/>
    <w:rsid w:val="00A92F04"/>
    <w:rsid w:val="00A9630D"/>
    <w:rsid w:val="00A96E6E"/>
    <w:rsid w:val="00A972C9"/>
    <w:rsid w:val="00AA0849"/>
    <w:rsid w:val="00AA54D5"/>
    <w:rsid w:val="00AA7956"/>
    <w:rsid w:val="00AB0023"/>
    <w:rsid w:val="00AB5272"/>
    <w:rsid w:val="00AB6C20"/>
    <w:rsid w:val="00AC00F6"/>
    <w:rsid w:val="00AC3696"/>
    <w:rsid w:val="00AC37FA"/>
    <w:rsid w:val="00AD0730"/>
    <w:rsid w:val="00AD1815"/>
    <w:rsid w:val="00AD2D38"/>
    <w:rsid w:val="00AD2F5D"/>
    <w:rsid w:val="00AD4C74"/>
    <w:rsid w:val="00AD4CD7"/>
    <w:rsid w:val="00AE130B"/>
    <w:rsid w:val="00AE170A"/>
    <w:rsid w:val="00AF1785"/>
    <w:rsid w:val="00AF1E08"/>
    <w:rsid w:val="00AF3DAA"/>
    <w:rsid w:val="00AF3F85"/>
    <w:rsid w:val="00B014EE"/>
    <w:rsid w:val="00B06B0C"/>
    <w:rsid w:val="00B1036D"/>
    <w:rsid w:val="00B131FF"/>
    <w:rsid w:val="00B13604"/>
    <w:rsid w:val="00B20133"/>
    <w:rsid w:val="00B210C0"/>
    <w:rsid w:val="00B21940"/>
    <w:rsid w:val="00B21D85"/>
    <w:rsid w:val="00B22E3F"/>
    <w:rsid w:val="00B257B2"/>
    <w:rsid w:val="00B3091B"/>
    <w:rsid w:val="00B340B7"/>
    <w:rsid w:val="00B37ED4"/>
    <w:rsid w:val="00B43271"/>
    <w:rsid w:val="00B45F60"/>
    <w:rsid w:val="00B479EE"/>
    <w:rsid w:val="00B545D8"/>
    <w:rsid w:val="00B60BF9"/>
    <w:rsid w:val="00B61CD6"/>
    <w:rsid w:val="00B62836"/>
    <w:rsid w:val="00B64ED1"/>
    <w:rsid w:val="00B6711E"/>
    <w:rsid w:val="00B72C08"/>
    <w:rsid w:val="00B72ECF"/>
    <w:rsid w:val="00B749DB"/>
    <w:rsid w:val="00B83A15"/>
    <w:rsid w:val="00B84389"/>
    <w:rsid w:val="00B91777"/>
    <w:rsid w:val="00B91AA4"/>
    <w:rsid w:val="00BA20AD"/>
    <w:rsid w:val="00BA2644"/>
    <w:rsid w:val="00BA7169"/>
    <w:rsid w:val="00BB329C"/>
    <w:rsid w:val="00BB52BD"/>
    <w:rsid w:val="00BB5909"/>
    <w:rsid w:val="00BB6CE1"/>
    <w:rsid w:val="00BC078A"/>
    <w:rsid w:val="00BC533E"/>
    <w:rsid w:val="00BD18DA"/>
    <w:rsid w:val="00BD53E1"/>
    <w:rsid w:val="00BD7F6F"/>
    <w:rsid w:val="00BE199A"/>
    <w:rsid w:val="00BE2179"/>
    <w:rsid w:val="00BE4CD6"/>
    <w:rsid w:val="00BE7479"/>
    <w:rsid w:val="00BF0640"/>
    <w:rsid w:val="00BF5886"/>
    <w:rsid w:val="00BF6C17"/>
    <w:rsid w:val="00C0015B"/>
    <w:rsid w:val="00C00459"/>
    <w:rsid w:val="00C02A8E"/>
    <w:rsid w:val="00C13AF7"/>
    <w:rsid w:val="00C1669B"/>
    <w:rsid w:val="00C17719"/>
    <w:rsid w:val="00C20FF0"/>
    <w:rsid w:val="00C234BE"/>
    <w:rsid w:val="00C23A7B"/>
    <w:rsid w:val="00C23D99"/>
    <w:rsid w:val="00C24D24"/>
    <w:rsid w:val="00C26F8D"/>
    <w:rsid w:val="00C35903"/>
    <w:rsid w:val="00C41E56"/>
    <w:rsid w:val="00C430FC"/>
    <w:rsid w:val="00C44B9C"/>
    <w:rsid w:val="00C477C2"/>
    <w:rsid w:val="00C531A5"/>
    <w:rsid w:val="00C53299"/>
    <w:rsid w:val="00C5659D"/>
    <w:rsid w:val="00C569A3"/>
    <w:rsid w:val="00C630C5"/>
    <w:rsid w:val="00C63330"/>
    <w:rsid w:val="00C6520D"/>
    <w:rsid w:val="00C67919"/>
    <w:rsid w:val="00C70B03"/>
    <w:rsid w:val="00C739F6"/>
    <w:rsid w:val="00C74DF9"/>
    <w:rsid w:val="00C7512A"/>
    <w:rsid w:val="00C757C7"/>
    <w:rsid w:val="00C81E2E"/>
    <w:rsid w:val="00C82C2E"/>
    <w:rsid w:val="00C8311A"/>
    <w:rsid w:val="00C83C3B"/>
    <w:rsid w:val="00C83EC5"/>
    <w:rsid w:val="00C8633D"/>
    <w:rsid w:val="00C8796E"/>
    <w:rsid w:val="00C925CA"/>
    <w:rsid w:val="00C96D91"/>
    <w:rsid w:val="00C97127"/>
    <w:rsid w:val="00CA1393"/>
    <w:rsid w:val="00CA2CC6"/>
    <w:rsid w:val="00CA350D"/>
    <w:rsid w:val="00CB16CA"/>
    <w:rsid w:val="00CB1E1A"/>
    <w:rsid w:val="00CB24DD"/>
    <w:rsid w:val="00CB3E28"/>
    <w:rsid w:val="00CB459D"/>
    <w:rsid w:val="00CB59EB"/>
    <w:rsid w:val="00CB5C6B"/>
    <w:rsid w:val="00CC1CEF"/>
    <w:rsid w:val="00CC7ABE"/>
    <w:rsid w:val="00CD3C03"/>
    <w:rsid w:val="00CD4F28"/>
    <w:rsid w:val="00CD540A"/>
    <w:rsid w:val="00CE0B04"/>
    <w:rsid w:val="00CE11EE"/>
    <w:rsid w:val="00CE2B90"/>
    <w:rsid w:val="00CE39EB"/>
    <w:rsid w:val="00CE3FF6"/>
    <w:rsid w:val="00CE57A9"/>
    <w:rsid w:val="00CF292A"/>
    <w:rsid w:val="00CF41AC"/>
    <w:rsid w:val="00CF48A2"/>
    <w:rsid w:val="00CF50A6"/>
    <w:rsid w:val="00D0160A"/>
    <w:rsid w:val="00D03E7B"/>
    <w:rsid w:val="00D077A5"/>
    <w:rsid w:val="00D11F1C"/>
    <w:rsid w:val="00D13D42"/>
    <w:rsid w:val="00D16DE8"/>
    <w:rsid w:val="00D17619"/>
    <w:rsid w:val="00D27BEC"/>
    <w:rsid w:val="00D30516"/>
    <w:rsid w:val="00D31021"/>
    <w:rsid w:val="00D35AAE"/>
    <w:rsid w:val="00D407D0"/>
    <w:rsid w:val="00D40908"/>
    <w:rsid w:val="00D40E76"/>
    <w:rsid w:val="00D41DA1"/>
    <w:rsid w:val="00D4376E"/>
    <w:rsid w:val="00D4576D"/>
    <w:rsid w:val="00D47354"/>
    <w:rsid w:val="00D50529"/>
    <w:rsid w:val="00D55B6D"/>
    <w:rsid w:val="00D579A0"/>
    <w:rsid w:val="00D57BE4"/>
    <w:rsid w:val="00D609BC"/>
    <w:rsid w:val="00D6174B"/>
    <w:rsid w:val="00D64D2B"/>
    <w:rsid w:val="00D65D6B"/>
    <w:rsid w:val="00D72BA3"/>
    <w:rsid w:val="00D7546F"/>
    <w:rsid w:val="00D7646C"/>
    <w:rsid w:val="00D76D7A"/>
    <w:rsid w:val="00D80452"/>
    <w:rsid w:val="00D817E9"/>
    <w:rsid w:val="00D83CD8"/>
    <w:rsid w:val="00D85455"/>
    <w:rsid w:val="00D87F0C"/>
    <w:rsid w:val="00D90022"/>
    <w:rsid w:val="00D9074A"/>
    <w:rsid w:val="00D958C6"/>
    <w:rsid w:val="00D972CB"/>
    <w:rsid w:val="00DA0E36"/>
    <w:rsid w:val="00DA1020"/>
    <w:rsid w:val="00DA3E5F"/>
    <w:rsid w:val="00DB277C"/>
    <w:rsid w:val="00DB43A0"/>
    <w:rsid w:val="00DB464D"/>
    <w:rsid w:val="00DB5EE4"/>
    <w:rsid w:val="00DB68FE"/>
    <w:rsid w:val="00DB6B2F"/>
    <w:rsid w:val="00DB7EF3"/>
    <w:rsid w:val="00DC0988"/>
    <w:rsid w:val="00DC0C42"/>
    <w:rsid w:val="00DC1D11"/>
    <w:rsid w:val="00DC5D6B"/>
    <w:rsid w:val="00DD0EDA"/>
    <w:rsid w:val="00DD2C6A"/>
    <w:rsid w:val="00DD2CA5"/>
    <w:rsid w:val="00DD47DA"/>
    <w:rsid w:val="00DD6796"/>
    <w:rsid w:val="00DE67B0"/>
    <w:rsid w:val="00DE7979"/>
    <w:rsid w:val="00DF0066"/>
    <w:rsid w:val="00E0712E"/>
    <w:rsid w:val="00E0786E"/>
    <w:rsid w:val="00E07AF4"/>
    <w:rsid w:val="00E07F90"/>
    <w:rsid w:val="00E11F0A"/>
    <w:rsid w:val="00E1521B"/>
    <w:rsid w:val="00E152C7"/>
    <w:rsid w:val="00E15A7C"/>
    <w:rsid w:val="00E20224"/>
    <w:rsid w:val="00E21E69"/>
    <w:rsid w:val="00E24687"/>
    <w:rsid w:val="00E31669"/>
    <w:rsid w:val="00E33F84"/>
    <w:rsid w:val="00E35FEA"/>
    <w:rsid w:val="00E36028"/>
    <w:rsid w:val="00E36DDE"/>
    <w:rsid w:val="00E4050A"/>
    <w:rsid w:val="00E41846"/>
    <w:rsid w:val="00E430F2"/>
    <w:rsid w:val="00E43C9C"/>
    <w:rsid w:val="00E44A8A"/>
    <w:rsid w:val="00E460B9"/>
    <w:rsid w:val="00E53655"/>
    <w:rsid w:val="00E5504D"/>
    <w:rsid w:val="00E6465C"/>
    <w:rsid w:val="00E70592"/>
    <w:rsid w:val="00E713EB"/>
    <w:rsid w:val="00E80679"/>
    <w:rsid w:val="00E83ADA"/>
    <w:rsid w:val="00E87BBE"/>
    <w:rsid w:val="00E9003D"/>
    <w:rsid w:val="00E902E5"/>
    <w:rsid w:val="00E949DE"/>
    <w:rsid w:val="00EA0231"/>
    <w:rsid w:val="00EA20E2"/>
    <w:rsid w:val="00EA3F16"/>
    <w:rsid w:val="00EB1EBF"/>
    <w:rsid w:val="00EC324E"/>
    <w:rsid w:val="00EC4C30"/>
    <w:rsid w:val="00EC533E"/>
    <w:rsid w:val="00EC5D79"/>
    <w:rsid w:val="00EC6115"/>
    <w:rsid w:val="00EC69B0"/>
    <w:rsid w:val="00EC7CC9"/>
    <w:rsid w:val="00ED0CB8"/>
    <w:rsid w:val="00ED42E2"/>
    <w:rsid w:val="00ED4EE6"/>
    <w:rsid w:val="00ED503F"/>
    <w:rsid w:val="00EE0900"/>
    <w:rsid w:val="00EE2E74"/>
    <w:rsid w:val="00EE39B0"/>
    <w:rsid w:val="00EF2D36"/>
    <w:rsid w:val="00EF42E4"/>
    <w:rsid w:val="00EF7863"/>
    <w:rsid w:val="00F02870"/>
    <w:rsid w:val="00F10548"/>
    <w:rsid w:val="00F11478"/>
    <w:rsid w:val="00F12DCC"/>
    <w:rsid w:val="00F14BDA"/>
    <w:rsid w:val="00F1673E"/>
    <w:rsid w:val="00F1748E"/>
    <w:rsid w:val="00F22A93"/>
    <w:rsid w:val="00F22EA3"/>
    <w:rsid w:val="00F25C72"/>
    <w:rsid w:val="00F25CFD"/>
    <w:rsid w:val="00F27179"/>
    <w:rsid w:val="00F27F6F"/>
    <w:rsid w:val="00F3072A"/>
    <w:rsid w:val="00F30BAF"/>
    <w:rsid w:val="00F32313"/>
    <w:rsid w:val="00F40355"/>
    <w:rsid w:val="00F4084A"/>
    <w:rsid w:val="00F45E8E"/>
    <w:rsid w:val="00F468FE"/>
    <w:rsid w:val="00F46A65"/>
    <w:rsid w:val="00F50399"/>
    <w:rsid w:val="00F52B9B"/>
    <w:rsid w:val="00F53984"/>
    <w:rsid w:val="00F5590D"/>
    <w:rsid w:val="00F56033"/>
    <w:rsid w:val="00F57657"/>
    <w:rsid w:val="00F578EC"/>
    <w:rsid w:val="00F61792"/>
    <w:rsid w:val="00F65EE9"/>
    <w:rsid w:val="00F67B8B"/>
    <w:rsid w:val="00F70149"/>
    <w:rsid w:val="00F702D6"/>
    <w:rsid w:val="00F74CFE"/>
    <w:rsid w:val="00F7668C"/>
    <w:rsid w:val="00F8094E"/>
    <w:rsid w:val="00F83B3A"/>
    <w:rsid w:val="00F84995"/>
    <w:rsid w:val="00F90D79"/>
    <w:rsid w:val="00F94CFE"/>
    <w:rsid w:val="00FA0F00"/>
    <w:rsid w:val="00FB655A"/>
    <w:rsid w:val="00FC17B7"/>
    <w:rsid w:val="00FC1946"/>
    <w:rsid w:val="00FC22FA"/>
    <w:rsid w:val="00FC27BE"/>
    <w:rsid w:val="00FC655F"/>
    <w:rsid w:val="00FD02E4"/>
    <w:rsid w:val="00FD1D47"/>
    <w:rsid w:val="00FD6920"/>
    <w:rsid w:val="00FE028C"/>
    <w:rsid w:val="00FE3FEE"/>
    <w:rsid w:val="00FF0159"/>
    <w:rsid w:val="00FF0A3B"/>
    <w:rsid w:val="00FF4638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CC9763"/>
  <w14:defaultImageDpi w14:val="0"/>
  <w15:docId w15:val="{D23967DC-2E33-4FA4-8E5D-20979ED4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US"/>
    </w:rPr>
  </w:style>
  <w:style w:type="paragraph" w:styleId="BodyText">
    <w:name w:val="Body Text"/>
    <w:basedOn w:val="Normal"/>
    <w:link w:val="BodyTextChar"/>
    <w:uiPriority w:val="99"/>
    <w:pPr>
      <w:widowControl/>
      <w:jc w:val="left"/>
    </w:pPr>
    <w:rPr>
      <w:b/>
      <w:bCs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BodyText2">
    <w:name w:val="Body Text 2"/>
    <w:basedOn w:val="Normal"/>
    <w:link w:val="BodyText2Char"/>
    <w:uiPriority w:val="99"/>
    <w:pPr>
      <w:widowControl/>
      <w:overflowPunct w:val="0"/>
      <w:autoSpaceDE w:val="0"/>
      <w:autoSpaceDN w:val="0"/>
      <w:adjustRightInd w:val="0"/>
      <w:textAlignment w:val="baseline"/>
    </w:pPr>
    <w:rPr>
      <w:color w:val="FF000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odyText3">
    <w:name w:val="Body Text 3"/>
    <w:basedOn w:val="Normal"/>
    <w:link w:val="BodyText3Char"/>
    <w:uiPriority w:val="99"/>
    <w:pPr>
      <w:widowControl/>
      <w:overflowPunct w:val="0"/>
      <w:autoSpaceDE w:val="0"/>
      <w:autoSpaceDN w:val="0"/>
      <w:adjustRightInd w:val="0"/>
      <w:textAlignment w:val="baseline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val="x-non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x-none" w:eastAsia="en-US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sid w:val="0091180C"/>
    <w:pPr>
      <w:widowControl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x-none" w:eastAsia="en-US"/>
    </w:rPr>
  </w:style>
  <w:style w:type="paragraph" w:customStyle="1" w:styleId="Default">
    <w:name w:val="Default"/>
    <w:rsid w:val="0072063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83305"/>
    <w:pPr>
      <w:widowControl/>
      <w:spacing w:after="120"/>
      <w:ind w:left="283"/>
      <w:jc w:val="left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  <w:lang w:val="x-none" w:eastAsia="en-US"/>
    </w:rPr>
  </w:style>
  <w:style w:type="table" w:styleId="TableGrid">
    <w:name w:val="Table Grid"/>
    <w:basedOn w:val="TableNormal"/>
    <w:uiPriority w:val="59"/>
    <w:rsid w:val="00A368AD"/>
    <w:pPr>
      <w:widowControl w:val="0"/>
      <w:spacing w:after="0" w:line="240" w:lineRule="auto"/>
      <w:jc w:val="both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ceholderText1">
    <w:name w:val="Placeholder Text1"/>
    <w:basedOn w:val="DefaultParagraphFont"/>
    <w:semiHidden/>
    <w:rsid w:val="00E11F0A"/>
    <w:rPr>
      <w:rFonts w:cs="Times New Roman"/>
      <w:color w:val="808080"/>
    </w:rPr>
  </w:style>
  <w:style w:type="paragraph" w:styleId="NormalWeb">
    <w:name w:val="Normal (Web)"/>
    <w:basedOn w:val="Normal"/>
    <w:uiPriority w:val="99"/>
    <w:rsid w:val="00A44E8B"/>
    <w:pPr>
      <w:widowControl/>
      <w:spacing w:before="100" w:beforeAutospacing="1" w:after="100" w:afterAutospacing="1"/>
      <w:jc w:val="left"/>
    </w:pPr>
    <w:rPr>
      <w:lang w:eastAsia="sk-SK"/>
    </w:rPr>
  </w:style>
  <w:style w:type="character" w:styleId="Hyperlink">
    <w:name w:val="Hyperlink"/>
    <w:basedOn w:val="DefaultParagraphFont"/>
    <w:uiPriority w:val="99"/>
    <w:unhideWhenUsed/>
    <w:rsid w:val="00C96D91"/>
    <w:rPr>
      <w:color w:val="0000FF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620609"/>
    <w:pPr>
      <w:widowControl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Calibri" w:hAnsi="Minion Pro" w:cs="Minion Pro"/>
      <w:color w:val="000000"/>
      <w:lang w:val="en-US"/>
    </w:rPr>
  </w:style>
  <w:style w:type="table" w:customStyle="1" w:styleId="Mriekatabuky1">
    <w:name w:val="Mriežka tabuľky1"/>
    <w:basedOn w:val="TableNormal"/>
    <w:next w:val="TableGrid"/>
    <w:uiPriority w:val="59"/>
    <w:rsid w:val="00FF5E3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level4">
    <w:name w:val="Title level 4"/>
    <w:next w:val="Normal"/>
    <w:qFormat/>
    <w:rsid w:val="00A163F2"/>
    <w:pPr>
      <w:spacing w:before="240" w:after="240" w:line="240" w:lineRule="auto"/>
    </w:pPr>
    <w:rPr>
      <w:rFonts w:asciiTheme="minorHAnsi" w:eastAsiaTheme="minorEastAsia" w:hAnsiTheme="minorHAnsi" w:cstheme="minorBidi"/>
      <w:color w:val="EEECE1" w:themeColor="background2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163F2"/>
    <w:pPr>
      <w:widowControl/>
      <w:spacing w:after="120" w:line="276" w:lineRule="auto"/>
      <w:ind w:left="720"/>
      <w:contextualSpacing/>
      <w:jc w:val="left"/>
    </w:pPr>
    <w:rPr>
      <w:rFonts w:ascii="Cambria" w:eastAsiaTheme="minorHAnsi" w:hAnsi="Cambria" w:cstheme="minorBidi"/>
      <w:sz w:val="22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24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4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4D24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D24"/>
    <w:rPr>
      <w:b/>
      <w:bCs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C6799"/>
    <w:rPr>
      <w:color w:val="605E5C"/>
      <w:shd w:val="clear" w:color="auto" w:fill="E1DFDD"/>
    </w:rPr>
  </w:style>
  <w:style w:type="character" w:styleId="FootnoteReference">
    <w:name w:val="footnote reference"/>
    <w:basedOn w:val="DefaultParagraphFont"/>
    <w:uiPriority w:val="99"/>
    <w:semiHidden/>
    <w:unhideWhenUsed/>
    <w:rsid w:val="00D972CB"/>
    <w:rPr>
      <w:vertAlign w:val="superscript"/>
    </w:rPr>
  </w:style>
  <w:style w:type="paragraph" w:styleId="Revision">
    <w:name w:val="Revision"/>
    <w:hidden/>
    <w:uiPriority w:val="99"/>
    <w:semiHidden/>
    <w:rsid w:val="00562EFE"/>
    <w:pPr>
      <w:spacing w:after="0" w:line="240" w:lineRule="auto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10124CF-C918-46BA-81A3-562819D560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673AE8-0254-4459-97DE-CDCF5A65E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46DC72-8D03-4952-945A-8CD3C3D606D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</vt:lpstr>
    </vt:vector>
  </TitlesOfParts>
  <Company>nbs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Miloš Vacula</dc:creator>
  <cp:lastModifiedBy>Mačuga Martin</cp:lastModifiedBy>
  <cp:revision>8</cp:revision>
  <cp:lastPrinted>2022-12-28T14:31:00Z</cp:lastPrinted>
  <dcterms:created xsi:type="dcterms:W3CDTF">2026-07-24T09:11:00Z</dcterms:created>
  <dcterms:modified xsi:type="dcterms:W3CDTF">2026-07-27T07:15:00Z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