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C5A283" w14:textId="77777777" w:rsidR="00054C41" w:rsidRPr="00895898" w:rsidRDefault="00054C41" w:rsidP="00054C4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95898">
        <w:rPr>
          <w:rFonts w:ascii="Times New Roman" w:eastAsia="Calibri" w:hAnsi="Times New Roman" w:cs="Times New Roman"/>
          <w:b/>
          <w:sz w:val="28"/>
          <w:szCs w:val="28"/>
        </w:rPr>
        <w:t>Analýza vplyvov na podnikateľské prostredie</w:t>
      </w:r>
    </w:p>
    <w:p w14:paraId="7AF84A90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07D284B" w14:textId="4C7F8AB4" w:rsidR="009924BB" w:rsidRPr="00DB308F" w:rsidRDefault="00054C41" w:rsidP="009924BB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Názov materiálu:</w:t>
      </w:r>
      <w:r w:rsidR="009924BB" w:rsidRPr="009924BB">
        <w:rPr>
          <w:rFonts w:ascii="Times New Roman" w:hAnsi="Times New Roman" w:cs="Times New Roman"/>
          <w:sz w:val="24"/>
          <w:szCs w:val="24"/>
        </w:rPr>
        <w:t xml:space="preserve"> </w:t>
      </w:r>
      <w:r w:rsidR="009924BB" w:rsidRPr="00DB308F">
        <w:rPr>
          <w:rFonts w:ascii="Times New Roman" w:hAnsi="Times New Roman" w:cs="Times New Roman"/>
          <w:sz w:val="24"/>
          <w:szCs w:val="24"/>
        </w:rPr>
        <w:t xml:space="preserve">Návrh zákona, ktorým sa mení a dopĺňa zákon č. 364/2004 </w:t>
      </w:r>
      <w:r w:rsidR="009924BB" w:rsidRPr="00DB308F">
        <w:rPr>
          <w:rFonts w:ascii="Times New Roman" w:hAnsi="Times New Roman" w:cs="Times New Roman"/>
          <w:sz w:val="24"/>
          <w:szCs w:val="24"/>
        </w:rPr>
        <w:br/>
        <w:t>Z. z. o vodách a o zmene zákona Slovenskej národnej rady č. 372/1990 Zb. o priestupkoch v znení neskorších predpisov (vodný záko</w:t>
      </w:r>
      <w:r w:rsidR="009924BB">
        <w:rPr>
          <w:rFonts w:ascii="Times New Roman" w:hAnsi="Times New Roman" w:cs="Times New Roman"/>
          <w:sz w:val="24"/>
          <w:szCs w:val="24"/>
        </w:rPr>
        <w:t xml:space="preserve">n) v znení neskorších </w:t>
      </w:r>
      <w:r w:rsidR="009924BB" w:rsidRPr="00DB308F">
        <w:rPr>
          <w:rFonts w:ascii="Times New Roman" w:hAnsi="Times New Roman" w:cs="Times New Roman"/>
          <w:sz w:val="24"/>
          <w:szCs w:val="24"/>
        </w:rPr>
        <w:t>predpisov</w:t>
      </w:r>
    </w:p>
    <w:p w14:paraId="2711DC2C" w14:textId="3DF0C897" w:rsidR="00054C41" w:rsidRPr="009924BB" w:rsidRDefault="00054C41" w:rsidP="00054C4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Predkladateľ:</w:t>
      </w:r>
      <w:r w:rsidR="009924B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924BB" w:rsidRPr="009924BB">
        <w:rPr>
          <w:rFonts w:ascii="Times New Roman" w:eastAsia="Calibri" w:hAnsi="Times New Roman" w:cs="Times New Roman"/>
          <w:sz w:val="24"/>
          <w:szCs w:val="24"/>
        </w:rPr>
        <w:t>Ministerstvo životného prostredia SR</w:t>
      </w:r>
    </w:p>
    <w:p w14:paraId="73384937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15DBCE3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3.1 Náklady regulácie</w:t>
      </w:r>
    </w:p>
    <w:p w14:paraId="14243EB0" w14:textId="77777777" w:rsidR="00054C41" w:rsidRPr="001F1B43" w:rsidRDefault="00054C41" w:rsidP="00C21399">
      <w:pPr>
        <w:tabs>
          <w:tab w:val="left" w:pos="8025"/>
        </w:tabs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3.1.1 Súhrnná tabuľka nákladov regulácie </w:t>
      </w:r>
      <w:r w:rsidR="00C21399">
        <w:rPr>
          <w:rFonts w:ascii="Times New Roman" w:eastAsia="Calibri" w:hAnsi="Times New Roman" w:cs="Times New Roman"/>
          <w:b/>
          <w:i/>
          <w:iCs/>
          <w:sz w:val="24"/>
          <w:szCs w:val="24"/>
        </w:rPr>
        <w:tab/>
      </w:r>
    </w:p>
    <w:p w14:paraId="4D85A0D5" w14:textId="77777777" w:rsidR="00054C41" w:rsidRPr="00D8247C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Tabuľka č. 1: Zmeny nákladov (ročne) v prepočte na podnikateľské prostredie (PP), vyhodnotenie mechanizmu znižovania byrokracie a náklado</w:t>
      </w:r>
      <w:r w:rsidR="000A6B7F">
        <w:rPr>
          <w:rFonts w:ascii="Times New Roman" w:eastAsia="Calibri" w:hAnsi="Times New Roman" w:cs="Times New Roman"/>
          <w:i/>
          <w:sz w:val="24"/>
          <w:szCs w:val="24"/>
        </w:rPr>
        <w:t>v</w:t>
      </w:r>
      <w:r w:rsidR="00C929AE">
        <w:rPr>
          <w:rFonts w:ascii="Times New Roman" w:eastAsia="Calibri" w:hAnsi="Times New Roman" w:cs="Times New Roman"/>
          <w:i/>
          <w:sz w:val="24"/>
          <w:szCs w:val="24"/>
        </w:rPr>
        <w:t xml:space="preserve">, náklady </w:t>
      </w:r>
      <w:proofErr w:type="spellStart"/>
      <w:r w:rsidR="00C929AE" w:rsidRPr="00804BC8">
        <w:rPr>
          <w:rFonts w:ascii="Times New Roman" w:eastAsia="Calibri" w:hAnsi="Times New Roman" w:cs="Times New Roman"/>
          <w:i/>
          <w:sz w:val="24"/>
          <w:szCs w:val="24"/>
        </w:rPr>
        <w:t>goldplatingu</w:t>
      </w:r>
      <w:proofErr w:type="spellEnd"/>
      <w:r w:rsidR="00C929AE">
        <w:rPr>
          <w:rStyle w:val="Odkaznapoznmkupodiarou"/>
          <w:rFonts w:ascii="Times New Roman" w:eastAsia="Calibri" w:hAnsi="Times New Roman" w:cs="Times New Roman"/>
          <w:i/>
          <w:sz w:val="24"/>
          <w:szCs w:val="24"/>
        </w:rPr>
        <w:footnoteReference w:id="1"/>
      </w:r>
      <w:r w:rsidR="000A6B7F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C929AE">
        <w:rPr>
          <w:rFonts w:ascii="Times New Roman" w:eastAsia="Calibri" w:hAnsi="Times New Roman" w:cs="Times New Roman"/>
          <w:i/>
          <w:sz w:val="24"/>
          <w:szCs w:val="24"/>
        </w:rPr>
        <w:t>na podnikateľské prostredie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. </w:t>
      </w:r>
    </w:p>
    <w:p w14:paraId="1A77DC61" w14:textId="77777777" w:rsidR="00054C41" w:rsidRPr="00D8247C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Nahraďte rovnakou tabuľkou po vyplnení Kalkulačky nákladov podnikateľského prostredia, ktorá je povinnou prílohou tejto analýzy a nájdete ju na </w:t>
      </w:r>
      <w:hyperlink r:id="rId9" w:history="1">
        <w:r w:rsidRPr="00D8247C">
          <w:rPr>
            <w:rFonts w:ascii="Times New Roman" w:eastAsia="Calibri" w:hAnsi="Times New Roman" w:cs="Times New Roman"/>
            <w:i/>
            <w:color w:val="0563C1"/>
            <w:sz w:val="24"/>
            <w:szCs w:val="24"/>
            <w:u w:val="single"/>
          </w:rPr>
          <w:t>webovom sídle MH SR</w:t>
        </w:r>
      </w:hyperlink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, (ďalej len </w:t>
      </w:r>
      <w:r>
        <w:rPr>
          <w:rFonts w:ascii="Times New Roman" w:eastAsia="Calibri" w:hAnsi="Times New Roman" w:cs="Times New Roman"/>
          <w:i/>
          <w:sz w:val="24"/>
          <w:szCs w:val="24"/>
        </w:rPr>
        <w:t>„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>Kalkulačka nákladov</w:t>
      </w:r>
      <w:r>
        <w:rPr>
          <w:rFonts w:ascii="Times New Roman" w:eastAsia="Calibri" w:hAnsi="Times New Roman" w:cs="Times New Roman"/>
          <w:i/>
          <w:sz w:val="24"/>
          <w:szCs w:val="24"/>
        </w:rPr>
        <w:t>“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>):</w:t>
      </w:r>
    </w:p>
    <w:tbl>
      <w:tblPr>
        <w:tblW w:w="95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3540"/>
        <w:gridCol w:w="2623"/>
        <w:gridCol w:w="169"/>
        <w:gridCol w:w="160"/>
        <w:gridCol w:w="2293"/>
        <w:gridCol w:w="423"/>
        <w:gridCol w:w="160"/>
      </w:tblGrid>
      <w:tr w:rsidR="00C929AE" w:rsidRPr="00C929AE" w14:paraId="74CF9C31" w14:textId="77777777" w:rsidTr="003A312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E364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50EB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37DC6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CCAE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FEB3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E54FF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7BEF3D83" w14:textId="77777777" w:rsidTr="00804BC8">
        <w:trPr>
          <w:gridAfter w:val="2"/>
          <w:wAfter w:w="583" w:type="dxa"/>
          <w:trHeight w:val="451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7F0AC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8CD7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TYP NÁKLADOV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67F96BD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57C6AD32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BF3C36" w:rsidRPr="00C929AE" w14:paraId="0F790483" w14:textId="77777777" w:rsidTr="00BF3C36">
        <w:trPr>
          <w:gridAfter w:val="2"/>
          <w:wAfter w:w="583" w:type="dxa"/>
          <w:trHeight w:val="6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7CF71" w14:textId="77777777" w:rsidR="00BF3C36" w:rsidRPr="00C929AE" w:rsidRDefault="00BF3C36" w:rsidP="00BF3C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DD77A" w14:textId="77777777" w:rsidR="00BF3C36" w:rsidRPr="00C929AE" w:rsidRDefault="00BF3C36" w:rsidP="00BF3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A.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Dane, odvody, clá a poplatky, ktorých cieľom je znižovať negatívne </w:t>
            </w:r>
            <w:proofErr w:type="spellStart"/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externality</w:t>
            </w:r>
            <w:proofErr w:type="spellEnd"/>
          </w:p>
        </w:tc>
        <w:tc>
          <w:tcPr>
            <w:tcW w:w="2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6C02A5A" w14:textId="3FDDD9C8" w:rsidR="00BF3C36" w:rsidRPr="00BF3C36" w:rsidRDefault="00BF3C36" w:rsidP="00BF3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F3C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0525A008" w14:textId="2BA014E7" w:rsidR="00BF3C36" w:rsidRPr="00BF3C36" w:rsidRDefault="00BF3C36" w:rsidP="00BF3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F3C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126 792</w:t>
            </w:r>
          </w:p>
        </w:tc>
      </w:tr>
      <w:tr w:rsidR="00BF3C36" w:rsidRPr="00C929AE" w14:paraId="37B64D12" w14:textId="77777777" w:rsidTr="00BF3C36">
        <w:trPr>
          <w:gridAfter w:val="2"/>
          <w:wAfter w:w="583" w:type="dxa"/>
          <w:trHeight w:val="42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ED282" w14:textId="77777777" w:rsidR="00BF3C36" w:rsidRPr="00C929AE" w:rsidRDefault="00BF3C36" w:rsidP="00BF3C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E928E" w14:textId="77777777" w:rsidR="00BF3C36" w:rsidRPr="00C929AE" w:rsidRDefault="00BF3C36" w:rsidP="00BF3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B. Iné </w:t>
            </w:r>
            <w:r w:rsidRPr="00952C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poplatky</w:t>
            </w:r>
          </w:p>
        </w:tc>
        <w:tc>
          <w:tcPr>
            <w:tcW w:w="2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D91672" w14:textId="613B4205" w:rsidR="00BF3C36" w:rsidRPr="00BF3C36" w:rsidRDefault="00BF3C36" w:rsidP="00BF3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F3C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7B3EEA7A" w14:textId="4B046F12" w:rsidR="00BF3C36" w:rsidRPr="00BF3C36" w:rsidRDefault="00BF3C36" w:rsidP="00BF3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F3C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F3C36" w:rsidRPr="00C929AE" w14:paraId="21231540" w14:textId="77777777" w:rsidTr="00BF3C36">
        <w:trPr>
          <w:gridAfter w:val="2"/>
          <w:wAfter w:w="583" w:type="dxa"/>
          <w:trHeight w:val="43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78407" w14:textId="77777777" w:rsidR="00BF3C36" w:rsidRPr="00C929AE" w:rsidRDefault="00BF3C36" w:rsidP="00BF3C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0EE3E" w14:textId="52C52C9B" w:rsidR="00BF3C36" w:rsidRPr="00C929AE" w:rsidRDefault="00BF3C36" w:rsidP="00BF3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C.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Sankcie a pokuty</w:t>
            </w:r>
          </w:p>
        </w:tc>
        <w:tc>
          <w:tcPr>
            <w:tcW w:w="2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9D07100" w14:textId="3D0E315E" w:rsidR="00BF3C36" w:rsidRPr="00BF3C36" w:rsidRDefault="00BF3C36" w:rsidP="00BF3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F3C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7C8BFAD7" w14:textId="6A4BC429" w:rsidR="00BF3C36" w:rsidRPr="00BF3C36" w:rsidRDefault="00BF3C36" w:rsidP="00BF3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F3C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F3C36" w:rsidRPr="00C929AE" w14:paraId="280383DA" w14:textId="77777777" w:rsidTr="00BF3C36">
        <w:trPr>
          <w:gridAfter w:val="2"/>
          <w:wAfter w:w="583" w:type="dxa"/>
          <w:trHeight w:val="4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2F790" w14:textId="77777777" w:rsidR="00BF3C36" w:rsidRPr="00C929AE" w:rsidRDefault="00BF3C36" w:rsidP="00BF3C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03BCF" w14:textId="0543F070" w:rsidR="00BF3C36" w:rsidRPr="00C929AE" w:rsidRDefault="00BF3C36" w:rsidP="00BF3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E961E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D.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Nepriame finančné náklady </w:t>
            </w:r>
          </w:p>
        </w:tc>
        <w:tc>
          <w:tcPr>
            <w:tcW w:w="2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ED34EA3" w14:textId="682457BA" w:rsidR="00BF3C36" w:rsidRPr="00BF3C36" w:rsidRDefault="00BF3C36" w:rsidP="00BF3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F3C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6B7CA645" w14:textId="0B6DD4C7" w:rsidR="00BF3C36" w:rsidRPr="00BF3C36" w:rsidRDefault="00BF3C36" w:rsidP="00BF3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F3C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F3C36" w:rsidRPr="00C929AE" w14:paraId="547BC8DA" w14:textId="77777777" w:rsidTr="00BF3C36">
        <w:trPr>
          <w:gridAfter w:val="2"/>
          <w:wAfter w:w="583" w:type="dxa"/>
          <w:trHeight w:val="4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E6137F" w14:textId="77777777" w:rsidR="00BF3C36" w:rsidRPr="00C929AE" w:rsidRDefault="00BF3C36" w:rsidP="00BF3C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6A5AE" w14:textId="77777777" w:rsidR="00BF3C36" w:rsidRPr="00C929AE" w:rsidRDefault="00BF3C36" w:rsidP="00BF3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E. Administratívne náklady</w:t>
            </w:r>
          </w:p>
        </w:tc>
        <w:tc>
          <w:tcPr>
            <w:tcW w:w="26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C000"/>
            <w:vAlign w:val="center"/>
          </w:tcPr>
          <w:p w14:paraId="1A8F0D68" w14:textId="0F8894B6" w:rsidR="00BF3C36" w:rsidRPr="00BF3C36" w:rsidRDefault="00BF3C36" w:rsidP="00BF3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F3C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vAlign w:val="center"/>
          </w:tcPr>
          <w:p w14:paraId="7D0218BB" w14:textId="05BDC95C" w:rsidR="00BF3C36" w:rsidRPr="00BF3C36" w:rsidRDefault="00BF3C36" w:rsidP="00BF3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F3C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2 237</w:t>
            </w:r>
          </w:p>
        </w:tc>
      </w:tr>
      <w:tr w:rsidR="00BF3C36" w:rsidRPr="00C929AE" w14:paraId="10B7BDC5" w14:textId="77777777" w:rsidTr="00BF3C36">
        <w:trPr>
          <w:gridAfter w:val="2"/>
          <w:wAfter w:w="583" w:type="dxa"/>
          <w:trHeight w:val="6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5240B" w14:textId="77777777" w:rsidR="00BF3C36" w:rsidRPr="00C929AE" w:rsidRDefault="00BF3C36" w:rsidP="00BF3C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49376" w14:textId="77777777" w:rsidR="00BF3C36" w:rsidRPr="00C929AE" w:rsidRDefault="00BF3C36" w:rsidP="00BF3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Spolu = A+B+C+D</w:t>
            </w:r>
            <w:r w:rsidRPr="00E961E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+E</w:t>
            </w:r>
          </w:p>
        </w:tc>
        <w:tc>
          <w:tcPr>
            <w:tcW w:w="26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29EB10" w14:textId="7A5E920C" w:rsidR="00BF3C36" w:rsidRPr="00BF3C36" w:rsidRDefault="00BF3C36" w:rsidP="00BF3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F3C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3B2B8C72" w14:textId="772854CC" w:rsidR="00BF3C36" w:rsidRPr="00BF3C36" w:rsidRDefault="00BF3C36" w:rsidP="00BF3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F3C3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129 029</w:t>
            </w:r>
          </w:p>
        </w:tc>
      </w:tr>
      <w:tr w:rsidR="00C929AE" w:rsidRPr="00C929AE" w14:paraId="3B916623" w14:textId="77777777" w:rsidTr="003A312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7E59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EAB9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79977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B3D73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543AE9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64F18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52849A6C" w14:textId="77777777" w:rsidTr="00804BC8">
        <w:trPr>
          <w:gridAfter w:val="2"/>
          <w:wAfter w:w="583" w:type="dxa"/>
          <w:trHeight w:val="412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80DC1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4807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sk-SK"/>
              </w:rPr>
              <w:t>Harmonizácia práva EÚ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BC0A5B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8A2A444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C929AE" w:rsidRPr="00C929AE" w14:paraId="26126FD6" w14:textId="77777777" w:rsidTr="00804BC8">
        <w:trPr>
          <w:gridAfter w:val="2"/>
          <w:wAfter w:w="583" w:type="dxa"/>
          <w:trHeight w:val="84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4F34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5E706" w14:textId="77777777" w:rsidR="00C929AE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F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. Úplná harmonizácia práva EÚ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br/>
            </w:r>
            <w:r w:rsidR="00C929AE"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 xml:space="preserve">(okrem daní, odvodov, ciel a poplatkov, ktorých cieľom je znižovať negatívne </w:t>
            </w:r>
            <w:proofErr w:type="spellStart"/>
            <w:r w:rsidR="00C929AE"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externality</w:t>
            </w:r>
            <w:proofErr w:type="spellEnd"/>
            <w:r w:rsidR="00C929AE"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)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9CCB12B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0CB565E3" w14:textId="39C3C7AF" w:rsidR="00C929AE" w:rsidRPr="00C929AE" w:rsidRDefault="00BF3C36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2B062396" w14:textId="77777777" w:rsidTr="00804BC8">
        <w:trPr>
          <w:gridAfter w:val="2"/>
          <w:wAfter w:w="583" w:type="dxa"/>
          <w:trHeight w:val="486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92B5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FED09" w14:textId="77777777" w:rsidR="00C929AE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G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. </w:t>
            </w:r>
            <w:proofErr w:type="spellStart"/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Goldplating</w:t>
            </w:r>
            <w:proofErr w:type="spellEnd"/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09562F6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E025867" w14:textId="35B40184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="00BF3C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C929AE" w:rsidRPr="00C929AE" w14:paraId="665D2803" w14:textId="77777777" w:rsidTr="003A3124">
        <w:trPr>
          <w:trHeight w:val="36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005DD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DB6F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A2019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23FD74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BF582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A5CAA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578385C8" w14:textId="77777777" w:rsidTr="00804BC8">
        <w:trPr>
          <w:gridAfter w:val="2"/>
          <w:wAfter w:w="583" w:type="dxa"/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4DAC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9B60B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VÝPOČET PRAVIDLA 1in</w:t>
            </w:r>
            <w:r w:rsidR="00FC12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2out: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4929B536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IN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6019C410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OUT</w:t>
            </w:r>
          </w:p>
        </w:tc>
      </w:tr>
      <w:tr w:rsidR="00C929AE" w:rsidRPr="00C929AE" w14:paraId="4C7053DD" w14:textId="77777777" w:rsidTr="00804BC8">
        <w:trPr>
          <w:gridAfter w:val="2"/>
          <w:wAfter w:w="583" w:type="dxa"/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0400A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5BF89" w14:textId="3C21B0B5" w:rsidR="00C929AE" w:rsidRPr="00751DA9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751DA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sk-SK"/>
              </w:rPr>
              <w:t>H</w:t>
            </w:r>
            <w:r w:rsidR="00C929AE" w:rsidRPr="00751DA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sk-SK"/>
              </w:rPr>
              <w:t>.</w:t>
            </w:r>
            <w:r w:rsidR="009F417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Náklady okrem výnimiek = B+D</w:t>
            </w:r>
            <w:r w:rsidRPr="00751D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+E-F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02E1C703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A9C6235" w14:textId="36295520" w:rsidR="00C929AE" w:rsidRPr="00C929AE" w:rsidRDefault="00BF3C36" w:rsidP="00BF3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F3C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2 237</w:t>
            </w:r>
          </w:p>
        </w:tc>
      </w:tr>
    </w:tbl>
    <w:p w14:paraId="0C4E1024" w14:textId="77777777" w:rsidR="00054C41" w:rsidRPr="00895898" w:rsidRDefault="00054C41" w:rsidP="00054C41">
      <w:pPr>
        <w:rPr>
          <w:rFonts w:ascii="Times New Roman" w:eastAsia="Calibri" w:hAnsi="Times New Roman" w:cs="Times New Roman"/>
          <w:b/>
          <w:sz w:val="24"/>
          <w:szCs w:val="24"/>
        </w:rPr>
        <w:sectPr w:rsidR="00054C41" w:rsidRPr="00895898" w:rsidSect="00142154">
          <w:headerReference w:type="default" r:id="rId10"/>
          <w:footerReference w:type="default" r:id="rId11"/>
          <w:pgSz w:w="11906" w:h="16838"/>
          <w:pgMar w:top="993" w:right="1417" w:bottom="1417" w:left="1417" w:header="708" w:footer="708" w:gutter="0"/>
          <w:pgNumType w:start="1"/>
          <w:cols w:space="708"/>
          <w:docGrid w:linePitch="360"/>
        </w:sectPr>
      </w:pPr>
    </w:p>
    <w:p w14:paraId="29CDFA2A" w14:textId="77777777" w:rsidR="00054C41" w:rsidRPr="001F1B43" w:rsidRDefault="00054C41" w:rsidP="00054C41">
      <w:pPr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lastRenderedPageBreak/>
        <w:t>3.1.2 Výpočty vplyvov jednotlivých regulácií na zmeny v nákladoch podnikateľov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14:paraId="5E02E2DD" w14:textId="77777777" w:rsidR="00054C41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Tabuľka č. 2: Výpočet vplyvov jednotlivých regulácií (nahraďte rovnakou tabuľkou po vyplnení Kalkulačky nákladov):</w:t>
      </w:r>
    </w:p>
    <w:tbl>
      <w:tblPr>
        <w:tblW w:w="13951" w:type="dxa"/>
        <w:tblInd w:w="-5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1740"/>
        <w:gridCol w:w="992"/>
        <w:gridCol w:w="1134"/>
        <w:gridCol w:w="1843"/>
        <w:gridCol w:w="992"/>
        <w:gridCol w:w="1160"/>
        <w:gridCol w:w="1108"/>
        <w:gridCol w:w="851"/>
        <w:gridCol w:w="843"/>
        <w:gridCol w:w="1000"/>
        <w:gridCol w:w="708"/>
        <w:gridCol w:w="1134"/>
      </w:tblGrid>
      <w:tr w:rsidR="00DE6ACB" w:rsidRPr="000A6B7F" w14:paraId="58E6573D" w14:textId="77777777" w:rsidTr="00751DA9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FC62EA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P.č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0F95606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Zrozumiteľný a stručný opis regulácie 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(dôvod zvýšenia/zníženia nákladov na PP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a dôvod ponechania nákladov na PP, ktoré sú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goldplatngom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8660057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Číslo normy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(zákona, vyhlášky a pod.)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C27F37A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Lokalizácia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(§, ods.</w:t>
            </w:r>
            <w:r w:rsidR="00D1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, čl.,...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3B4826A" w14:textId="77777777" w:rsidR="00DE6ACB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Pôvod regulácie: 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SK</w:t>
            </w: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/EÚ úplná </w:t>
            </w:r>
            <w:proofErr w:type="spellStart"/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harm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./</w:t>
            </w:r>
          </w:p>
          <w:p w14:paraId="3EFBCFFC" w14:textId="77777777" w:rsidR="00DE6ACB" w:rsidRPr="000A6B7F" w:rsidRDefault="006564C3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G</w:t>
            </w:r>
            <w:r w:rsidR="00DE6ACB"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oldplating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D66C838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Účinnosť regulácie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B1BE5B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Kategória </w:t>
            </w:r>
            <w:proofErr w:type="spellStart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 subjektov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8492B87" w14:textId="77777777" w:rsidR="00D114ED" w:rsidRDefault="00DE6ACB" w:rsidP="00047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Počet </w:t>
            </w:r>
          </w:p>
          <w:p w14:paraId="7A177F6E" w14:textId="6CE16312" w:rsidR="00DE6ACB" w:rsidRPr="00895898" w:rsidRDefault="00D114ED" w:rsidP="00047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  <w:r w:rsidR="00DE6ACB"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subjektov </w:t>
            </w:r>
            <w:r w:rsidR="00047C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spolu</w:t>
            </w:r>
            <w:r w:rsidR="00DE6ACB"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280914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1 podnik. v €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9531801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Vplyv na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kateg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 subjekt.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v €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3CCC0E6" w14:textId="77777777" w:rsidR="00DE6ACB" w:rsidRPr="00895898" w:rsidRDefault="00DE6ACB" w:rsidP="00F5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Druh vplyvu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 xml:space="preserve">In (zvyšuje náklady) / </w:t>
            </w:r>
          </w:p>
          <w:p w14:paraId="3110E590" w14:textId="77777777" w:rsidR="00DE6ACB" w:rsidRPr="00895898" w:rsidRDefault="00DE6ACB" w:rsidP="00F5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>Out</w:t>
            </w:r>
            <w:proofErr w:type="spellEnd"/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 xml:space="preserve"> (znižuje náklady</w:t>
            </w:r>
            <w:r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  <w:p w14:paraId="70438D04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/ Nemení sa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A85CC22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1in</w:t>
            </w:r>
          </w:p>
          <w:p w14:paraId="29F533F5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2out celkom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ED6FE4B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proofErr w:type="spellStart"/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Goldplating</w:t>
            </w:r>
            <w:proofErr w:type="spellEnd"/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 xml:space="preserve"> celkom</w:t>
            </w:r>
          </w:p>
        </w:tc>
      </w:tr>
      <w:tr w:rsidR="00BF3C36" w:rsidRPr="00895898" w14:paraId="609FED73" w14:textId="77777777" w:rsidTr="00BF3C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17ADB0C1" w14:textId="58EA1A50" w:rsidR="00BF3C36" w:rsidRPr="00895898" w:rsidRDefault="00BF3C36" w:rsidP="00BF3C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29DAC" w14:textId="7AB8DCF2" w:rsidR="00BF3C36" w:rsidRPr="00BF3C36" w:rsidRDefault="00BF3C36" w:rsidP="00BF3C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F3C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Zrušenie povinnosti platiť poplatky na odbery podzemných vôd na účely energetického využitia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7CD37" w14:textId="21012A46" w:rsidR="00BF3C36" w:rsidRPr="00BF3C36" w:rsidRDefault="00BF3C36" w:rsidP="00BF3C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F3C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364/2004 Z. z.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88908" w14:textId="44BF8ABC" w:rsidR="00BF3C36" w:rsidRPr="00BF3C36" w:rsidRDefault="00BF3C36" w:rsidP="00BF3C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F3C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§ 79 odsek 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DA76A" w14:textId="033A16D5" w:rsidR="00BF3C36" w:rsidRPr="00BF3C36" w:rsidRDefault="00BF3C36" w:rsidP="00BF3C3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F3C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1.SK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C4721" w14:textId="2165430F" w:rsidR="00BF3C36" w:rsidRPr="00BF3C36" w:rsidRDefault="00BF3C36" w:rsidP="00BF3C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F3C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 štvrťrok 2024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18A9C" w14:textId="14EE8382" w:rsidR="00BF3C36" w:rsidRPr="00BF3C36" w:rsidRDefault="00BF3C36" w:rsidP="00BF3C3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3C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Podnikateľské subjekty odoberajúce predmetnú vodu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F89C4" w14:textId="1F381E22" w:rsidR="00BF3C36" w:rsidRPr="00BF3C36" w:rsidRDefault="00BF3C36" w:rsidP="00BF3C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F3C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29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251139" w14:textId="46E8CFCC" w:rsidR="00BF3C36" w:rsidRPr="00BF3C36" w:rsidRDefault="00BF3C36" w:rsidP="00BF3C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F3C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4 449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129C91" w14:textId="6C78AFF4" w:rsidR="00BF3C36" w:rsidRPr="00BF3C36" w:rsidRDefault="00BF3C36" w:rsidP="00BF3C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F3C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129 029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D0685" w14:textId="6D032497" w:rsidR="00BF3C36" w:rsidRPr="00BF3C36" w:rsidRDefault="00BF3C36" w:rsidP="00BF3C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proofErr w:type="spellStart"/>
            <w:r w:rsidRPr="00BF3C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Out</w:t>
            </w:r>
            <w:proofErr w:type="spellEnd"/>
            <w:r w:rsidRPr="00BF3C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(znižuje náklady)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8BFFDBA" w14:textId="333F6FA5" w:rsidR="00BF3C36" w:rsidRPr="00895898" w:rsidRDefault="00BF3C36" w:rsidP="00BF3C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2 237</w:t>
            </w:r>
          </w:p>
        </w:tc>
        <w:tc>
          <w:tcPr>
            <w:tcW w:w="1134" w:type="dxa"/>
            <w:vAlign w:val="center"/>
          </w:tcPr>
          <w:p w14:paraId="48758C9B" w14:textId="512D1C27" w:rsidR="00BF3C36" w:rsidRPr="00895898" w:rsidRDefault="00BF3C36" w:rsidP="00BF3C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</w:tbl>
    <w:p w14:paraId="520734CD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i/>
        </w:rPr>
      </w:pPr>
    </w:p>
    <w:p w14:paraId="798179FB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  <w:sectPr w:rsidR="00054C41" w:rsidRPr="00895898" w:rsidSect="0014215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77318665" w14:textId="77777777" w:rsidR="00054C41" w:rsidRPr="001F1B43" w:rsidRDefault="00511F8F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lastRenderedPageBreak/>
        <w:t xml:space="preserve">3.1.3 </w:t>
      </w:r>
      <w:r w:rsidR="00054C41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Doplňujúce informácie k spôsobu výpočtu vplyvov jednotlivých regulácií na zmenu nákladov </w:t>
      </w:r>
    </w:p>
    <w:p w14:paraId="5DE2DBDE" w14:textId="3D41906E" w:rsidR="008D1BD7" w:rsidRDefault="008D1BD7" w:rsidP="00054C41">
      <w:pPr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Celková suma </w:t>
      </w:r>
      <w:r w:rsidRPr="008D1BD7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126</w:t>
      </w:r>
      <w:r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 </w:t>
      </w:r>
      <w:r w:rsidRPr="008D1BD7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792</w:t>
      </w:r>
      <w:r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eur sú skutočné údaje uhradených poplatkov za rok 2022. Odberatelia, ktorých počet je 29, platili sumy od 9 eur po 20 466 eur ročne. Sumy sú násobkom odobratého množstva vody a jednotkovej sumy </w:t>
      </w:r>
      <w:r w:rsidRPr="008D1BD7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0,0266</w:t>
      </w:r>
      <w:r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eur/m</w:t>
      </w:r>
      <w:r w:rsidRPr="008D1BD7"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vertAlign w:val="superscript"/>
        </w:rPr>
        <w:t>3</w:t>
      </w:r>
      <w:r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. Informácie pochádzajú od SVP š.</w:t>
      </w:r>
      <w:r w:rsidR="009924BB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p.</w:t>
      </w:r>
    </w:p>
    <w:p w14:paraId="174EAC9F" w14:textId="50BF9130" w:rsidR="0080387E" w:rsidRDefault="0080387E" w:rsidP="00054C41">
      <w:pPr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 w:rsidRPr="0064787B">
        <w:rPr>
          <w:rFonts w:ascii="Times New Roman" w:eastAsia="Calibri" w:hAnsi="Times New Roman" w:cs="Times New Roman"/>
          <w:iCs/>
          <w:sz w:val="24"/>
          <w:szCs w:val="24"/>
        </w:rPr>
        <w:t>Zní</w:t>
      </w:r>
      <w:r>
        <w:rPr>
          <w:rFonts w:ascii="Times New Roman" w:eastAsia="Calibri" w:hAnsi="Times New Roman" w:cs="Times New Roman"/>
          <w:iCs/>
          <w:sz w:val="24"/>
          <w:szCs w:val="24"/>
        </w:rPr>
        <w:t>ženie administratívnej záťaže súvisiacej s uhrádzaním poplatkov za odber predmetnej vody.</w:t>
      </w:r>
    </w:p>
    <w:p w14:paraId="560A04B2" w14:textId="77777777" w:rsidR="000658C2" w:rsidRPr="000658C2" w:rsidRDefault="000658C2" w:rsidP="000658C2">
      <w:pPr>
        <w:pStyle w:val="Normlnywebov"/>
        <w:shd w:val="clear" w:color="auto" w:fill="FFFFFF"/>
        <w:spacing w:after="150" w:line="330" w:lineRule="atLeast"/>
        <w:jc w:val="both"/>
        <w:rPr>
          <w:rFonts w:eastAsia="Calibri"/>
          <w:bCs/>
          <w:iCs/>
          <w:color w:val="000000"/>
          <w:lang w:eastAsia="en-US"/>
        </w:rPr>
      </w:pPr>
      <w:r w:rsidRPr="000658C2">
        <w:rPr>
          <w:rFonts w:eastAsia="Calibri"/>
          <w:iCs/>
          <w:color w:val="000000"/>
          <w:lang w:eastAsia="en-US"/>
        </w:rPr>
        <w:t xml:space="preserve">Zaradenia tohto poplatku do kategórie poplatkov, ktorých cieľom je znižovať negatívne </w:t>
      </w:r>
      <w:proofErr w:type="spellStart"/>
      <w:r w:rsidRPr="000658C2">
        <w:rPr>
          <w:rFonts w:eastAsia="Calibri"/>
          <w:iCs/>
          <w:color w:val="000000"/>
          <w:lang w:eastAsia="en-US"/>
        </w:rPr>
        <w:t>externality</w:t>
      </w:r>
      <w:proofErr w:type="spellEnd"/>
      <w:r w:rsidRPr="000658C2">
        <w:rPr>
          <w:rFonts w:eastAsia="Calibri"/>
          <w:iCs/>
          <w:color w:val="000000"/>
          <w:lang w:eastAsia="en-US"/>
        </w:rPr>
        <w:t xml:space="preserve"> je z dôvodu, že </w:t>
      </w:r>
      <w:proofErr w:type="spellStart"/>
      <w:r w:rsidRPr="000658C2">
        <w:rPr>
          <w:rFonts w:eastAsia="Calibri"/>
          <w:iCs/>
          <w:color w:val="000000"/>
          <w:lang w:eastAsia="en-US"/>
        </w:rPr>
        <w:t>teplené</w:t>
      </w:r>
      <w:proofErr w:type="spellEnd"/>
      <w:r w:rsidRPr="000658C2">
        <w:rPr>
          <w:rFonts w:eastAsia="Calibri"/>
          <w:iCs/>
          <w:color w:val="000000"/>
          <w:lang w:eastAsia="en-US"/>
        </w:rPr>
        <w:t xml:space="preserve"> čerpadlá systém voda-voda patria k najefektívnejším, udržateľným a zároveň najtichším tepelným  čerpadlám. </w:t>
      </w:r>
      <w:r w:rsidRPr="000658C2">
        <w:rPr>
          <w:rFonts w:eastAsia="Calibri"/>
          <w:bCs/>
          <w:iCs/>
          <w:color w:val="000000"/>
          <w:lang w:eastAsia="en-US"/>
        </w:rPr>
        <w:t xml:space="preserve">Tepelné čerpadlo voda </w:t>
      </w:r>
      <w:proofErr w:type="spellStart"/>
      <w:r w:rsidRPr="000658C2">
        <w:rPr>
          <w:rFonts w:eastAsia="Calibri"/>
          <w:bCs/>
          <w:iCs/>
          <w:color w:val="000000"/>
          <w:lang w:eastAsia="en-US"/>
        </w:rPr>
        <w:t>voda</w:t>
      </w:r>
      <w:proofErr w:type="spellEnd"/>
      <w:r w:rsidRPr="000658C2">
        <w:rPr>
          <w:rFonts w:eastAsia="Calibri"/>
          <w:bCs/>
          <w:iCs/>
          <w:color w:val="000000"/>
          <w:lang w:eastAsia="en-US"/>
        </w:rPr>
        <w:t xml:space="preserve"> získava tepelnú energiu z podzemných vôd. V hĺbke 20 metrov pod povrchom má voda konštantnú teplotu medzi 7 až 12 °C. Vďaka tomu je toto médium vhodné použiť na kúrenie a ohrev teplej vody aj počas zimy.</w:t>
      </w:r>
      <w:bookmarkStart w:id="0" w:name="_GoBack"/>
      <w:bookmarkEnd w:id="0"/>
    </w:p>
    <w:p w14:paraId="59631148" w14:textId="77777777" w:rsidR="000658C2" w:rsidRPr="000658C2" w:rsidRDefault="000658C2" w:rsidP="000658C2">
      <w:pPr>
        <w:shd w:val="clear" w:color="auto" w:fill="FFFFFF"/>
        <w:spacing w:after="150" w:line="330" w:lineRule="atLeast"/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 w:rsidRPr="000658C2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Vodné tepelné čerpadlá dominujú trvalo svojou účinnosťou. Ich vykurovací faktor (COP) dosahuje hodnotu 4,5 pri W10/W35. V porovnaní so zemnými tepelnými čerpadlami sú účinnejšie až o 20%. Oproti vzduchovým čerpadlám je to ešte viac. </w:t>
      </w:r>
    </w:p>
    <w:p w14:paraId="3FB1450B" w14:textId="1D26646D" w:rsidR="001E24E8" w:rsidRDefault="001E24E8" w:rsidP="00054C41">
      <w:pPr>
        <w:jc w:val="both"/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</w:pPr>
    </w:p>
    <w:p w14:paraId="0EB298DB" w14:textId="77777777" w:rsidR="00512BA7" w:rsidRPr="001F1B43" w:rsidRDefault="00511F8F" w:rsidP="00512BA7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3.1.4 </w:t>
      </w:r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Odôvodnenie</w:t>
      </w:r>
      <w:r w:rsidR="008F6ADE" w:rsidRPr="00804BC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  <w:proofErr w:type="spellStart"/>
      <w:r w:rsidR="008F6ADE" w:rsidRPr="00804BC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goldplating</w:t>
      </w:r>
      <w:r w:rsidR="0016512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u</w:t>
      </w:r>
      <w:proofErr w:type="spellEnd"/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  <w:r w:rsidR="008F6ADE" w:rsidRPr="00804BC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podľa bodu 4 časti III </w:t>
      </w:r>
      <w:r w:rsidR="00FA6FF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j</w:t>
      </w:r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ednotnej metodiky </w:t>
      </w:r>
      <w:r w:rsidR="00400BA5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a </w:t>
      </w:r>
      <w:r w:rsidR="00B21D1F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ďalšie</w:t>
      </w:r>
      <w:r w:rsidR="00400BA5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d</w:t>
      </w:r>
      <w:r w:rsidR="00512BA7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oplňujúce informácie</w:t>
      </w:r>
      <w:r w:rsidR="00512BA7">
        <w:rPr>
          <w:rStyle w:val="Odkaznapoznmkupodiarou"/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footnoteReference w:id="2"/>
      </w:r>
      <w:r w:rsidR="00512BA7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</w:p>
    <w:p w14:paraId="4BD96D6C" w14:textId="1B5B29BC" w:rsidR="00024EE4" w:rsidRDefault="0064787B" w:rsidP="00054C41">
      <w:pPr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N/A</w:t>
      </w:r>
    </w:p>
    <w:p w14:paraId="135CD3FC" w14:textId="77777777" w:rsidR="0064787B" w:rsidRDefault="0064787B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9D55FBC" w14:textId="44B0C098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3.2 Vyhodnotenie konzultácií s podnikateľskými subjektmi pred predbežným pripomienkovým konaním</w:t>
      </w:r>
    </w:p>
    <w:p w14:paraId="2B642155" w14:textId="77777777" w:rsidR="004868A3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Uveďte formu konzultácií vrátane zdôvodnenia jej výberu a trvanie konzultácií, termíny stretnutí. </w:t>
      </w:r>
    </w:p>
    <w:p w14:paraId="5A9C5FA5" w14:textId="75805FF3" w:rsidR="004868A3" w:rsidRPr="004868A3" w:rsidRDefault="004868A3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68A3">
        <w:rPr>
          <w:rFonts w:ascii="Times New Roman" w:eastAsia="Calibri" w:hAnsi="Times New Roman" w:cs="Times New Roman"/>
          <w:sz w:val="24"/>
          <w:szCs w:val="24"/>
        </w:rPr>
        <w:t xml:space="preserve">Konzultácie s podnikateľskými subjektmi sa uskutočnili prezenčnou a online formou. Výber bol v zmysle navrhovanej úpravy týkajúcej sa výnimky spoplatnenia tepelných čerpadiel. </w:t>
      </w:r>
    </w:p>
    <w:p w14:paraId="49C67761" w14:textId="3C0E34E7" w:rsidR="00054C41" w:rsidRDefault="004868A3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Uveďte spôsob oslovenia dotknutých subjektov, zoznam konzultujúcich subjektov, tiež </w:t>
      </w:r>
      <w:proofErr w:type="spellStart"/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>link</w:t>
      </w:r>
      <w:proofErr w:type="spellEnd"/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na webovú stránku, na ktorej boli konzultácie zverejnené. </w:t>
      </w:r>
    </w:p>
    <w:p w14:paraId="58EDDF04" w14:textId="0F162230" w:rsidR="004868A3" w:rsidRPr="004868A3" w:rsidRDefault="004868A3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68A3">
        <w:rPr>
          <w:rFonts w:ascii="Times New Roman" w:eastAsia="Calibri" w:hAnsi="Times New Roman" w:cs="Times New Roman"/>
          <w:sz w:val="24"/>
          <w:szCs w:val="24"/>
        </w:rPr>
        <w:t>Oslovení boli telefonicky aj emailom, konzultácie trvali približne 1,5 hod.</w:t>
      </w:r>
      <w:r>
        <w:rPr>
          <w:rFonts w:ascii="Times New Roman" w:eastAsia="Calibri" w:hAnsi="Times New Roman" w:cs="Times New Roman"/>
          <w:sz w:val="24"/>
          <w:szCs w:val="24"/>
        </w:rPr>
        <w:t xml:space="preserve"> Konzu</w:t>
      </w:r>
      <w:r w:rsidR="000705C7">
        <w:rPr>
          <w:rFonts w:ascii="Times New Roman" w:eastAsia="Calibri" w:hAnsi="Times New Roman" w:cs="Times New Roman"/>
          <w:sz w:val="24"/>
          <w:szCs w:val="24"/>
        </w:rPr>
        <w:t>ltácií sa zúčastnili zástupca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868A3">
        <w:rPr>
          <w:rFonts w:ascii="Times New Roman" w:eastAsia="Calibri" w:hAnsi="Times New Roman" w:cs="Times New Roman"/>
          <w:sz w:val="24"/>
          <w:szCs w:val="24"/>
        </w:rPr>
        <w:t>ENGIE Bratislava, Ing. Marián K</w:t>
      </w:r>
      <w:r w:rsidR="00403E64">
        <w:rPr>
          <w:rFonts w:ascii="Times New Roman" w:eastAsia="Calibri" w:hAnsi="Times New Roman" w:cs="Times New Roman"/>
          <w:sz w:val="24"/>
          <w:szCs w:val="24"/>
        </w:rPr>
        <w:t xml:space="preserve">lepáč, </w:t>
      </w:r>
      <w:r w:rsidR="000705C7">
        <w:rPr>
          <w:rFonts w:ascii="Times New Roman" w:eastAsia="Calibri" w:hAnsi="Times New Roman" w:cs="Times New Roman"/>
          <w:sz w:val="24"/>
          <w:szCs w:val="24"/>
        </w:rPr>
        <w:t>zástupcovia</w:t>
      </w:r>
      <w:r w:rsidR="000705C7" w:rsidRPr="000705C7">
        <w:rPr>
          <w:rFonts w:ascii="Times New Roman" w:eastAsia="Calibri" w:hAnsi="Times New Roman" w:cs="Times New Roman"/>
          <w:sz w:val="24"/>
          <w:szCs w:val="24"/>
        </w:rPr>
        <w:t xml:space="preserve"> Slovenského zväzu pre chladenie klimatizáciu a tepelne čerpadla, Ing. </w:t>
      </w:r>
      <w:proofErr w:type="spellStart"/>
      <w:r w:rsidR="000705C7" w:rsidRPr="000705C7">
        <w:rPr>
          <w:rFonts w:ascii="Times New Roman" w:eastAsia="Calibri" w:hAnsi="Times New Roman" w:cs="Times New Roman"/>
          <w:sz w:val="24"/>
          <w:szCs w:val="24"/>
        </w:rPr>
        <w:t>Orovnický</w:t>
      </w:r>
      <w:proofErr w:type="spellEnd"/>
      <w:r w:rsidR="000705C7" w:rsidRPr="000705C7">
        <w:rPr>
          <w:rFonts w:ascii="Times New Roman" w:eastAsia="Calibri" w:hAnsi="Times New Roman" w:cs="Times New Roman"/>
          <w:sz w:val="24"/>
          <w:szCs w:val="24"/>
        </w:rPr>
        <w:t xml:space="preserve"> Vladimír a Alexander Hyža</w:t>
      </w:r>
      <w:r w:rsidR="00403E64">
        <w:rPr>
          <w:rFonts w:ascii="Times New Roman" w:eastAsia="Calibri" w:hAnsi="Times New Roman" w:cs="Times New Roman"/>
          <w:sz w:val="24"/>
          <w:szCs w:val="24"/>
        </w:rPr>
        <w:t xml:space="preserve"> a zástupca SVP, š. p., Ing. Alena Bujnová</w:t>
      </w:r>
      <w:r w:rsidR="000705C7">
        <w:rPr>
          <w:rFonts w:ascii="Calibri" w:hAnsi="Calibri" w:cs="Calibri"/>
          <w:color w:val="000000"/>
          <w:shd w:val="clear" w:color="auto" w:fill="FFFFFF"/>
        </w:rPr>
        <w:t xml:space="preserve">. </w:t>
      </w:r>
      <w:r w:rsidR="000705C7" w:rsidRPr="000705C7">
        <w:rPr>
          <w:rFonts w:ascii="Times New Roman" w:eastAsia="Calibri" w:hAnsi="Times New Roman" w:cs="Times New Roman"/>
          <w:sz w:val="24"/>
          <w:szCs w:val="24"/>
        </w:rPr>
        <w:t>Konzultácie boli zverejnené na portáli Slov-Lex od 26.2.2024 – 26.2.2024 prostredníctvom PI/2024/42.</w:t>
      </w:r>
    </w:p>
    <w:p w14:paraId="5DDE9409" w14:textId="77777777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Uveďte hlavné body konzultácií a ich závery. </w:t>
      </w:r>
    </w:p>
    <w:p w14:paraId="02108605" w14:textId="42E2AE69" w:rsidR="000705C7" w:rsidRPr="00403E64" w:rsidRDefault="00403E64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3E64">
        <w:rPr>
          <w:rFonts w:ascii="Times New Roman" w:eastAsia="Calibri" w:hAnsi="Times New Roman" w:cs="Times New Roman"/>
          <w:sz w:val="24"/>
          <w:szCs w:val="24"/>
        </w:rPr>
        <w:t xml:space="preserve">Ochrana </w:t>
      </w:r>
      <w:r w:rsidR="002E0F5E">
        <w:rPr>
          <w:rFonts w:ascii="Times New Roman" w:eastAsia="Calibri" w:hAnsi="Times New Roman" w:cs="Times New Roman"/>
          <w:sz w:val="24"/>
          <w:szCs w:val="24"/>
        </w:rPr>
        <w:t>vzduchu pred znečistením – redu</w:t>
      </w:r>
      <w:r w:rsidRPr="00403E64">
        <w:rPr>
          <w:rFonts w:ascii="Times New Roman" w:eastAsia="Calibri" w:hAnsi="Times New Roman" w:cs="Times New Roman"/>
          <w:sz w:val="24"/>
          <w:szCs w:val="24"/>
        </w:rPr>
        <w:t>kcia emisií CO2, ochrana vôd a výdavky na zabezpečovanie ochrany vôd, systém tepelných čerpadiel a udržateľnosť.</w:t>
      </w:r>
      <w:r>
        <w:rPr>
          <w:rFonts w:ascii="Times New Roman" w:eastAsia="Calibri" w:hAnsi="Times New Roman" w:cs="Times New Roman"/>
          <w:sz w:val="24"/>
          <w:szCs w:val="24"/>
        </w:rPr>
        <w:t xml:space="preserve"> Otázka výnimky spoplatnenia tepelných čerpadiel.</w:t>
      </w:r>
    </w:p>
    <w:p w14:paraId="3EE20844" w14:textId="77777777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Uveďte zoznam predložených alternatívnych riešení problematiky od konzultujúcich subjektov, ako aj návrhy od konzultujúcich subjektov na zníženie nákladov regulácií na PP, ktoré neboli akceptované a dôvod neakceptovania. </w:t>
      </w:r>
    </w:p>
    <w:p w14:paraId="4B01CD65" w14:textId="360F3DE4" w:rsidR="00403E64" w:rsidRPr="001A2413" w:rsidRDefault="00403E64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2413">
        <w:rPr>
          <w:rFonts w:ascii="Times New Roman" w:eastAsia="Calibri" w:hAnsi="Times New Roman" w:cs="Times New Roman"/>
          <w:sz w:val="24"/>
          <w:szCs w:val="24"/>
        </w:rPr>
        <w:t xml:space="preserve">Zástupca SVP, .š. p., vyjadril, že príjmy podniku budú nižšie o 130 000 eur, tieto poplatky mohli byť využívané na údržbu a ochranu vodný tokov a zdrojov. Návrh zástupcov SZCHKTP, aby štát vymáhal financie od znečisťovateľov. </w:t>
      </w:r>
      <w:r w:rsidR="00B31744">
        <w:rPr>
          <w:rFonts w:ascii="Times New Roman" w:eastAsia="Calibri" w:hAnsi="Times New Roman" w:cs="Times New Roman"/>
          <w:sz w:val="24"/>
          <w:szCs w:val="24"/>
        </w:rPr>
        <w:t>K typu TČ</w:t>
      </w:r>
      <w:r w:rsidR="001A2413" w:rsidRPr="001A2413">
        <w:rPr>
          <w:rFonts w:ascii="Times New Roman" w:eastAsia="Calibri" w:hAnsi="Times New Roman" w:cs="Times New Roman"/>
          <w:sz w:val="24"/>
          <w:szCs w:val="24"/>
        </w:rPr>
        <w:t xml:space="preserve"> voda-voda súhlasné stanovisko, že zníženie hluku, väčší výkon, aj udržateľnosť. </w:t>
      </w:r>
      <w:r w:rsidRPr="001A241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064013B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lastRenderedPageBreak/>
        <w:t xml:space="preserve">Alternatívne namiesto vypĺňania bodu 3.2 môžete uviesť ako samostatnú prílohu tejto analýzy Záznam z konzultácií obsahujúci požadované informácie. </w:t>
      </w:r>
    </w:p>
    <w:p w14:paraId="178FF6D3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8FCAD96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09C066C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1" w:name="_Hlk47698091"/>
      <w:r w:rsidRPr="001F1B43">
        <w:rPr>
          <w:rFonts w:ascii="Times New Roman" w:eastAsia="Calibri" w:hAnsi="Times New Roman" w:cs="Times New Roman"/>
          <w:b/>
          <w:sz w:val="24"/>
          <w:szCs w:val="24"/>
        </w:rPr>
        <w:t>3.3 Vplyvy na konkurencieschopnosť a produktivitu</w:t>
      </w:r>
    </w:p>
    <w:bookmarkEnd w:id="1"/>
    <w:p w14:paraId="5CAF52B4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Dochádza k vytvoreniu resp. k zmene bariér na trhu? </w:t>
      </w:r>
    </w:p>
    <w:p w14:paraId="5382DC8D" w14:textId="78917D4F" w:rsidR="0064787B" w:rsidRDefault="0064787B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Bez vplyvu na vytváranie obchodných bariér</w:t>
      </w:r>
    </w:p>
    <w:p w14:paraId="4D049DE7" w14:textId="0DC9D711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Bude sa s niektorými podnikmi alebo produktmi zaobchádzať v porovnateľnej situácii rôzne (napr. špeciálne režimy pre </w:t>
      </w:r>
      <w:proofErr w:type="spellStart"/>
      <w:r w:rsidRPr="00D8247C">
        <w:rPr>
          <w:rFonts w:ascii="Times New Roman" w:eastAsia="Calibri" w:hAnsi="Times New Roman" w:cs="Times New Roman"/>
          <w:i/>
          <w:sz w:val="24"/>
          <w:szCs w:val="24"/>
        </w:rPr>
        <w:t>mikro</w:t>
      </w:r>
      <w:proofErr w:type="spellEnd"/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, malé a stredné podniky tzv. MSP)? </w:t>
      </w:r>
    </w:p>
    <w:p w14:paraId="134C502A" w14:textId="266E999E" w:rsidR="0064787B" w:rsidRPr="0064787B" w:rsidRDefault="0064787B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Nie</w:t>
      </w:r>
    </w:p>
    <w:p w14:paraId="452A90F1" w14:textId="5D10E98B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Ovplyvňuje zmena regulácie cezhraničné investície (príliv/odliv zahraničných investícií resp. uplatnenie slovenských podnikov na zahraničných trhoch)? </w:t>
      </w:r>
    </w:p>
    <w:p w14:paraId="6CDC4E63" w14:textId="708C96FA" w:rsidR="0064787B" w:rsidRPr="0064787B" w:rsidRDefault="0064787B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Nie</w:t>
      </w:r>
    </w:p>
    <w:p w14:paraId="0D074838" w14:textId="3AEB8667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Ovplyvní dostupnosť základných zdrojov (financie, pracovná sila, suroviny, mechanizmy, energie atď.)? </w:t>
      </w:r>
    </w:p>
    <w:p w14:paraId="788FE246" w14:textId="7F2A86C3" w:rsidR="0064787B" w:rsidRPr="0064787B" w:rsidRDefault="0064787B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Zrušenie poplatkov môže zvýšiť dopyt po podzemnej vode na energetické účely. </w:t>
      </w:r>
    </w:p>
    <w:p w14:paraId="6B6A3793" w14:textId="14BA8DF7" w:rsidR="007259CB" w:rsidRDefault="007259CB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Ovplyvňuje zmena regulácie inovácie, vedu a výskum?</w:t>
      </w:r>
    </w:p>
    <w:p w14:paraId="53E4FA05" w14:textId="60F9A9F6" w:rsidR="0064787B" w:rsidRPr="0064787B" w:rsidRDefault="0064787B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Nie</w:t>
      </w:r>
    </w:p>
    <w:p w14:paraId="64E2FB2F" w14:textId="57280817" w:rsidR="00BA19B0" w:rsidRDefault="00BA19B0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Ak bol identifikovaný </w:t>
      </w:r>
      <w:proofErr w:type="spellStart"/>
      <w:r>
        <w:rPr>
          <w:rFonts w:ascii="Times New Roman" w:eastAsia="Calibri" w:hAnsi="Times New Roman" w:cs="Times New Roman"/>
          <w:i/>
          <w:sz w:val="24"/>
          <w:szCs w:val="24"/>
        </w:rPr>
        <w:t>goldplating</w:t>
      </w:r>
      <w:proofErr w:type="spellEnd"/>
      <w:r w:rsidR="00581EB9">
        <w:rPr>
          <w:rFonts w:ascii="Times New Roman" w:eastAsia="Calibri" w:hAnsi="Times New Roman" w:cs="Times New Roman"/>
          <w:i/>
          <w:sz w:val="24"/>
          <w:szCs w:val="24"/>
        </w:rPr>
        <w:t>,</w:t>
      </w:r>
      <w:r w:rsidR="00C14655">
        <w:rPr>
          <w:rFonts w:ascii="Times New Roman" w:eastAsia="Calibri" w:hAnsi="Times New Roman" w:cs="Times New Roman"/>
          <w:i/>
          <w:sz w:val="24"/>
          <w:szCs w:val="24"/>
        </w:rPr>
        <w:t xml:space="preserve"> prispieva k zníženiu konkurencieschopnosti a produktivity?</w:t>
      </w:r>
      <w:r w:rsidR="00581EB9">
        <w:rPr>
          <w:rFonts w:ascii="Times New Roman" w:eastAsia="Calibri" w:hAnsi="Times New Roman" w:cs="Times New Roman"/>
          <w:i/>
          <w:sz w:val="24"/>
          <w:szCs w:val="24"/>
        </w:rPr>
        <w:t xml:space="preserve"> Akým spôsobom?</w:t>
      </w:r>
    </w:p>
    <w:p w14:paraId="35CB4188" w14:textId="6A8E3904" w:rsidR="0064787B" w:rsidRPr="0064787B" w:rsidRDefault="0064787B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Nebol identifikovaný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goldplating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2CB32C8" w14:textId="7F82D609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iCs/>
          <w:sz w:val="24"/>
          <w:szCs w:val="24"/>
        </w:rPr>
        <w:t>Ako prispieva zmena regulácie k cieľu Slovenska mať najlepšie podnikateľské prostredie spomedzi susediacich krajín EÚ?</w:t>
      </w:r>
    </w:p>
    <w:p w14:paraId="595A0C4E" w14:textId="2A38A70E" w:rsidR="0064787B" w:rsidRPr="0064787B" w:rsidRDefault="0064787B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Zanedbateľný vplyv.</w:t>
      </w:r>
    </w:p>
    <w:p w14:paraId="78681465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BE35CB4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b/>
          <w:i/>
          <w:sz w:val="24"/>
          <w:szCs w:val="24"/>
        </w:rPr>
        <w:t>Konkurencieschopnosť:</w:t>
      </w:r>
    </w:p>
    <w:p w14:paraId="6C684286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Na základe uvedených odpovedí zaškrtnite a popíšte, či materiál konkurencieschopnosť:</w:t>
      </w:r>
    </w:p>
    <w:p w14:paraId="76CD0669" w14:textId="7C1F4BFE" w:rsidR="00054C41" w:rsidRPr="00D8247C" w:rsidRDefault="00FA0FFF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798576880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1729873660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410579887"/>
        </w:sdtPr>
        <w:sdtEndPr/>
        <w:sdtContent>
          <w:r w:rsidR="0064787B">
            <w:rPr>
              <w:rFonts w:ascii="Times New Roman" w:eastAsia="Calibri" w:hAnsi="Times New Roman" w:cs="Times New Roman"/>
              <w:i/>
              <w:sz w:val="24"/>
              <w:szCs w:val="24"/>
            </w:rPr>
            <w:t>X</w:t>
          </w:r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nemení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474604883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706551548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327BF48A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5861187D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b/>
          <w:i/>
          <w:sz w:val="24"/>
          <w:szCs w:val="24"/>
        </w:rPr>
        <w:t>Produktivita:</w:t>
      </w:r>
    </w:p>
    <w:p w14:paraId="1FF562C2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Aký má materiál vplyv na zmenu pomeru medzi produkciou podnikov a ich nákladmi? </w:t>
      </w:r>
    </w:p>
    <w:p w14:paraId="23DA5CCF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B272ABF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Na základe uvedenej odpovede zaškrtnite a popíšte, či materiál produktivitu:</w:t>
      </w:r>
    </w:p>
    <w:p w14:paraId="789FA80A" w14:textId="4A8F328A" w:rsidR="00054C41" w:rsidRPr="00D8247C" w:rsidRDefault="00FA0FFF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545903528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825715010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353966921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222205104"/>
            </w:sdtPr>
            <w:sdtEndPr/>
            <w:sdtContent>
              <w:r w:rsidR="0064787B">
                <w:rPr>
                  <w:rFonts w:ascii="Times New Roman" w:eastAsia="Calibri" w:hAnsi="Times New Roman" w:cs="Times New Roman"/>
                  <w:i/>
                  <w:sz w:val="24"/>
                  <w:szCs w:val="24"/>
                </w:rPr>
                <w:t>X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nemení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457723544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623767955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1FFE92DA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4547B8F" w14:textId="77777777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814BF91" w14:textId="77777777" w:rsidR="00E30D85" w:rsidRPr="00D8247C" w:rsidRDefault="00E30D85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F05F45F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 xml:space="preserve">3.4  Iné vplyvy na podnikateľské prostredie </w:t>
      </w:r>
    </w:p>
    <w:p w14:paraId="43DDBA26" w14:textId="77777777" w:rsidR="0064787B" w:rsidRDefault="0064787B" w:rsidP="0064787B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424DBDFC" w14:textId="77777777" w:rsidR="00B21D1F" w:rsidRDefault="00B21D1F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0016300C" w14:textId="77777777" w:rsidR="0064787B" w:rsidRDefault="0064787B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187741DD" w14:textId="77777777" w:rsidR="0064787B" w:rsidRDefault="0064787B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212EC2EC" w14:textId="77777777" w:rsidR="0064787B" w:rsidRDefault="0064787B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sectPr w:rsidR="0064787B" w:rsidSect="00231B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9B8E1D" w14:textId="77777777" w:rsidR="00BF3C36" w:rsidRDefault="00BF3C36" w:rsidP="00054C41">
      <w:pPr>
        <w:spacing w:after="0" w:line="240" w:lineRule="auto"/>
      </w:pPr>
      <w:r>
        <w:separator/>
      </w:r>
    </w:p>
  </w:endnote>
  <w:endnote w:type="continuationSeparator" w:id="0">
    <w:p w14:paraId="7DC6A2AE" w14:textId="77777777" w:rsidR="00BF3C36" w:rsidRDefault="00BF3C36" w:rsidP="00054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603509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D55F2F5" w14:textId="5DDAA6D7" w:rsidR="00BF3C36" w:rsidRPr="006045CB" w:rsidRDefault="00BF3C36" w:rsidP="00054C41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16BAE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556761F" w14:textId="77777777" w:rsidR="00BF3C36" w:rsidRPr="00FF7125" w:rsidRDefault="00BF3C36" w:rsidP="00054C41">
    <w:pPr>
      <w:pStyle w:val="Pta"/>
      <w:rPr>
        <w:sz w:val="24"/>
        <w:szCs w:val="24"/>
      </w:rPr>
    </w:pPr>
  </w:p>
  <w:p w14:paraId="20FE6A4A" w14:textId="77777777" w:rsidR="00BF3C36" w:rsidRDefault="00BF3C36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B2472B" w14:textId="77777777" w:rsidR="00BF3C36" w:rsidRDefault="00BF3C36" w:rsidP="00054C41">
      <w:pPr>
        <w:spacing w:after="0" w:line="240" w:lineRule="auto"/>
      </w:pPr>
      <w:r>
        <w:separator/>
      </w:r>
    </w:p>
  </w:footnote>
  <w:footnote w:type="continuationSeparator" w:id="0">
    <w:p w14:paraId="31E40756" w14:textId="77777777" w:rsidR="00BF3C36" w:rsidRDefault="00BF3C36" w:rsidP="00054C41">
      <w:pPr>
        <w:spacing w:after="0" w:line="240" w:lineRule="auto"/>
      </w:pPr>
      <w:r>
        <w:continuationSeparator/>
      </w:r>
    </w:p>
  </w:footnote>
  <w:footnote w:id="1">
    <w:p w14:paraId="6CC680CB" w14:textId="6BF8CDC6" w:rsidR="00BF3C36" w:rsidRPr="000A6B7F" w:rsidRDefault="00BF3C36" w:rsidP="00C929AE">
      <w:pPr>
        <w:pStyle w:val="Textpoznmkypodiarou"/>
        <w:rPr>
          <w:rFonts w:ascii="Times New Roman" w:hAnsi="Times New Roman" w:cs="Times New Roman"/>
        </w:rPr>
      </w:pPr>
      <w:r>
        <w:rPr>
          <w:rStyle w:val="Odkaznapoznmkupodiarou"/>
        </w:rPr>
        <w:footnoteRef/>
      </w:r>
      <w:r>
        <w:t xml:space="preserve"> </w:t>
      </w:r>
      <w:r w:rsidRPr="000A6B7F">
        <w:rPr>
          <w:rFonts w:ascii="Times New Roman" w:hAnsi="Times New Roman" w:cs="Times New Roman"/>
        </w:rPr>
        <w:t xml:space="preserve">Definícia </w:t>
      </w:r>
      <w:proofErr w:type="spellStart"/>
      <w:r w:rsidRPr="000A6B7F">
        <w:rPr>
          <w:rFonts w:ascii="Times New Roman" w:hAnsi="Times New Roman" w:cs="Times New Roman"/>
        </w:rPr>
        <w:t>goldplatingu</w:t>
      </w:r>
      <w:proofErr w:type="spellEnd"/>
      <w:r w:rsidRPr="000A6B7F">
        <w:rPr>
          <w:rFonts w:ascii="Times New Roman" w:hAnsi="Times New Roman" w:cs="Times New Roman"/>
        </w:rPr>
        <w:t xml:space="preserve"> </w:t>
      </w:r>
      <w:r w:rsidRPr="00D114ED">
        <w:rPr>
          <w:rFonts w:ascii="Times New Roman" w:hAnsi="Times New Roman" w:cs="Times New Roman"/>
        </w:rPr>
        <w:t>je uvedená v bode 4 časti III. jednotnej metodiky.</w:t>
      </w:r>
    </w:p>
  </w:footnote>
  <w:footnote w:id="2">
    <w:p w14:paraId="1647D7DF" w14:textId="77777777" w:rsidR="00BF3C36" w:rsidRPr="00804BC8" w:rsidRDefault="00BF3C36" w:rsidP="00804BC8">
      <w:pPr>
        <w:pStyle w:val="Textpoznmkypodiarou"/>
        <w:jc w:val="both"/>
        <w:rPr>
          <w:rFonts w:ascii="Times New Roman" w:hAnsi="Times New Roman" w:cs="Times New Roman"/>
        </w:rPr>
      </w:pPr>
      <w:r w:rsidRPr="0099544D">
        <w:rPr>
          <w:rStyle w:val="Odkaznapoznmkupodiarou"/>
          <w:rFonts w:ascii="Times New Roman" w:hAnsi="Times New Roman" w:cs="Times New Roman"/>
        </w:rPr>
        <w:footnoteRef/>
      </w:r>
      <w:r w:rsidRPr="0099544D">
        <w:rPr>
          <w:rFonts w:ascii="Times New Roman" w:hAnsi="Times New Roman" w:cs="Times New Roman"/>
        </w:rPr>
        <w:t xml:space="preserve"> </w:t>
      </w:r>
      <w:r w:rsidRPr="00804BC8">
        <w:rPr>
          <w:rFonts w:ascii="Times New Roman" w:hAnsi="Times New Roman" w:cs="Times New Roman"/>
        </w:rPr>
        <w:t xml:space="preserve">Informácie sa uvádzajú  iba v prípade, ak sa predkladaným návrhom regulácie vykonáva transpozícia smernice </w:t>
      </w:r>
      <w:r w:rsidRPr="0099544D">
        <w:rPr>
          <w:rFonts w:ascii="Times New Roman" w:hAnsi="Times New Roman" w:cs="Times New Roman"/>
        </w:rPr>
        <w:t>EÚ</w:t>
      </w:r>
      <w:r w:rsidRPr="00804BC8">
        <w:rPr>
          <w:rFonts w:ascii="Times New Roman" w:hAnsi="Times New Roman" w:cs="Times New Roman"/>
        </w:rPr>
        <w:t xml:space="preserve"> a bol identifikovaný </w:t>
      </w:r>
      <w:proofErr w:type="spellStart"/>
      <w:r w:rsidRPr="00804BC8">
        <w:rPr>
          <w:rFonts w:ascii="Times New Roman" w:hAnsi="Times New Roman" w:cs="Times New Roman"/>
        </w:rPr>
        <w:t>goldplating</w:t>
      </w:r>
      <w:proofErr w:type="spellEnd"/>
      <w:r w:rsidRPr="00804BC8">
        <w:rPr>
          <w:rFonts w:ascii="Times New Roman" w:hAnsi="Times New Roman" w:cs="Times New Roman"/>
        </w:rPr>
        <w:t xml:space="preserve"> podľa tabuľky zhody alebo sa vykonáva implementácia nariadenia EÚ s </w:t>
      </w:r>
      <w:proofErr w:type="spellStart"/>
      <w:r w:rsidRPr="00804BC8">
        <w:rPr>
          <w:rFonts w:ascii="Times New Roman" w:hAnsi="Times New Roman" w:cs="Times New Roman"/>
        </w:rPr>
        <w:t>goldplatingom</w:t>
      </w:r>
      <w:proofErr w:type="spellEnd"/>
      <w:r w:rsidRPr="00804BC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Informácie sa uvádzajú aj v prípade</w:t>
      </w:r>
      <w:r w:rsidRPr="00CF4D09">
        <w:rPr>
          <w:rFonts w:ascii="Times New Roman" w:hAnsi="Times New Roman" w:cs="Times New Roman"/>
        </w:rPr>
        <w:t xml:space="preserve"> (ak nejde o transpozíciu smernice EÚ alebo implementáciu nariadenia EÚ)</w:t>
      </w:r>
      <w:r>
        <w:rPr>
          <w:rFonts w:ascii="Times New Roman" w:hAnsi="Times New Roman" w:cs="Times New Roman"/>
        </w:rPr>
        <w:t xml:space="preserve">, ak sa predloženým návrhom odstraňuje </w:t>
      </w:r>
      <w:proofErr w:type="spellStart"/>
      <w:r>
        <w:rPr>
          <w:rFonts w:ascii="Times New Roman" w:hAnsi="Times New Roman" w:cs="Times New Roman"/>
        </w:rPr>
        <w:t>goldplating</w:t>
      </w:r>
      <w:proofErr w:type="spellEnd"/>
      <w:r>
        <w:rPr>
          <w:rFonts w:ascii="Times New Roman" w:hAnsi="Times New Roman" w:cs="Times New Roman"/>
        </w:rPr>
        <w:t>, ktorého pôvod je v skoršom zachovaní existujúcej právnej úpravy (existujúcich vnútroštátnych požiadaviek).</w:t>
      </w:r>
    </w:p>
    <w:p w14:paraId="5D313DAF" w14:textId="77777777" w:rsidR="00BF3C36" w:rsidRDefault="00BF3C36" w:rsidP="00512BA7">
      <w:pPr>
        <w:pStyle w:val="Textpoznmkypodiarou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D8E6B" w14:textId="77777777" w:rsidR="00BF3C36" w:rsidRPr="006045CB" w:rsidRDefault="00BF3C36" w:rsidP="00142154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3a</w:t>
    </w:r>
  </w:p>
  <w:p w14:paraId="4B2D726A" w14:textId="77777777" w:rsidR="00BF3C36" w:rsidRPr="006045CB" w:rsidRDefault="00BF3C36" w:rsidP="00142154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A226B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6B66859"/>
    <w:multiLevelType w:val="hybridMultilevel"/>
    <w:tmpl w:val="6BFACF3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E2235"/>
    <w:multiLevelType w:val="hybridMultilevel"/>
    <w:tmpl w:val="93EC2C2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82F49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B4294"/>
    <w:multiLevelType w:val="hybridMultilevel"/>
    <w:tmpl w:val="DB90B4D4"/>
    <w:lvl w:ilvl="0" w:tplc="A80C46B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F7276D"/>
    <w:multiLevelType w:val="hybridMultilevel"/>
    <w:tmpl w:val="50AE822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21570F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252805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 w15:restartNumberingAfterBreak="0">
    <w:nsid w:val="70BB77D5"/>
    <w:multiLevelType w:val="hybridMultilevel"/>
    <w:tmpl w:val="F7CE6636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36C4BD0"/>
    <w:multiLevelType w:val="hybridMultilevel"/>
    <w:tmpl w:val="5AD88732"/>
    <w:lvl w:ilvl="0" w:tplc="3E049D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FD0C6E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14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1"/>
  </w:num>
  <w:num w:numId="2">
    <w:abstractNumId w:val="9"/>
  </w:num>
  <w:num w:numId="3">
    <w:abstractNumId w:val="10"/>
  </w:num>
  <w:num w:numId="4">
    <w:abstractNumId w:val="8"/>
  </w:num>
  <w:num w:numId="5">
    <w:abstractNumId w:val="6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3"/>
  </w:num>
  <w:num w:numId="11">
    <w:abstractNumId w:val="4"/>
  </w:num>
  <w:num w:numId="12">
    <w:abstractNumId w:val="0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C41"/>
    <w:rsid w:val="0002425A"/>
    <w:rsid w:val="00024EE4"/>
    <w:rsid w:val="00047C70"/>
    <w:rsid w:val="00050AAB"/>
    <w:rsid w:val="00054A53"/>
    <w:rsid w:val="00054C41"/>
    <w:rsid w:val="00060DA1"/>
    <w:rsid w:val="00061E85"/>
    <w:rsid w:val="000658C2"/>
    <w:rsid w:val="000705C7"/>
    <w:rsid w:val="000820E0"/>
    <w:rsid w:val="00091A43"/>
    <w:rsid w:val="0009490E"/>
    <w:rsid w:val="000A6B7F"/>
    <w:rsid w:val="000C5419"/>
    <w:rsid w:val="000C5E9A"/>
    <w:rsid w:val="000D15F0"/>
    <w:rsid w:val="0011003B"/>
    <w:rsid w:val="001133DA"/>
    <w:rsid w:val="00116BAE"/>
    <w:rsid w:val="00126A2B"/>
    <w:rsid w:val="00142154"/>
    <w:rsid w:val="001476A4"/>
    <w:rsid w:val="00162C6C"/>
    <w:rsid w:val="0016512E"/>
    <w:rsid w:val="00176B56"/>
    <w:rsid w:val="0018715C"/>
    <w:rsid w:val="001A1561"/>
    <w:rsid w:val="001A2413"/>
    <w:rsid w:val="001B4C03"/>
    <w:rsid w:val="001C7B91"/>
    <w:rsid w:val="001D1083"/>
    <w:rsid w:val="001D3FA0"/>
    <w:rsid w:val="001E24E8"/>
    <w:rsid w:val="001E53CB"/>
    <w:rsid w:val="00207F43"/>
    <w:rsid w:val="002232D3"/>
    <w:rsid w:val="00225A83"/>
    <w:rsid w:val="00231B8F"/>
    <w:rsid w:val="00270EA5"/>
    <w:rsid w:val="002712B9"/>
    <w:rsid w:val="00284B8C"/>
    <w:rsid w:val="0029483F"/>
    <w:rsid w:val="002C2FC0"/>
    <w:rsid w:val="002E0F5E"/>
    <w:rsid w:val="00302A17"/>
    <w:rsid w:val="00314D25"/>
    <w:rsid w:val="00315BE2"/>
    <w:rsid w:val="003322EE"/>
    <w:rsid w:val="00337630"/>
    <w:rsid w:val="00340CFD"/>
    <w:rsid w:val="003413D5"/>
    <w:rsid w:val="00342621"/>
    <w:rsid w:val="00357F22"/>
    <w:rsid w:val="0036748D"/>
    <w:rsid w:val="00376039"/>
    <w:rsid w:val="0038255E"/>
    <w:rsid w:val="00391648"/>
    <w:rsid w:val="0039304E"/>
    <w:rsid w:val="0039334E"/>
    <w:rsid w:val="00394AD2"/>
    <w:rsid w:val="003A02AF"/>
    <w:rsid w:val="003A3124"/>
    <w:rsid w:val="003A686F"/>
    <w:rsid w:val="003E28E7"/>
    <w:rsid w:val="003E58B8"/>
    <w:rsid w:val="003F06D7"/>
    <w:rsid w:val="00400224"/>
    <w:rsid w:val="00400BA5"/>
    <w:rsid w:val="00403E64"/>
    <w:rsid w:val="00410E62"/>
    <w:rsid w:val="00414FA7"/>
    <w:rsid w:val="00420090"/>
    <w:rsid w:val="004239D1"/>
    <w:rsid w:val="00445638"/>
    <w:rsid w:val="00446432"/>
    <w:rsid w:val="00446512"/>
    <w:rsid w:val="00466D7A"/>
    <w:rsid w:val="0048237B"/>
    <w:rsid w:val="00484D16"/>
    <w:rsid w:val="004868A3"/>
    <w:rsid w:val="00491853"/>
    <w:rsid w:val="004A14CD"/>
    <w:rsid w:val="004A2C6B"/>
    <w:rsid w:val="004D20CB"/>
    <w:rsid w:val="004D65B2"/>
    <w:rsid w:val="004D681D"/>
    <w:rsid w:val="004E2324"/>
    <w:rsid w:val="004F63E6"/>
    <w:rsid w:val="005103DA"/>
    <w:rsid w:val="00511F8F"/>
    <w:rsid w:val="00512BA7"/>
    <w:rsid w:val="00515726"/>
    <w:rsid w:val="00562527"/>
    <w:rsid w:val="00562A1E"/>
    <w:rsid w:val="00563427"/>
    <w:rsid w:val="00581EB9"/>
    <w:rsid w:val="005B4E6E"/>
    <w:rsid w:val="005B56E4"/>
    <w:rsid w:val="005C795C"/>
    <w:rsid w:val="005D0E50"/>
    <w:rsid w:val="005D10E2"/>
    <w:rsid w:val="005D39D8"/>
    <w:rsid w:val="0061097B"/>
    <w:rsid w:val="0061454F"/>
    <w:rsid w:val="0061612F"/>
    <w:rsid w:val="006177C8"/>
    <w:rsid w:val="0062600A"/>
    <w:rsid w:val="0063777D"/>
    <w:rsid w:val="00643358"/>
    <w:rsid w:val="00646084"/>
    <w:rsid w:val="0064787B"/>
    <w:rsid w:val="006564C3"/>
    <w:rsid w:val="006578CB"/>
    <w:rsid w:val="006A4E85"/>
    <w:rsid w:val="006A60C0"/>
    <w:rsid w:val="006A712F"/>
    <w:rsid w:val="006B5D74"/>
    <w:rsid w:val="006C25BE"/>
    <w:rsid w:val="006D7AD8"/>
    <w:rsid w:val="006E570B"/>
    <w:rsid w:val="006F1D57"/>
    <w:rsid w:val="0070364C"/>
    <w:rsid w:val="00710EDF"/>
    <w:rsid w:val="0072221D"/>
    <w:rsid w:val="0072357C"/>
    <w:rsid w:val="007259CB"/>
    <w:rsid w:val="00726031"/>
    <w:rsid w:val="00751DA9"/>
    <w:rsid w:val="00755E69"/>
    <w:rsid w:val="007648EE"/>
    <w:rsid w:val="0077106D"/>
    <w:rsid w:val="00780ACC"/>
    <w:rsid w:val="00787A11"/>
    <w:rsid w:val="00797B40"/>
    <w:rsid w:val="007A0C9D"/>
    <w:rsid w:val="007B40FB"/>
    <w:rsid w:val="007B62AF"/>
    <w:rsid w:val="007E24B2"/>
    <w:rsid w:val="007E2DA4"/>
    <w:rsid w:val="007E6815"/>
    <w:rsid w:val="007E7632"/>
    <w:rsid w:val="007F1C84"/>
    <w:rsid w:val="007F4579"/>
    <w:rsid w:val="00801596"/>
    <w:rsid w:val="0080387E"/>
    <w:rsid w:val="00804BC8"/>
    <w:rsid w:val="00806E23"/>
    <w:rsid w:val="00807981"/>
    <w:rsid w:val="00823F5A"/>
    <w:rsid w:val="00845D3B"/>
    <w:rsid w:val="008634E9"/>
    <w:rsid w:val="008801B5"/>
    <w:rsid w:val="00880578"/>
    <w:rsid w:val="00882407"/>
    <w:rsid w:val="008920C3"/>
    <w:rsid w:val="00894052"/>
    <w:rsid w:val="008A7B87"/>
    <w:rsid w:val="008B4AA1"/>
    <w:rsid w:val="008C1C71"/>
    <w:rsid w:val="008D1BD7"/>
    <w:rsid w:val="008E1AD0"/>
    <w:rsid w:val="008E315F"/>
    <w:rsid w:val="008E6B82"/>
    <w:rsid w:val="008F6ADE"/>
    <w:rsid w:val="0091269B"/>
    <w:rsid w:val="00923C0C"/>
    <w:rsid w:val="0095170D"/>
    <w:rsid w:val="00952CF6"/>
    <w:rsid w:val="00960413"/>
    <w:rsid w:val="00981995"/>
    <w:rsid w:val="00981C7F"/>
    <w:rsid w:val="00985515"/>
    <w:rsid w:val="00990813"/>
    <w:rsid w:val="009924BB"/>
    <w:rsid w:val="0099544D"/>
    <w:rsid w:val="00997513"/>
    <w:rsid w:val="009A0E2C"/>
    <w:rsid w:val="009A4D56"/>
    <w:rsid w:val="009B1F04"/>
    <w:rsid w:val="009E09F7"/>
    <w:rsid w:val="009E2D5C"/>
    <w:rsid w:val="009E3E44"/>
    <w:rsid w:val="009F4175"/>
    <w:rsid w:val="009F66A4"/>
    <w:rsid w:val="009F6C80"/>
    <w:rsid w:val="00A000DA"/>
    <w:rsid w:val="00A1736E"/>
    <w:rsid w:val="00A216DF"/>
    <w:rsid w:val="00A33F2C"/>
    <w:rsid w:val="00A50EE3"/>
    <w:rsid w:val="00A60B57"/>
    <w:rsid w:val="00A83E11"/>
    <w:rsid w:val="00A94A0F"/>
    <w:rsid w:val="00AA3C6D"/>
    <w:rsid w:val="00AA6A46"/>
    <w:rsid w:val="00AB57C4"/>
    <w:rsid w:val="00B11CF5"/>
    <w:rsid w:val="00B209FA"/>
    <w:rsid w:val="00B21D1F"/>
    <w:rsid w:val="00B31744"/>
    <w:rsid w:val="00B410BA"/>
    <w:rsid w:val="00B43D68"/>
    <w:rsid w:val="00B44A3A"/>
    <w:rsid w:val="00B5600C"/>
    <w:rsid w:val="00B66E33"/>
    <w:rsid w:val="00B72FB1"/>
    <w:rsid w:val="00B953DA"/>
    <w:rsid w:val="00BA19B0"/>
    <w:rsid w:val="00BB3870"/>
    <w:rsid w:val="00BB45A7"/>
    <w:rsid w:val="00BD0EF7"/>
    <w:rsid w:val="00BD6778"/>
    <w:rsid w:val="00BF3C36"/>
    <w:rsid w:val="00C01599"/>
    <w:rsid w:val="00C048D1"/>
    <w:rsid w:val="00C05563"/>
    <w:rsid w:val="00C11132"/>
    <w:rsid w:val="00C115B9"/>
    <w:rsid w:val="00C12FDD"/>
    <w:rsid w:val="00C145AA"/>
    <w:rsid w:val="00C14655"/>
    <w:rsid w:val="00C21399"/>
    <w:rsid w:val="00C446E2"/>
    <w:rsid w:val="00C51FEE"/>
    <w:rsid w:val="00C535F5"/>
    <w:rsid w:val="00C560C4"/>
    <w:rsid w:val="00C6748F"/>
    <w:rsid w:val="00C74337"/>
    <w:rsid w:val="00C75DC8"/>
    <w:rsid w:val="00C929AE"/>
    <w:rsid w:val="00C94684"/>
    <w:rsid w:val="00CA23E5"/>
    <w:rsid w:val="00CA4344"/>
    <w:rsid w:val="00CA6348"/>
    <w:rsid w:val="00CB1232"/>
    <w:rsid w:val="00CB17A0"/>
    <w:rsid w:val="00CC3B7D"/>
    <w:rsid w:val="00CD5AE4"/>
    <w:rsid w:val="00CD5E86"/>
    <w:rsid w:val="00CE3B21"/>
    <w:rsid w:val="00CF4D09"/>
    <w:rsid w:val="00D005F2"/>
    <w:rsid w:val="00D03A8E"/>
    <w:rsid w:val="00D114ED"/>
    <w:rsid w:val="00D3032C"/>
    <w:rsid w:val="00D31A3B"/>
    <w:rsid w:val="00D376AF"/>
    <w:rsid w:val="00D5309D"/>
    <w:rsid w:val="00D631FA"/>
    <w:rsid w:val="00D71064"/>
    <w:rsid w:val="00D811BB"/>
    <w:rsid w:val="00D82356"/>
    <w:rsid w:val="00D84EEE"/>
    <w:rsid w:val="00D90A61"/>
    <w:rsid w:val="00D946EF"/>
    <w:rsid w:val="00D95553"/>
    <w:rsid w:val="00DC355F"/>
    <w:rsid w:val="00DD1E4C"/>
    <w:rsid w:val="00DE331A"/>
    <w:rsid w:val="00DE6ACB"/>
    <w:rsid w:val="00DF02CE"/>
    <w:rsid w:val="00DF1462"/>
    <w:rsid w:val="00E030DA"/>
    <w:rsid w:val="00E214C0"/>
    <w:rsid w:val="00E30D85"/>
    <w:rsid w:val="00E444EB"/>
    <w:rsid w:val="00E52F68"/>
    <w:rsid w:val="00E77A69"/>
    <w:rsid w:val="00E81A42"/>
    <w:rsid w:val="00E961E8"/>
    <w:rsid w:val="00E96244"/>
    <w:rsid w:val="00E96DE0"/>
    <w:rsid w:val="00EB2BEC"/>
    <w:rsid w:val="00EB74BF"/>
    <w:rsid w:val="00EC0704"/>
    <w:rsid w:val="00EC508B"/>
    <w:rsid w:val="00EC735E"/>
    <w:rsid w:val="00ED6B5D"/>
    <w:rsid w:val="00EE4C99"/>
    <w:rsid w:val="00F153D7"/>
    <w:rsid w:val="00F1599C"/>
    <w:rsid w:val="00F2433F"/>
    <w:rsid w:val="00F244DC"/>
    <w:rsid w:val="00F378F4"/>
    <w:rsid w:val="00F47912"/>
    <w:rsid w:val="00F541B6"/>
    <w:rsid w:val="00F57702"/>
    <w:rsid w:val="00F61361"/>
    <w:rsid w:val="00F613E8"/>
    <w:rsid w:val="00F74D3C"/>
    <w:rsid w:val="00F74FC9"/>
    <w:rsid w:val="00F91F47"/>
    <w:rsid w:val="00FA4F36"/>
    <w:rsid w:val="00FA6FFE"/>
    <w:rsid w:val="00FC121B"/>
    <w:rsid w:val="00FD3DFB"/>
    <w:rsid w:val="00FF0272"/>
    <w:rsid w:val="00FF14F6"/>
    <w:rsid w:val="00FF414B"/>
    <w:rsid w:val="00FF4B7A"/>
    <w:rsid w:val="00FF6FF5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D44A8"/>
  <w15:docId w15:val="{4971B98A-309B-41B5-937D-82CDFE46E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54C4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54C41"/>
  </w:style>
  <w:style w:type="paragraph" w:styleId="Normlnywebov">
    <w:name w:val="Normal (Web)"/>
    <w:basedOn w:val="Normlny"/>
    <w:uiPriority w:val="99"/>
    <w:unhideWhenUsed/>
    <w:rsid w:val="00054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table" w:customStyle="1" w:styleId="Mriekatabuky2">
    <w:name w:val="Mriežka tabuľky2"/>
    <w:basedOn w:val="Normlnatabuka"/>
    <w:next w:val="Mriekatabuky"/>
    <w:uiPriority w:val="5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54C41"/>
  </w:style>
  <w:style w:type="paragraph" w:styleId="Textbubliny">
    <w:name w:val="Balloon Text"/>
    <w:basedOn w:val="Normlny"/>
    <w:link w:val="TextbublinyChar"/>
    <w:uiPriority w:val="99"/>
    <w:semiHidden/>
    <w:unhideWhenUsed/>
    <w:rsid w:val="001B4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4C03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1B4C0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B4C0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B4C0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B4C0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B4C03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EE4C99"/>
    <w:pPr>
      <w:ind w:left="720"/>
      <w:contextualSpacing/>
    </w:pPr>
  </w:style>
  <w:style w:type="paragraph" w:customStyle="1" w:styleId="gmail-m-1648484718305530482msolistparagraph">
    <w:name w:val="gmail-m_-1648484718305530482msolistparagraph"/>
    <w:basedOn w:val="Normlny"/>
    <w:rsid w:val="00A50EE3"/>
    <w:pPr>
      <w:spacing w:before="100" w:beforeAutospacing="1" w:after="100" w:afterAutospacing="1" w:line="240" w:lineRule="auto"/>
    </w:pPr>
    <w:rPr>
      <w:rFonts w:ascii="Calibri" w:hAnsi="Calibri" w:cs="Calibri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929A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929AE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C929AE"/>
    <w:rPr>
      <w:vertAlign w:val="superscript"/>
    </w:rPr>
  </w:style>
  <w:style w:type="paragraph" w:styleId="Revzia">
    <w:name w:val="Revision"/>
    <w:hidden/>
    <w:uiPriority w:val="99"/>
    <w:semiHidden/>
    <w:rsid w:val="00DE6ACB"/>
    <w:pPr>
      <w:spacing w:after="0" w:line="240" w:lineRule="auto"/>
    </w:pPr>
  </w:style>
  <w:style w:type="character" w:customStyle="1" w:styleId="norm00e1lnychar1">
    <w:name w:val="norm_00e1lny__char1"/>
    <w:rsid w:val="000658C2"/>
    <w:rPr>
      <w:rFonts w:ascii="Times New Roman" w:hAnsi="Times New Roman" w:cs="Times New Roman"/>
      <w:strike w:val="0"/>
      <w:dstrike w:val="0"/>
      <w:sz w:val="20"/>
      <w:szCs w:val="20"/>
      <w:u w:val="none"/>
      <w:effect w:val="none"/>
    </w:rPr>
  </w:style>
  <w:style w:type="character" w:styleId="Siln">
    <w:name w:val="Strong"/>
    <w:basedOn w:val="Predvolenpsmoodseku"/>
    <w:uiPriority w:val="22"/>
    <w:qFormat/>
    <w:rsid w:val="000658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7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mhsr.sk/podnikatelske-prostredie/lepsia-regulacia/regulacne-zatazenie/kalkulacka-nakladov-regulacie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07.3a_Analýza-vplyvov-na-podnikateľské-prostredie"/>
    <f:field ref="objsubject" par="" edit="true" text=""/>
    <f:field ref="objcreatedby" par="" text="Cao Tienová, Laura, Mgr."/>
    <f:field ref="objcreatedat" par="" text="19.3.2024 11:24:10"/>
    <f:field ref="objchangedby" par="" text="Administrator, System"/>
    <f:field ref="objmodifiedat" par="" text="19.3.2024 11:24:10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DD050109-A2E0-48B8-8F79-ADBFCECE7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5</Pages>
  <Words>1054</Words>
  <Characters>6010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7050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Pavlikova Katarina</dc:creator>
  <cp:lastModifiedBy>Acer</cp:lastModifiedBy>
  <cp:revision>26</cp:revision>
  <dcterms:created xsi:type="dcterms:W3CDTF">2024-02-01T13:06:00Z</dcterms:created>
  <dcterms:modified xsi:type="dcterms:W3CDTF">2024-03-13T12:44:00Z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>&lt;p style="text-align: justify;"&gt;Verejnosť bola o&amp;nbsp;príprave návrhu zákona, ktorým sa mení a&amp;nbsp;dopĺňa zákon č. 364/2004 Z. z. o&amp;nbsp;vodách a&amp;nbsp;o&amp;nbsp;zmene zákona Slovenskej národnej rady č. 372/1990 Zb. o&amp;nbsp;priestupkoch v&amp;nbsp;znení neskorších predpisov (vodný zákon) v&amp;nbsp;znení neskorších predpisov informovaná prostredníctvom predbežnej informácie k&amp;nbsp;návrhu zákona zverejnenej&amp;nbsp;v informačnom systéme verejnej správy Slov-Lex (PI/2024/42) od 22.2.2024&amp;nbsp; do 26.2.2024.&lt;/p&gt;&lt;p style="text-align: justify;"&gt;&amp;nbsp;V termíne pripomienkovania predbežnej informácie boli uplatnené pripomienky, ktoré boli následne prekonzultované so subjektmi:&lt;/p&gt;&lt;ul&gt;_x0009_&lt;li style="text-align: justify;"&gt;SVP, š. p., ENGIE Bratislava, SZ CHKT.&lt;/li&gt;&lt;/ul&gt;&lt;table border="1" cellpadding="0" cellspacing="0" style="width:631px;" width="0"&gt;_x0009_&lt;tbody&gt;_x0009__x0009_&lt;tr&gt;_x0009__x0009__x0009_&lt;td colspan="5" style="width:631px;height:16px;"&gt;_x0009__x0009__x0009_&lt;p style="text-align: justify;"&gt;&amp;nbsp;&lt;strong&gt;Správa o účasti verejnosti na tvorbe právneho predpisu&lt;/strong&gt;&lt;/p&gt;_x0009__x0009__x0009_&lt;p style="text-align: justify;"&gt;&lt;strong&gt;Scenár 1: Verejnosť je informovaná o tvorbe právneho predpisu &lt;/strong&gt;&lt;/p&gt;_x0009__x0009__x0009_&lt;/td&gt;_x0009__x0009_&lt;/tr&gt;_x0009__x0009_&lt;tr&gt;_x0009__x0009__x0009_&lt;td style="width:102px;height:5px;"&gt;_x0009__x0009__x0009_&lt;p style="text-align: justify;"&gt;&lt;strong&gt;Fáza procesu &lt;/strong&gt;&lt;/p&gt;_x0009__x0009__x0009_&lt;/td&gt;_x0009__x0009__x0009_&lt;td style="width:142px;height:5px;"&gt;_x0009__x0009__x0009_&lt;p style="text-align: justify;"&gt;&lt;strong&gt;Subfáza &lt;/strong&gt;&lt;/p&gt;_x0009__x0009__x0009_&lt;/td&gt;_x0009__x0009__x0009_&lt;td style="width:311px;height:5px;"&gt;_x0009__x0009__x0009_&lt;p style="text-align: justify;"&gt;&lt;strong&gt;Kontrolná otázka &lt;/strong&gt;&lt;/p&gt;_x0009__x0009__x0009_&lt;/td&gt;_x0009__x0009__x0009_&lt;td style="width:38px;height:5px;"&gt;_x0009__x0009__x0009_&lt;p style="text-align: justify;"&gt;&lt;strong&gt;&amp;nbsp; Á &lt;/strong&gt;&lt;/p&gt;_x0009__x0009__x0009_&lt;/td&gt;_x0009__x0009__x0009_&lt;td style="width:38px;height:5px;"&gt;_x0009__x0009__x0009_&lt;p style="text-align: justify;"&gt;&lt;strong&gt;&amp;nbsp; N &lt;/strong&gt;&lt;/p&gt;_x0009__x0009__x0009_&lt;/td&gt;_x0009__x0009_&lt;/tr&gt;_x0009__x0009_&lt;tr&gt;_x0009__x0009__x0009_&lt;td rowspan="2" style="width:102px;height:27px;"&gt;_x0009__x0009__x0009_&lt;p style="text-align: justify;"&gt;&lt;strong&gt;1. Príprava tvorby právneho predpisu &lt;/strong&gt;&lt;/p&gt;_x0009__x0009__x0009_&lt;/td&gt;_x0009__x0009__x0009_&lt;td style="width:142px;height:27px;"&gt;_x0009__x0009__x0009_&lt;p style="text-align: justify;"&gt;1.1 Identifikácia cieľa&lt;/p&gt;_x0009__x0009__x0009_&lt;/td&gt;_x0009__x0009__x0009_&lt;td style="width:311px;height:27px;"&gt;_x0009__x0009__x0009_&lt;p style="text-align: justify;"&gt;Bol zadefinovaný cieľ účasti verejnosti na tvorbe právneho predpisu?&lt;sup&gt;1)&lt;/sup&gt;&lt;/p&gt;_x0009__x0009__x0009_&lt;/td&gt;_x0009__x0009__x0009_&lt;td style="width:38px;height:27px;"&gt;_x0009__x0009__x0009_&lt;p style="margin-left: -5.35pt; text-align: justify;"&gt;&amp;nbsp;☒&lt;/p&gt;_x0009__x0009__x0009_&lt;/td&gt;_x0009__x0009__x0009_&lt;td style="width:38px;height:27px;"&gt;_x0009__x0009__x0009_&lt;p style="text-align: justify;"&gt;☐&lt;/p&gt;_x0009__x0009__x0009_&lt;/td&gt;_x0009__x0009_&lt;/tr&gt;_x0009__x0009_&lt;tr&gt;_x0009__x0009__x0009_&lt;td style="width:142px;height:14px;"&gt;_x0009__x0009__x0009_&lt;p style="text-align: justify;"&gt;1.2 Identifikácia problému a alternatív&lt;/p&gt;_x0009__x0009__x0009_&lt;/td&gt;_x0009__x0009__x0009_&lt;td style="width:311px;height:14px;"&gt;_x0009__x0009__x0009_&lt;p style="text-align: justify;"&gt;Bola vykonaná identifikácia problému a alternatív riešení?&lt;sup&gt;2)&lt;/sup&gt;&lt;/p&gt;_x0009__x0009__x0009_&lt;/td&gt;_x0009__x0009__x0009_&lt;td style="width:38px;height:14px;"&gt;_x0009__x0009__x0009_&lt;p style="text-align: justify;"&gt;☒&lt;/p&gt;_x0009__x0009__x0009_&lt;/td&gt;_x0009__x0009__x0009_&lt;td style="width:38px;height:14px;"&gt;_x0009__x0009__x0009_&lt;p style="margin-left: -5.35pt; text-align: justify;"&gt;&amp;nbsp;☐&lt;/p&gt;_x0009__x0009__x0009_&lt;/td&gt;_x0009__x0009_&lt;/tr&gt;_x0009__x0009_&lt;tr&gt;_x0009__x0009__x0009_&lt;td rowspan="9" style="width:102px;"&gt;_x0009__x0009__x0009_&lt;p style="text-align: justify;"&gt;&lt;strong&gt;2. Informova-nie verejnosti o&amp;nbsp;tvorbe práv-neho predpisu &lt;/strong&gt;&lt;/p&gt;_x0009__x0009__x0009_&lt;/td&gt;_x0009__x0009__x0009_&lt;td rowspan="3" style="width:142px;"&gt;_x0009__x0009__x0009_&lt;p style="text-align: justify;"&gt;2.1 Rozsah informácií&lt;/p&gt;_x0009__x0009__x0009_&lt;/td&gt;_x0009__x0009__x0009_&lt;td style="width:311px;"&gt;_x0009__x0009__x0009_&lt;p style="text-align: justify;"&gt;Boli verejnosti poskytnuté informácie o probléme, ktorý má predmetný právny predpis riešiť?&lt;/p&gt;_x0009__x0009__x0009_&lt;/td&gt;_x0009__x0009__x0009_&lt;td style="width:38px;"&gt;_x0009__x0009__x0009_&lt;p style="margin-left: -5.35pt; text-align: justify;"&gt;&amp;nbsp;☒&lt;/p&gt;_x0009__x0009__x0009_&lt;/td&gt;_x0009__x0009__x0009_&lt;td style="width:38px;"&gt;_x0009__x0009__x0009_&lt;p style="text-align: justify;"&gt;☐&lt;/p&gt;_x0009__x0009__x0009_&lt;/td&gt;_x0009__x0009_&lt;/tr&gt;_x0009__x0009_&lt;tr&gt;_x0009__x0009__x0009_&lt;td style="width:311px;height:21px;"&gt;_x0009__x0009__x0009_&lt;p style="text-align: justify;"&gt;Boli verejnosti poskytnuté informácie o cieli účasti verejnosti na tvorbe právneho predpisu spolu s&amp;nbsp;časovým rámcom jeho tvorby?&lt;/p&gt;_x0009__x0009__x0009_&lt;/td&gt;_x0009__x0009__x0009_&lt;td style="width:38px;height:21px;"&gt;_x0009__x0009__x0009_&lt;p style="margin-left: -5.35pt; text-align: justify;"&gt;&amp;nbsp;☒&lt;/p&gt;_x0009__x0009__x0009_&lt;/td&gt;_x0009__x0009__x0009_&lt;td style="width:38px;height:21px;"&gt;_x0009__x0009__x0009_&lt;p style="text-align: justify;"&gt;☐&lt;/p&gt;_x0009__x0009__x0009_&lt;/td&gt;_x0009__x0009_&lt;/tr&gt;_x0009__x0009_&lt;tr&gt;_x0009__x0009__x0009_&lt;td style="width:311px;height:14px;"&gt;_x0009__x0009__x0009_&lt;p style="text-align: justify;"&gt;Boli verejnosti poskytnuté informácie o plánovanom procese tvorby právneho predpisu?&lt;/p&gt;_x0009__x0009__x0009_&lt;/td&gt;_x0009__x0009__x0009_&lt;td style="width:38px;height:14px;"&gt;_x0009__x0009__x0009_&lt;p style="margin-left: -5.35pt; text-align: justify;"&gt;&amp;nbsp;☒&lt;/p&gt;_x0009__x0009__x0009_&lt;/td&gt;_x0009__x0009__x0009_&lt;td style="width:38px;height:14px;"&gt;_x0009__x0009__x0009_&lt;p style="text-align: justify;"&gt;☐&lt;/p&gt;_x0009__x0009__x0009_&lt;/td&gt;_x0009__x0009_&lt;/tr&gt;_x0009__x0009_&lt;tr&gt;_x0009__x0009__x0009_&lt;td rowspan="3" style="width:142px;height:33px;"&gt;_x0009__x0009__x0009_&lt;p style="text-align: justify;"&gt;2.2 Kontinuita informovania&lt;/p&gt;_x0009__x0009__x0009_&lt;/td&gt;_x0009__x0009__x0009_&lt;td style="width:311px;height:33px;"&gt;_x0009__x0009__x0009_&lt;p style="text-align: justify;"&gt;Boli verejnosti poskytnuté relevantné informácie pred začatím tvorby právneho predpisu?&lt;/p&gt;_x0009__x0009__x0009_&lt;/td&gt;_x0009__x0009__x0009_&lt;td style="width:38px;height:33px;"&gt;_x0009__x0009__x0009_&lt;p style="margin-left: -5.35pt; text-align: justify;"&gt;&amp;nbsp;☒&lt;/p&gt;_x0009__x0009__x0009_&lt;/td&gt;_x0009__x0009__x0009_&lt;td style="width:38px;height:33px;"&gt;_x0009__x0009__x0009_&lt;p style="text-align: justify;"&gt;☐&lt;/p&gt;_x0009__x0009__x0009_&lt;/td&gt;_x0009__x0009_&lt;/tr&gt;_x0009__x0009_&lt;tr&gt;_x0009__x0009__x0009_&lt;td style="width:311px;height:14px;"&gt;_x0009__x0009__x0009_&lt;p style="text-align: justify;"&gt;Boli verejnosti poskytnuté relevantné informácie počas tvorby právneho predpisu?&lt;/p&gt;_x0009__x0009__x0009_&lt;/td&gt;_x0009__x0009__x0009_&lt;td style="width:38px;height:14px;"&gt;_x0009__x0009__x0009_&lt;p style="text-align: justify;"&gt;☒&lt;/p&gt;_x0009__x0009__x0009_&lt;/td&gt;_x0009__x0009__x0009_&lt;td style="width:38px;height:14px;"&gt;_x0009__x0009__x0009_&lt;p style="margin-left: -5.35pt; text-align: justify;"&gt;&amp;nbsp;☐&lt;/p&gt;_x0009__x0009__x0009_&lt;/td&gt;_x0009__x0009_&lt;/tr&gt;_x0009__x0009_&lt;tr&gt;_x0009__x0009__x0009_&lt;td style="width:311px;height:14px;"&gt;_x0009__x0009__x0009_&lt;p style="text-align: justify;"&gt;Boli verejnosti poskytnuté relevantné informácie aj po ukončení tvorby právneho predpisu?&lt;/p&gt;_x0009__x0009__x0009_&lt;/td&gt;_x0009__x0009__x0009_&lt;td style="width:38px;height:14px;"&gt;_x0009__x0009__x0009_&lt;p style="text-align: justify;"&gt;☐&lt;/p&gt;_x0009__x0009__x0009_&lt;/td&gt;_x0009__x0009__x0009_&lt;td style="width:38px;height:14px;"&gt;_x0009__x0009__x0009_&lt;p style="text-align: justify;"&gt;☒&lt;/p&gt;_x0009__x0009__x0009_&lt;/td&gt;_x0009__x0009_&lt;/tr&gt;_x0009__x0009_&lt;tr&gt;_x0009__x0009__x0009_&lt;td rowspan="2" style="width:142px;height:25px;"&gt;_x0009__x0009__x0009_&lt;p style="text-align: justify;"&gt;2.3 Kvalita a včasnosť informácií&lt;/p&gt;_x0009__x0009__x0009_&lt;/td&gt;_x0009__x0009__x0009_&lt;td style="width:311px;height:25px;"&gt;_x0009__x0009__x0009_&lt;p style="text-align: justify;"&gt;Boli relevantné informácie o tvorbe právneho predpisu verejnosti poskytnuté včas?&lt;/p&gt;_x0009__x0009__x0009_&lt;/td&gt;_x0009__x0009__x0009_&lt;td style="width:38px;height:25px;"&gt;_x0009__x0009__x0009_&lt;p style="text-align: justify;"&gt;☒&lt;/p&gt;_x0009__x0009__x0009_&lt;/td&gt;_x0009__x0009__x0009_&lt;td style="width:38px;height:25px;"&gt;_x0009__x0009__x0009_&lt;p style="text-align: justify;"&gt;☐&lt;/p&gt;_x0009__x0009__x0009_&lt;/td&gt;_x0009__x0009_&lt;/tr&gt;_x0009__x0009_&lt;tr&gt;_x0009__x0009__x0009_&lt;td style="width:311px;height:21px;"&gt;_x0009__x0009__x0009_&lt;p style="text-align: justify;"&gt;Boli relevantné informácie o tvorbe právneho predpisu a o samotnom právnom predpise poskytnuté vo vyhovujúcej technickej kvalite?&lt;sup&gt;3)&lt;/sup&gt;&lt;/p&gt;_x0009__x0009__x0009_&lt;/td&gt;_x0009__x0009__x0009_&lt;td style="width:38px;height:21px;"&gt;_x0009__x0009__x0009_&lt;p style="text-align: justify;"&gt;☒&lt;/p&gt;_x0009__x0009__x0009_&lt;/td&gt;_x0009__x0009__x0009_&lt;td style="width:38px;height:21px;"&gt;_x0009__x0009__x0009_&lt;p style="text-align: justify;"&gt;☐&lt;/p&gt;_x0009__x0009__x0009_&lt;/td&gt;_x0009__x0009_&lt;/tr&gt;_x0009__x0009_&lt;tr&gt;_x0009__x0009__x0009_&lt;td style="width:142px;height:21px;"&gt;_x0009__x0009__x0009_&lt;p style="text-align: justify;"&gt;2.4 Adresnosť informácií&lt;/p&gt;_x0009__x0009__x0009_&lt;/td&gt;_x0009__x0009__x0009_&lt;td style="width:311px;height:21px;"&gt;_x0009__x0009__x0009_&lt;p style="text-align: justify;"&gt;Boli zvolené komunikačné kanály dostatočné vzhľadom na prenos relevantných informácií o&amp;nbsp;právnom predpise smerom k verejnosti?&lt;/p&gt;_x0009__x0009__x0009_&lt;/td&gt;_x0009__x0009__x0009_&lt;td style="width:38px;height:21px;"&gt;_x0009__x0009__x0009_&lt;p style="text-align: justify;"&gt;☒&lt;/p&gt;_x0009__x0009__x0009_&lt;/td&gt;_x0009__x0009__x0009_&lt;td style="width:38px;height:21px;"&gt;_x0009__x0009__x0009_&lt;p style="margin-left: -5.35pt; text-align: justify;"&gt;&amp;nbsp;☐&lt;/p&gt;_x0009__x0009__x0009_&lt;/td&gt;_x0009__x0009_&lt;/tr&gt;_x0009__x0009_&lt;tr&gt;_x0009__x0009__x0009_&lt;td rowspan="3" style="width:102px;"&gt;_x0009__x0009__x0009_&lt;p style="text-align: justify;"&gt;&lt;strong&gt;3. Vyhodnote-nie procesu tvorby právneho predpisu &lt;/strong&gt;&lt;/p&gt;_x0009__x0009__x0009_&lt;/td&gt;_x0009__x0009__x0009_&lt;td rowspan="3" style="width:142px;"&gt;_x0009__x0009__x0009_&lt;p style="text-align: justify;"&gt;3.1 Hodnotenie procesu&lt;/p&gt;_x0009__x0009__x0009_&lt;/td&gt;_x0009__x0009__x0009_&lt;td style="width:311px;"&gt;_x0009__x0009__x0009_&lt;p style="text-align: justify;"&gt;Bolo vykonané hodnotenie procesu tvorby právneho predpisu?&lt;/p&gt;_x0009__x0009__x0009_&lt;/td&gt;_x0009__x0009__x0009_&lt;td style="width:38px;"&gt;_x0009__x0009__x0009_&lt;p style="text-align: justify;"&gt;☐&lt;/p&gt;_x0009__x0009__x0009_&lt;/td&gt;_x0009__x0009__x0009_&lt;td style="width:38px;"&gt;_x0009__x0009__x0009_&lt;p style="margin-left: -5.35pt; text-align: justify;"&gt;&amp;nbsp;☒&lt;/p&gt;_x0009__x0009__x0009_&lt;/td&gt;_x0009__x0009_&lt;/tr&gt;_x0009__x0009_&lt;tr&gt;_x0009__x0009__x0009_&lt;td style="width:311px;height:14px;"&gt;_x0009__x0009__x0009_&lt;p style="text-align: justify;"&gt;Bola zverejnená hodnotiaca správa procesu tvorby právneho predpisu?&lt;sup&gt;4)&lt;/sup&gt;&lt;/p&gt;_x0009__x0009__x0009_&lt;/td&gt;_x0009__x0009__x0009_&lt;td style="width:38px;height:14px;"&gt;_x0009__x0009__x0009_&lt;p style="margin-left: -5.35pt; text-align: justify;"&gt;&amp;nbsp;☐&lt;/p&gt;_x0009__x0009__x0009_&lt;/td&gt;_x0009__x0009__x0009_&lt;td style="width:38px;height:14px;"&gt;_x0009__x0009__x0009_&lt;p style="text-align: justify;"&gt;☒&lt;/p&gt;_x0009__x0009__x0009_&lt;/td&gt;_x0009__x0009_&lt;/tr&gt;_x0009__x0009_&lt;tr&gt;_x0009__x0009__x0009_&lt;td style="width:311px;height:14px;"&gt;_x0009__x0009__x0009_&lt;p style="text-align: justify;"&gt;Bol splnený cieľ účasti verejnosti na tvorbe právneho predpisu?&lt;/p&gt;_x0009__x0009__x0009_&lt;/td&gt;_x0009__x0009__x0009_&lt;td style="width:38px;height:14px;"&gt;_x0009__x0009__x0009_&lt;p style="text-align: justify;"&gt;☒&lt;/p&gt;_x0009__x0009__x0009_&lt;/td&gt;_x0009__x0009__x0009_&lt;td style="width:38px;height:14px;"&gt;_x0009__x0009__x0009_&lt;p style="margin-left: -5.35pt; text-align: justify;"&gt;&amp;nbsp; ☐&lt;/p&gt;_x0009__x0009__x0009_&lt;/td&gt;_x0009__x0009_&lt;/tr&gt;_x0009_&lt;/tbody&gt;&lt;/table&gt;&lt;p&gt;&amp;nbsp;&lt;/p&gt;</vt:lpwstr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Pred rokovaním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Životné prostredie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Mgr. Laura Cao Tienová</vt:lpwstr>
  </property>
  <property name="FSC#SKEDITIONSLOVLEX@103.510:zodppredkladatel" pid="12" fmtid="{D5CDD505-2E9C-101B-9397-08002B2CF9AE}">
    <vt:lpwstr>Ing. Mgr. Tomáš Taraba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, ktorým sa mení a dopĺňa zákon č. 364/2004 Z. z. o vodách a o zmene zákona Slovenskej národnej rady č. 372/1990 Zb. o priestupkoch v znení neskorších predpisov (vodný zákon) v znení neskorších predpisov 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životného prostredia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Implementácia Reformy 1, čiastkové opatrenie 3: Podpora tepelných čerpadiel v rámci Komponentu 19 REPowerEU Plánu obnovy a odolnosti SR vyplývajúca z návrhu VYKONÁVACIEHO ROZHODNUTIA RADY zo 14. júla 2023, ktorým sa mení vykonávacie rozhodnutie Rady z 13. júla 2021 o schválení a posúdení Plánu obnovy a odolnosti SR</vt:lpwstr>
  </property>
  <property name="FSC#SKEDITIONSLOVLEX@103.510:plnynazovpredpis" pid="23" fmtid="{D5CDD505-2E9C-101B-9397-08002B2CF9AE}">
    <vt:lpwstr> Zákon, ktorým sa mení a dopĺňa zákon č. 364/2004 Z. z. o vodách a o zmene zákona Slovenskej národnej rady č. 372/1990 Zb. o priestupkoch v znení neskorších predpisov (vodný zákon) v znení neskorších predpisov 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9314/2024-1.15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LP/2024/121</vt:lpwstr>
  </property>
  <property name="FSC#SKEDITIONSLOVLEX@103.510:typsprievdok" pid="37" fmtid="{D5CDD505-2E9C-101B-9397-08002B2CF9AE}">
    <vt:lpwstr>Doložka vplyvov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>je upravený v práve Európskej únie</vt:lpwstr>
  </property>
  <property name="FSC#SKEDITIONSLOVLEX@103.510:AttrStrListDocPropPrimarnePravoEU" pid="46" fmtid="{D5CDD505-2E9C-101B-9397-08002B2CF9AE}">
    <vt:lpwstr>navrhovaný materiál nie je upravený v práve Európskej únie,</vt:lpwstr>
  </property>
  <property name="FSC#SKEDITIONSLOVLEX@103.510:AttrStrListDocPropSekundarneLegPravoPO" pid="47" fmtid="{D5CDD505-2E9C-101B-9397-08002B2CF9AE}">
    <vt:lpwstr>COM(2023) 375 PRÍLOHA k návrhu VYKONÁVACIEHO ROZHODNUTIA RADY, ktorým sa mení vykonávacie rozhodnutie (EÚ) (ST 10156/21 INIT; ST 10156/21 ADD 1) o schválení posúdenia plánu obnovy a odolnosti Slovenska,</vt:lpwstr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>navrhovaný materiál nie je upravený v judikatúre Súdneho dvora Európskej únie.</vt:lpwstr>
  </property>
  <property name="FSC#SKEDITIONSLOVLEX@103.510:AttrStrListDocPropLehotaPrebratieSmernice" pid="52" fmtid="{D5CDD505-2E9C-101B-9397-08002B2CF9AE}">
    <vt:lpwstr>Bezpredmetné.</vt:lpwstr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>b) Proti SR nebolo začaté konanie v rámci EÚ Pilot, ani nebol začatý postup Európskej komisie a ani nebolo začaté konanie o porušení Zmluvy o fungovaní Európskej únie podľa čl. 258 až 260.</vt:lpwstr>
  </property>
  <property name="FSC#SKEDITIONSLOVLEX@103.510:AttrStrListDocPropInfoUzPreberanePP" pid="55" fmtid="{D5CDD505-2E9C-101B-9397-08002B2CF9AE}">
    <vt:lpwstr>c) Bezpredmetné.</vt:lpwstr>
  </property>
  <property name="FSC#SKEDITIONSLOVLEX@103.510:AttrStrListDocPropStupenZlucitelnostiPP" pid="56" fmtid="{D5CDD505-2E9C-101B-9397-08002B2CF9AE}">
    <vt:lpwstr>úplne</vt:lpwstr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predseda vlády Slovenskej republiky_x000d__x000a_podpredseda vlády a minister životného prostredia Slovenskej republiky</vt:lpwstr>
  </property>
  <property name="FSC#SKEDITIONSLOVLEX@103.510:AttrStrListDocPropUznesenieNaVedomie" pid="137" fmtid="{D5CDD505-2E9C-101B-9397-08002B2CF9AE}">
    <vt:lpwstr>predseda Národnej rady Slovenskej republiky</vt:lpwstr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 životného prostredia Slovenskej republiky</vt:lpwstr>
  </property>
  <property name="FSC#SKEDITIONSLOVLEX@103.510:funkciaZodpPredAkuzativ" pid="142" fmtid="{D5CDD505-2E9C-101B-9397-08002B2CF9AE}">
    <vt:lpwstr>Ministra životného prostredia Slovenskej republiky</vt:lpwstr>
  </property>
  <property name="FSC#SKEDITIONSLOVLEX@103.510:funkciaZodpPredDativ" pid="143" fmtid="{D5CDD505-2E9C-101B-9397-08002B2CF9AE}">
    <vt:lpwstr>Ministrovi životného prostredia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Ing. Mgr. Tomáš Taraba_x000d__x000a_Minister životného prostredia Slovenskej republiky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>&lt;p style="text-align: justify;"&gt;Ministerstvo životného prostredia Slovenskej republiky (ďalej len „ministerstvo“) predkladá do legislatívneho procesu návrh zákona, ktorým sa mení a dopĺňa zákon č. 364/2004 Z. z. o vodách a o zmene zákona Slovenskej národnej rady č. 372/1990 Zb. o priestupkoch v znení neskorších predpisov (vodný zákon) v znení neskorších predpisov (ďalej len „návrh zákona“). V rámci legislatívneho procesu bola na portáli Slov-Lex zverejnená predbežná informácia PI/2024/42 o&amp;nbsp;príprave návrhu zákona.&lt;/p&gt;&lt;p style="text-align: justify;"&gt;Cieľom návrhu zákona je odstránenie legislatívnych bariér pri využívaní systémov tepelných čerpadiel. Legislatívna zmena vyplýva z&amp;nbsp;návrhu Vykonávacieho rozhodnutia Rady (EÚ) zo 14. júla 2023, ktorým sa mení vykonávacie rozhodnutie Rady z 13. júla 2021 o schválení a posúdení Plánu obnovy a odolnosti SR, konkrétne z Reformy 1, čiastkové opatrenie 3: Podpora tepelných čerpadiel v rámci Komponentu 19 REPowerEU Plánu obnovy a odolnosti SR.&lt;/p&gt;&lt;p style="text-align: justify;"&gt;V&amp;nbsp;návrhu zákona sa zavádza výnimka pre odbery vôd a&amp;nbsp;vypúšťanie odpadových vôd na účely energetického využitia formou oslobodenia od platenia platieb a poplatkov podľa § 78 a § 79 vodného zákona. Vodný zákon ustanovuje platby a poplatky za užívanie vôd, ktorých účelom je spoplatniť odber podzemných vôd alebo vypúšťanie odpadových vôd do podzemných alebo povrchových vôd. Zmyslom platieb a poplatkov je stanoviť primeraný príspevok za rozličné spôsoby nakladania s vodami, okrem iného aj v záujme zabezpečenia príspevku na náklady súvisiace s ochranou vodných zdrojov a realizáciou opatrení na zlepšovanie resp. udržanie stavu vôd.&lt;/p&gt;&lt;p style="text-align: justify;"&gt;Plánom Európskej komisie je zdvojnásobiť mieru zavádzania tepelných čerpadiel v&amp;nbsp;nasledujúcich 5 rokoch. Zároveň vyzvala členské štáty, aby v plnej miere využili opatrenia, ktoré by znížili bariéry pri prechode na čistú energiu, ako je využívanie tepelných čerpadiel. Najvyššiu efektívnosť a najvyššie úspory primárnej energie je možné dosiahnuť práve pri&amp;nbsp;systémoch tepelných čerpadiel voda-voda.&lt;/p&gt;&lt;p style="text-align: justify;"&gt;Navrhovanou legislatívnou úpravou sa pre tepelné čerpadlá typu voda-voda zavádza oslobodenie od povinnosti odvádzať platby a&amp;nbsp;poplatky za využívanie energetického potenciálu povrchových a&amp;nbsp;podzemných vôd. Súčasne sa navrhovanou legislatívnou úpravou zabezpečuje splnenie environmentálnych cieľov, ktoré vyplývajú zo Smernice 2000/60/ES Európskeho parlamentu a&amp;nbsp;Rady z&amp;nbsp;23. októbra 2000, ktorou sa ustanovuje rámec pôsobnosti pre opatrenia spoločenstva v&amp;nbsp;oblasti vodného hospodárstva&amp;nbsp; a&amp;nbsp;tiež základných cieľov vodného zákona, kde voda ako životne dôležitá zložka životného prostredia, nenahraditeľná surovina a prírodné bohatstvo, ktorá má strategický význam pre bezpečnosť štátu, a ktorej nedostatok môže spôsobiť ohrozenie života a zdravia obyvateľstva alebo ohroziť plnenie základných funkcií štátu. V&amp;nbsp;návrhu zákona sa primerane upravujú ustanovenia § 2, § 17, § 21, § 37, § 52, § 53, §&amp;nbsp;67, § 73, § 77, § 79 a&amp;nbsp;doplnili sa prechodné ustanovenia § 80i.&amp;nbsp;&lt;/p&gt;&lt;p style="text-align: justify;"&gt;Návrh zákona zákona nie je predmetom vnútrokomunitárneho pripomienkového konania.&lt;/p&gt;&lt;p style="text-align: justify;"&gt;Návrh zákona je v&amp;nbsp;súlade s&amp;nbsp;Ústavou Slovenskej republiky, ústavnými zákonmi, nálezmi Ústavného súdu Slovenskej republiky, so zákonmi a ostatnými všeobecne záväznými právnymi predpismi, medzinárodnými zmluvami, ktorými je Slovenská republika viazaná, ako aj s&amp;nbsp;právom Európskej únie.&lt;/p&gt;</vt:lpwstr>
  </property>
  <property name="FSC#SKEDITIONSLOVLEX@103.510:vytvorenedna" pid="150" fmtid="{D5CDD505-2E9C-101B-9397-08002B2CF9AE}">
    <vt:lpwstr>19. 3. 2024</vt:lpwstr>
  </property>
  <property name="FSC#COOSYSTEM@1.1:Container" pid="151" fmtid="{D5CDD505-2E9C-101B-9397-08002B2CF9AE}">
    <vt:lpwstr>COO.2145.1000.3.6108603</vt:lpwstr>
  </property>
  <property name="FSC#FSCFOLIO@1.1001:docpropproject" pid="152" fmtid="{D5CDD505-2E9C-101B-9397-08002B2CF9AE}">
    <vt:lpwstr/>
  </property>
</Properties>
</file>