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40C7E4E0" w:rsidR="00E66622" w:rsidRPr="00E66622" w:rsidRDefault="0078532E" w:rsidP="00DB2917">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VZNESENÉ PRIPOMIENKY V RÁMCI PRIPOMIENKOVÉHO KONANIA</w:t>
      </w:r>
      <w:r w:rsidRPr="00E66622">
        <w:rPr>
          <w:rFonts w:ascii="Times New Roman" w:eastAsia="Times New Roman" w:hAnsi="Times New Roman" w:cs="Times New Roman"/>
          <w:b/>
          <w:sz w:val="28"/>
        </w:rPr>
        <w:br/>
      </w:r>
      <w:r w:rsidR="009D32B4" w:rsidRPr="00C13765">
        <w:rPr>
          <w:rFonts w:ascii="Times New Roman" w:eastAsia="Times New Roman" w:hAnsi="Times New Roman" w:cs="Times New Roman"/>
          <w:b/>
          <w:sz w:val="24"/>
          <w:szCs w:val="20"/>
          <w:lang w:val="en-US"/>
        </w:rPr>
        <w:t>Návrh vyhlášky Ministerstva zdravotníctva Slovenskej republiky, ktorou sa mení a dopĺňa vyhláška Ministerstva zdravotníctva Slovenskej republiky č. 298/2022 Z. z., ktorou sa ustanovujú podrobnosti výpočtu príslušného násobku hrubého domáceho produktu pre stanovenie prahovej hodnoty posudzovaného lieku</w:t>
      </w:r>
      <w:r w:rsidR="00917A99">
        <w:rPr>
          <w:rFonts w:ascii="Times New Roman" w:eastAsia="Times New Roman" w:hAnsi="Times New Roman" w:cs="Times New Roman"/>
          <w:b/>
          <w:sz w:val="28"/>
        </w:rPr>
        <w:br/>
      </w:r>
      <w:r w:rsidR="003F1216">
        <w:rPr>
          <w:rFonts w:ascii="Times New Roman" w:eastAsia="Times New Roman" w:hAnsi="Times New Roman" w:cs="Times New Roman"/>
          <w:bCs/>
          <w:sz w:val="24"/>
          <w:szCs w:val="24"/>
        </w:rPr>
        <w:t>LP/2026/522</w:t>
      </w:r>
    </w:p>
    <w:p w14:paraId="4153872D" w14:textId="77777777" w:rsidR="00DB2917" w:rsidRDefault="00000000" w:rsidP="00DB2917">
      <w:pPr>
        <w:spacing w:line="276" w:lineRule="auto"/>
        <w:rPr>
          <w:sz w:val="24"/>
          <w:szCs w:val="24"/>
        </w:rPr>
      </w:pPr>
      <w:r w:rsidRPr="00E66622">
        <w:rPr>
          <w:rFonts w:ascii="Times New Roman" w:eastAsia="Times New Roman" w:hAnsi="Times New Roman" w:cs="Times New Roman"/>
          <w:sz w:val="24"/>
          <w:szCs w:val="24"/>
        </w:rPr>
        <w:t>Vysvetlivky k použitým skratkám v tabuľke:</w:t>
      </w:r>
      <w:r w:rsidRPr="00E66622">
        <w:rPr>
          <w:rFonts w:ascii="Times New Roman" w:eastAsia="Times New Roman" w:hAnsi="Times New Roman" w:cs="Times New Roman"/>
          <w:sz w:val="24"/>
          <w:szCs w:val="24"/>
        </w:rPr>
        <w:br/>
        <w:t>O – obyčajná</w:t>
      </w:r>
      <w:r w:rsidRPr="00E66622">
        <w:rPr>
          <w:rFonts w:ascii="Times New Roman" w:eastAsia="Times New Roman" w:hAnsi="Times New Roman" w:cs="Times New Roman"/>
          <w:sz w:val="24"/>
          <w:szCs w:val="24"/>
        </w:rPr>
        <w:br/>
        <w:t>Z – zásadná</w:t>
      </w:r>
    </w:p>
    <w:p w14:paraId="23F5C21C" w14:textId="17DC67E2" w:rsidR="00F0653F"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lang w:val="en-US"/>
        </w:rPr>
        <w:t>č</w:t>
      </w:r>
      <w:r w:rsidRPr="00E66622">
        <w:rPr>
          <w:rFonts w:ascii="Times New Roman" w:eastAsia="Times New Roman" w:hAnsi="Times New Roman" w:cs="Times New Roman"/>
          <w:sz w:val="24"/>
          <w:szCs w:val="24"/>
        </w:rPr>
        <w:t xml:space="preserve">et vznesených pripomienok, z toho zásadných: </w:t>
      </w:r>
      <w:r w:rsidRPr="0053699B">
        <w:rPr>
          <w:rFonts w:ascii="Times New Roman" w:eastAsia="Times New Roman" w:hAnsi="Times New Roman" w:cs="Times New Roman"/>
          <w:sz w:val="18"/>
          <w:szCs w:val="18"/>
        </w:rPr>
        <w:tab/>
      </w:r>
      <w:r w:rsidR="00A36692">
        <w:rPr>
          <w:rFonts w:ascii="Times New Roman" w:eastAsia="Times New Roman" w:hAnsi="Times New Roman" w:cs="Times New Roman"/>
          <w:sz w:val="24"/>
          <w:szCs w:val="24"/>
          <w:lang w:val="en-US"/>
        </w:rPr>
        <w:t>78</w:t>
      </w:r>
      <w:r w:rsidR="002E3CEC">
        <w:rPr>
          <w:rFonts w:ascii="Times New Roman" w:eastAsia="Times New Roman" w:hAnsi="Times New Roman" w:cs="Times New Roman"/>
          <w:sz w:val="24"/>
          <w:szCs w:val="24"/>
          <w:lang w:val="en-US"/>
        </w:rPr>
        <w:t>/14</w:t>
      </w:r>
    </w:p>
    <w:p w14:paraId="258F0E4D" w14:textId="7818F349" w:rsidR="00E66622" w:rsidRPr="00DB2917"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rPr>
        <w:t>č</w:t>
      </w:r>
      <w:r w:rsidRPr="00E66622">
        <w:rPr>
          <w:rFonts w:ascii="Times New Roman" w:eastAsia="Times New Roman" w:hAnsi="Times New Roman" w:cs="Times New Roman"/>
          <w:sz w:val="24"/>
          <w:szCs w:val="24"/>
        </w:rPr>
        <w:t xml:space="preserve">et vznesených hromadných pripomienok: </w:t>
      </w:r>
      <w:r w:rsidRPr="00E66622">
        <w:rPr>
          <w:rFonts w:ascii="Times New Roman" w:eastAsia="Times New Roman" w:hAnsi="Times New Roman" w:cs="Times New Roman"/>
          <w:sz w:val="24"/>
          <w:szCs w:val="24"/>
        </w:rPr>
        <w:tab/>
      </w:r>
      <w:r w:rsidR="00335FFB">
        <w:rPr>
          <w:rFonts w:ascii="Times New Roman" w:eastAsia="Times New Roman" w:hAnsi="Times New Roman" w:cs="Times New Roman"/>
          <w:sz w:val="24"/>
          <w:szCs w:val="24"/>
        </w:rPr>
        <w:t>0</w:t>
      </w:r>
    </w:p>
    <w:p w14:paraId="1F0934E1" w14:textId="7C2466DA" w:rsidR="007C1A93" w:rsidRPr="00E66622" w:rsidRDefault="00E66622">
      <w:pPr>
        <w:rPr>
          <w:rFonts w:ascii="Times New Roman" w:eastAsia="Times New Roman" w:hAnsi="Times New Roman" w:cs="Times New Roman"/>
          <w:sz w:val="20"/>
        </w:rPr>
      </w:pPr>
      <w:r w:rsidRPr="00E66622">
        <w:rPr>
          <w:rFonts w:ascii="Times New Roman" w:eastAsia="Times New Roman" w:hAnsi="Times New Roman" w:cs="Times New Roman"/>
          <w:sz w:val="20"/>
        </w:rPr>
        <w:br/>
      </w:r>
      <w:r w:rsidRPr="00E66622">
        <w:rPr>
          <w:rFonts w:ascii="Times New Roman" w:eastAsia="Times New Roman" w:hAnsi="Times New Roman" w:cs="Times New Roman"/>
          <w:sz w:val="24"/>
          <w:szCs w:val="24"/>
        </w:rPr>
        <w:t>Vznesené pripomienky</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5AAFA8" w14:textId="77777777" w:rsidTr="00CD5259">
        <w:trPr>
          <w:trHeight w:val="648"/>
        </w:trPr>
        <w:tc>
          <w:tcPr>
            <w:tcW w:w="1000" w:type="pct"/>
            <w:vAlign w:val="center"/>
          </w:tcPr>
          <w:p w14:paraId="4B4FA583" w14:textId="62ECD7CF"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498D7DF6" w14:textId="5D009C3B"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Typ</w:t>
            </w:r>
          </w:p>
        </w:tc>
        <w:tc>
          <w:tcPr>
            <w:tcW w:w="3150" w:type="pct"/>
            <w:vAlign w:val="center"/>
          </w:tcPr>
          <w:p w14:paraId="54262B5F" w14:textId="62E0E806"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materiálu č. 1, Čl. I, § 1, písm. a) a b)</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nasledovné znenie: </w:t>
              <w:br/>
            </w:r>
            <w:r>
              <w:rPr>
                <w:b w:val="off"/>
                <w:color w:val="000000"/>
                <w:rFonts w:ascii="Times New Roman" w:hAnsi="Times New Roman" w:cs="Times New Roman" w:eastAsia="Times New Roman"/>
                <w:sz w:val="24"/>
              </w:rPr>
              <w:t>“Násobok hrubého domáceho produktu Slovenskej republiky na obyvateľa podľa § 7 ods. 3 zákona je</w:t>
              <w:br/>
            </w:r>
            <w:r>
              <w:rPr>
                <w:b w:val="off"/>
                <w:color w:val="000000"/>
                <w:rFonts w:ascii="Times New Roman" w:hAnsi="Times New Roman" w:cs="Times New Roman" w:eastAsia="Times New Roman"/>
                <w:sz w:val="24"/>
              </w:rPr>
              <w:t>a) jedna celá dvadsaťpäť stotín, ak rozdiel medzi získaným rokom života štandardizovanej kvality pri použití posudzovaného lieku a získaným rokom života štandardizovanej kvality pri použití relevantného komparátora je väčší ako 0 a menší ako 0,15,</w:t>
              <w:br/>
            </w:r>
            <w:r>
              <w:rPr>
                <w:b w:val="off"/>
                <w:color w:val="000000"/>
                <w:rFonts w:ascii="Times New Roman" w:hAnsi="Times New Roman" w:cs="Times New Roman" w:eastAsia="Times New Roman"/>
                <w:sz w:val="24"/>
              </w:rPr>
              <w:t>b) dva, ak rozdiel medzi získaným rokom života štandardizovanej kvality pri použití posudzovaného lieku a získaným rokom života štandardizovanej kvality pri použití relevantného komparátora je 0,15 a viac a menší ako 0,50.”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prahové hodnoty síce vnímame ako výsledok kompromisu medzi potrebou zohľadniť aktuálny stav verejných financií a potrebou zachovať dostupnosť inovatívnej liečby, napriek tomu ich považujeme za nastavené príliš nízko. V porovnaní so súčasnou právnou úpravou dochádza najmä pri štandardných liekoch k významnému zníženiu prahových hodnôt, ktoré sa bude týkať širokého spektra liekov vrátane liekov určených na liečbu závažných onkologických, neurologických, autoimunitných a ďalších ochorení. Keďže na Slovensku predstavuje prahová hodnota nákladovej efektívnosti zásadné kritérium vstupu lieku do systému úhrad, jej neprimerané zníženie môže významne obmedziť dostupnosť nových liekov pre pacientov. Navrhujeme preto prahové hodnoty prehodnotiť a nastaviť ich na vyššej úrovni tak, aby primerane reflektovali rozpočtové možnosti systému, ale zároveň nevytvárali neprimeranú prekážku vstupu inovatívnej liečby.</w:t>
              <w:br/>
            </w:r>
            <w:r>
              <w:rPr>
                <w:b w:val="off"/>
                <w:color w:val="000000"/>
                <w:rFonts w:ascii="Times New Roman" w:hAnsi="Times New Roman" w:cs="Times New Roman" w:eastAsia="Times New Roman"/>
                <w:sz w:val="24"/>
              </w:rPr>
              <w:t>Zavedenie troch úrovní prahových hodnôt pre bežné lieky reflektuje snahu systému diferencovať ochotu platiť podľa veľkosti zdravotného prínosu lieku:</w:t>
              <w:br/>
            </w:r>
            <w:r>
              <w:rPr>
                <w:b w:val="off"/>
                <w:color w:val="000000"/>
                <w:rFonts w:ascii="Times New Roman" w:hAnsi="Times New Roman" w:cs="Times New Roman" w:eastAsia="Times New Roman"/>
                <w:sz w:val="24"/>
              </w:rPr>
              <w:t>Hranica pre lieky s najnižším prínosom (inkrementálny prínos QALY menej ako 0,15)</w:t>
              <w:br/>
            </w:r>
            <w:r>
              <w:rPr>
                <w:b w:val="off"/>
                <w:color w:val="000000"/>
                <w:rFonts w:ascii="Times New Roman" w:hAnsi="Times New Roman" w:cs="Times New Roman" w:eastAsia="Times New Roman"/>
                <w:sz w:val="24"/>
              </w:rPr>
              <w:t>Zavedenie samostatného pásma pre lieky s inkrementálnym prínosom &lt; 0,15 QALY reflektuje zámer systému vyhradiť najnižší násobok HDP pre lieky s nízkym klinickým prínosom.</w:t>
              <w:br/>
            </w:r>
            <w:r>
              <w:rPr>
                <w:b w:val="off"/>
                <w:color w:val="000000"/>
                <w:rFonts w:ascii="Times New Roman" w:hAnsi="Times New Roman" w:cs="Times New Roman" w:eastAsia="Times New Roman"/>
                <w:sz w:val="24"/>
              </w:rPr>
              <w:t>Aktuálne systém za najnižší prínos liekov považoval všetko pod 0,33 inkrementálneho QALY, približne 4 mesiace v plnom zdraví (0,33 x 365 = 120 dní). Prerokovaná hranica &lt; 0,15 inkrementálneho QALY predstavuje približne 2 mesiace života v plnom zdraví (0,15 × 365 = 55 dní).</w:t>
              <w:br/>
            </w:r>
            <w:r>
              <w:rPr>
                <w:b w:val="off"/>
                <w:color w:val="000000"/>
                <w:rFonts w:ascii="Times New Roman" w:hAnsi="Times New Roman" w:cs="Times New Roman" w:eastAsia="Times New Roman"/>
                <w:sz w:val="24"/>
              </w:rPr>
              <w:t>Nová hranica pre lieky s najnižším prínosom predstavuje zúženie rozsahu najnižšieho pásma o viac ako 55 % oproti súčasnému systému.</w:t>
              <w:br/>
            </w:r>
            <w:r>
              <w:rPr>
                <w:b w:val="off"/>
                <w:color w:val="000000"/>
                <w:rFonts w:ascii="Times New Roman" w:hAnsi="Times New Roman" w:cs="Times New Roman" w:eastAsia="Times New Roman"/>
                <w:sz w:val="24"/>
              </w:rPr>
              <w:t xml:space="preserve">Hranica 0,15 QALY bola zvolená tak, aby najnižšie prahové pásmo zostalo vyhradené pre lieky s naozaj nízkym klinickým prínosom a aby liečby chronických ochorení s klinicky relevantným benefitom boli hodnotené v štandardnom pásme. Pri chronických ochoreniach je nižší prírastok QALY často prirodzenou charakteristikou ochorenia a dlhého prežívania pacientov, nie odrazom nízkeho klinického prínosu liečby. </w:t>
              <w:br/>
            </w:r>
            <w:r>
              <w:rPr>
                <w:b w:val="off"/>
                <w:color w:val="000000"/>
                <w:rFonts w:ascii="Times New Roman" w:hAnsi="Times New Roman" w:cs="Times New Roman" w:eastAsia="Times New Roman"/>
                <w:sz w:val="24"/>
              </w:rPr>
              <w:t>Interval pre lieky so stredným prínosom (inkrementálny prínos QALY ≥0,15 a &lt;0,5)</w:t>
              <w:br/>
            </w:r>
            <w:r>
              <w:rPr>
                <w:b w:val="off"/>
                <w:color w:val="000000"/>
                <w:rFonts w:ascii="Times New Roman" w:hAnsi="Times New Roman" w:cs="Times New Roman" w:eastAsia="Times New Roman"/>
                <w:sz w:val="24"/>
              </w:rPr>
              <w:t>Ide o interval liekov, ktorý prináša pacientom klinický prínos zodpovedajúci približne 2 až 6 mesiacov života v plnom zdraví (0,15 = 55 dní a 0,5 = 183 dní)</w:t>
              <w:br/>
            </w:r>
            <w:r>
              <w:rPr>
                <w:b w:val="off"/>
                <w:color w:val="000000"/>
                <w:rFonts w:ascii="Times New Roman" w:hAnsi="Times New Roman" w:cs="Times New Roman" w:eastAsia="Times New Roman"/>
                <w:sz w:val="24"/>
              </w:rPr>
              <w:t>Do tejto skupiny prirodzene patria aj mnohé liečby chronických ochorení, pri ktorých sa klinický prínos prejavuje najmä zlepšením kvality života, znížením symptómov alebo oddialením progresie ochorenia.</w:t>
              <w:br/>
            </w:r>
            <w:r>
              <w:rPr>
                <w:b w:val="off"/>
                <w:color w:val="000000"/>
                <w:rFonts w:ascii="Times New Roman" w:hAnsi="Times New Roman" w:cs="Times New Roman" w:eastAsia="Times New Roman"/>
                <w:sz w:val="24"/>
              </w:rPr>
              <w:t>Hranica pre lieky s najvyšším prínosom (inkrementálny prínos QALY ≥0,5)</w:t>
              <w:br/>
            </w:r>
            <w:r>
              <w:rPr>
                <w:b w:val="off"/>
                <w:color w:val="000000"/>
                <w:rFonts w:ascii="Times New Roman" w:hAnsi="Times New Roman" w:cs="Times New Roman" w:eastAsia="Times New Roman"/>
                <w:sz w:val="24"/>
              </w:rPr>
              <w:t>Ide o lieky so signifikantným prínosom pre pacientov, zodpovedajúcim viac ako 6 mesiacom života v plnom zdraví (0,5 = 183 dní).</w:t>
              <w:br/>
            </w:r>
            <w:r>
              <w:rPr>
                <w:b w:val="off"/>
                <w:color w:val="000000"/>
                <w:rFonts w:ascii="Times New Roman" w:hAnsi="Times New Roman" w:cs="Times New Roman" w:eastAsia="Times New Roman"/>
                <w:sz w:val="24"/>
              </w:rPr>
              <w:t>Hranica 0,5 QALY predstavuje ekvivalent viac ako šiestich mesiacov života v plnom zdraví, čo je možné považovať za vysoký prínos z pohľadu pacienta aj zdravotného systému.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materiálu č. 3, Čl. I, § 2a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aplikovať HDP ako referenčnú hodnotu za rok 2025. Znenie paragrafu bude potom nasledovné: „Referenčná hodnota HDP podľa § 7 ods. 3 zákona je hodnota hrubého domáceho produktu podľa § 7 ods. 4 zákona za rok 2025 vo výške _________ eura na obyvateľa. Reálna suma výšky HDP 2025 bude zverejnená na konci októbra 2026, a teda bude doplnená následne.“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aby sa pri určení referenčnej hodnoty HDP vychádzalo z hodnoty za rok 2025. Použitie hodnoty za rok 2024 by nereflektovalo aktuálny ekonomický vývoj a viedlo by k neodôvodnenému zníženiu referenčnej hodnoty HDP, a tým aj prahových hodnôt posudzovaných liekov. Takýto postup by mohol neprimerane obmedziť dostupnosť inovatívnej liečby. Z uvedeného dôvodu považujeme za vecne správne a účelné, aby sa v § 2a uplatnila hodnota HDP na obyvateľa za rok 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doplniť za §2b nový §2c v nasledujúcom znení:</w:t>
              <w:br/>
            </w:r>
            <w:r>
              <w:rPr>
                <w:b w:val="off"/>
                <w:color w:val="000000"/>
                <w:rFonts w:ascii="Times New Roman" w:hAnsi="Times New Roman" w:cs="Times New Roman" w:eastAsia="Times New Roman"/>
                <w:sz w:val="24"/>
              </w:rPr>
              <w:t>„Prechodné ustanovenie k úpravám účinným od 1. decembra 2026.</w:t>
              <w:br/>
            </w:r>
            <w:r>
              <w:rPr>
                <w:b w:val="off"/>
                <w:color w:val="000000"/>
                <w:rFonts w:ascii="Times New Roman" w:hAnsi="Times New Roman" w:cs="Times New Roman" w:eastAsia="Times New Roman"/>
                <w:sz w:val="24"/>
              </w:rPr>
              <w:t>Na konania začaté a právoplatne neskončené do 31. decembra 2026 sa vzťahuje táto vyhláška v znení účinnom do 1. januára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 nevyhnutné doplniť prechodné ustanovenie, podľa ktorého sa konania začaté pred nadobudnutím účinnosti tejto vyhlášky dokončia podľa právnej úpravy účinnej do ukončenia účinnosti súčasne platnej vyhlášky. Takáto úprava zabezpečí súlad s prechodným režimom zákona č. 363/2011 Z. z., právnu istotu účastníkov konania a zabráni tomu, aby sa počas už prebiehajúceho konania zmenili pravidlá posudzovania nákladovej efektívnosti.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odložiť nadobudnutie účinnosti vyhlášky od 1. januára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nadväznosti na AIFP návrh znenia §2a, navrhujeme posunúť nadobudnutie účinnosti vyhlášky od 1. januára 2027.</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2c K čl. I – nový bod 4 a k čl. II. Dotknuté ustanovenie: nový § 2c vyhlášky č. 298/2022 Z. z.; čl. II návrhu (účinnosť); ú</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 nový bod 4 a k čl. II. Dotknuté ustanovenie: nový § 2c vyhlášky č. 298/2022 Z. z.; čl. II návrhu (účinnosť); úvodná veta návrhu vyhlášky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Navrhujeme v čl. I za bod 3 doplniť nový bod 4, ktorý znie:</w:t>
              <w:br/>
            </w:r>
            <w:r>
              <w:rPr>
                <w:b w:val="off"/>
                <w:color w:val="000000"/>
                <w:rFonts w:ascii="Times New Roman" w:hAnsi="Times New Roman" w:cs="Times New Roman" w:eastAsia="Times New Roman"/>
                <w:sz w:val="24"/>
              </w:rPr>
              <w:t>„4. Za § 2b sa vkladá § 2c, ktorý vrátane nadpisu znie:</w:t>
              <w:br/>
            </w:r>
            <w:r>
              <w:rPr>
                <w:b w:val="off"/>
                <w:color w:val="000000"/>
                <w:rFonts w:ascii="Times New Roman" w:hAnsi="Times New Roman" w:cs="Times New Roman" w:eastAsia="Times New Roman"/>
                <w:sz w:val="24"/>
              </w:rPr>
              <w:t>„§ 2c</w:t>
              <w:br/>
            </w:r>
            <w:r>
              <w:rPr>
                <w:b w:val="off"/>
                <w:color w:val="000000"/>
                <w:rFonts w:ascii="Times New Roman" w:hAnsi="Times New Roman" w:cs="Times New Roman" w:eastAsia="Times New Roman"/>
                <w:sz w:val="24"/>
              </w:rPr>
              <w:t>Prechodné ustanovenie k úpravám účinným od 1. decembra 2026</w:t>
              <w:br/>
            </w:r>
            <w:r>
              <w:rPr>
                <w:b w:val="off"/>
                <w:color w:val="000000"/>
                <w:rFonts w:ascii="Times New Roman" w:hAnsi="Times New Roman" w:cs="Times New Roman" w:eastAsia="Times New Roman"/>
                <w:sz w:val="24"/>
              </w:rPr>
              <w:t>Na posúdenie nákladovej efektívnosti lieku v konaní podľa zákona, ktoré sa začalo pred 1. decembrom 2026 a do tohto dňa sa právoplatne neskončilo, sa použijú § 1 a 2 v znení účinnom do 30. novembra 2026; ak žiadateľ v tomto konaní predloží farmako-ekonomický rozbor lieku vypracovaný podľa predpisov účinných od 1. decembra 2026, použijú sa ustanovenia tejto vyhlášky v znení účinnom od 1. decembra 2026. Zmena násobkov podľa § 1 a 2 nie je v konaní podľa prvej vety dôvodom na výzvu na doplnenie farmako-ekonomického rozboru ani na prerušenie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čl. II upraviť tak, aby vyhláška nenadobudla účinnosť skôr ako ustanovenia novely zákona č. 363/2011 Z. z. (parlamentná tlač 1335), na ktoré nadväzuje, najmä ustanovenia o lieku na pediatrickú indikáciu a o relevantnom komparátore; v úvodnej vete za slová „v znení neskorších predpisov“ vložiť slová „v znení zákona č. .../2026 Z. z.“ a dátum v prechodnom ustanovení primerane upraviť. Navrhujeme doplniť číslo zákona podľa Zbierky zákonov, priradené v platnom a účinnom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neobsahuje prechodné ustanovenie, hoci mení parameter, podľa ktorého sa v prebiehajúcich konaniach posudzuje splnenie podmienky nákladovej efektívnosti podľa § 7 ods. 2 zákona. Dôvodová správa k čl. II odôvodňuje len dĺžku legisvakancie. Žiadatelia v konaniach začatých pred 1. decembrom 2026 predložili farmako-ekonomické rozbory a výpočet prahovej hodnoty podľa doterajších násobkov. Bez prechodného ustanovenia hrozí, že ministerstvo bude vyzývať na ich prepracovanie a konania prerušovať a že vznikne spor o to, ktorý predpis sa mal použiť. Dôsledkom je predĺženie času, kým sa liek dostane k pacientovi, a vyššie riziko zrušenia rozhodnutí v preskúmavacom konaní. Možnosť voľby žiadateľa zabezpečí, že sa nevylúči použitie nových pravidiel tam, kde sú pre posudzovaný liek priaznivejšie, napríklad pri lieku na pediatrickú indikáciu. AOPP sa k výške násobkov nevyjadruje; pripomienka smeruje k právnej istote a plynulosti konaní.</w:t>
              <w:br/>
            </w:r>
            <w:r>
              <w:rPr>
                <w:b w:val="off"/>
                <w:color w:val="000000"/>
                <w:rFonts w:ascii="Times New Roman" w:hAnsi="Times New Roman" w:cs="Times New Roman" w:eastAsia="Times New Roman"/>
                <w:sz w:val="24"/>
              </w:rPr>
              <w:t>Návrh zároveň odkazuje na ustanovenia, resp. pojmy alebo legálne definície, ktoré zavádza novela zákona schválená Národnou radou Slovenskej republiky 6. októbra 2026 (liek na pediatrickú indikáciu v § 7 ods. 3 zákona, relevantný komparátor v § 2 písm. ac)), a dôvodová správa ju opisuje ako „pripravovanú“. Ak by tieto ustanovenia nadobudli účinnosť neskôr ako vyhláška, vyhláška by v medziobdobí nemala zákonný základ. Rovnaké prechodné ustanovenie a väzbu účinnosti na novelu zákona AOPP navrhuje aj k súbežnému návrhu novely vyhlášky č. 422/2011 Z. z. (LP/2026/523), aby sa obe vyhlášky uplatňovali rovnako.</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 a k analýze sociálnych vplyvov</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doložke vybraných vplyvov a k analýze sociálnych vplyvov. Dotknuté ustanovenie: doložka vybraných vplyvov, body 9 a 10; analýza sociálnych vplyvov, body 4.2 a 4.3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Navrhujeme</w:t>
              <w:br/>
            </w:r>
            <w:r>
              <w:rPr>
                <w:b w:val="off"/>
                <w:color w:val="000000"/>
                <w:rFonts w:ascii="Times New Roman" w:hAnsi="Times New Roman" w:cs="Times New Roman" w:eastAsia="Times New Roman"/>
                <w:sz w:val="24"/>
              </w:rPr>
              <w:t>a) v bode 9 doložky označiť sociálne vplyvy ako pozitívne aj negatívne,</w:t>
              <w:br/>
            </w:r>
            <w:r>
              <w:rPr>
                <w:b w:val="off"/>
                <w:color w:val="000000"/>
                <w:rFonts w:ascii="Times New Roman" w:hAnsi="Times New Roman" w:cs="Times New Roman" w:eastAsia="Times New Roman"/>
                <w:sz w:val="24"/>
              </w:rPr>
              <w:t>b) v bode 4.2 analýzy sociálnych vplyvov identifikovať skupiny pacientov, ktorých prístup k liečbe hradenej z verejného zdravotného poistenia môže byť dotknutý, najmä pacientov so závažnými a chronickými ochoreniami, ľudí so zdravotným postihnutím, seniorov a deti, a posúdiť vplyv na tieto skupiny,</w:t>
              <w:br/>
            </w:r>
            <w:r>
              <w:rPr>
                <w:b w:val="off"/>
                <w:color w:val="000000"/>
                <w:rFonts w:ascii="Times New Roman" w:hAnsi="Times New Roman" w:cs="Times New Roman" w:eastAsia="Times New Roman"/>
                <w:sz w:val="24"/>
              </w:rPr>
              <w:t>c) v bode 4.3.1 analýzy sociálnych vplyvov posúdiť riziko nepriamej diskriminácie z dôvodu veku a zdravotného postihnutia pri pásmach určených výlučne podľa rozdielu rokov života štandardizovanej kvality (QALY),</w:t>
              <w:br/>
            </w:r>
            <w:r>
              <w:rPr>
                <w:b w:val="off"/>
                <w:color w:val="000000"/>
                <w:rFonts w:ascii="Times New Roman" w:hAnsi="Times New Roman" w:cs="Times New Roman" w:eastAsia="Times New Roman"/>
                <w:sz w:val="24"/>
              </w:rPr>
              <w:t>d) v bode 10 doložky doplniť analýzu spoločného vplyvu navrhovaných násobkov a zmeny diskontnej sadzby podľa návrhu vyhlášky v legislatívnom procese LP/2026/523 na liekoch posudzovaných v predchádzajúcom roku, s použitím hrubého domáceho produktu zodpovedajúceho hodnotiacemu obdobiu, vrátane počtu prípadov, v ktorých by liek nesplnil podmienku podľa § 7 ods. 2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Doložka označuje sociálne vplyvy len ako pozitívne. Analýza sociálnych vplyvov v bode 4.2 však sama uvádza, že úprava môže „zvýšiť tlak na dohodnutie nižšej úhrady lieku“ a „ovplyvniť rozhodovanie držiteľov registrácie o predložení žiadosti o zaradenie nového lieku“. Ide o negatívny vplyv na prístup pacientov k liečbe, ktorý doložka neuvádza. Tvrdenie v bode 4.2 písm. b), že návrh nemá vplyv na zraniteľné skupiny, je v rozpore s tým, že vyhláška sa dotýka výlučne osôb, ktoré liečbu potrebujú; ľudia so zdravotným postihnutím, seniori a deti sú v metodike posudzovania sociálnych vplyvov uvedení ako zraniteľné skupiny. Bod 4.3.1 uvádza „neuplatňuje sa“, hoci pacienti vo vyššom veku a v pokročilom štádiu ochorenia dosahujú spravidla nižší rozdiel QALY a ich lieky sa preto budú častejšie posudzovať v nižších pásmach. Komisia na posudzovanie vybraných vplyvov vydala nesúhlasné stanovisko. Analýzu spoločného vplyvu s poklesom diskontnej sadzby predkladateľ neakceptoval len s odkazom na konzultáciu s Ministerstvom financií SR, bez vecného dôvodu; rovnako postupoval aj pri súbežnom návrhu v legislatívnom procese LP/2026/523. Modelové príklady v doložkách oboch návrhov pritom ukazujú, že obe zmeny pôsobia opačným smerom: zníženie násobkov znižuje nákladovo efektívnu úhradu (o 19,61 % a 2,56 %), pokles diskontnej sadzby ju zvyšuje (o 2,18 % a 2,47 %); výsledný dopad preto bez spoločnej analýzy nemožno odhadnúť ani smerom. Dva modelové príklady v bode 10 doložky neuvádzajú liek ani pásmo a záver o „marginálnom“ negatívnom vplyve sa opiera o porovnanie s nominálnymi hodnotami z roku 2022, nie o údaje. Bez požadovanej analýzy nemožno posúdiť, aký bude mať návrh dopad na dostupnosť liečby.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a a 2b</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3. Dotknuté ustanovenie: § 2a a § 2b vyhlášky č. 298/2022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Navrhujeme čl. I bod 3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 7 ods. 3 zákona ministerstvo ustanovuje všeobecne záväzným právnym predpisom podrobnosti výpočtu príslušného násobku hrubého domáceho produktu. Spôsob určenia hrubého domáceho produktu na obyvateľa však ustanovuje priamo § 7 ods. 4 zákona: použije sa údaj Štatistického úradu Slovenskej republiky za kalendárny rok, ktorý dva roky predchádza roku určenia prahovej hodnoty. Rovnako ho upravuje aj vládny návrh novely zákona (tlač 1335, čl. I bod 15). Navrhovaný § 2a určuje hodnotu za rok 2024 a § 2b ju zachováva počas troch rokov. V rokoch 2027 až 2029 by sa tak použil iný údaj, než ukladá zákon. Podľa čl. 123 Ústavy Slovenskej republiky ministerstvá vydávajú všeobecne záväzné právne predpisy na základe a v medziach zákona. Dôvodová správa k § 2a aj doložka v bode 2 výslovne uvádzajú, že cieľom je zmeniť automatický každoročný prepočet, ktorý vyplýva zo zákona; takúto zmenu možno urobiť len zákonom. Rozhodnutia o úhrade opreté o ustanovenie vydané nad rámec splnomocnenia by boli napadnuteľné, čo by pacientom prinieslo ďalšie zdržania. Navyše § 2b počíta trojročné obdobie „od nadobudnutia účinnosti tejto vyhlášky“; po vložení do vyhlášky č. 298/2022 Z. z. ide o jej účinnosť, teda 1. septembra 2022, a obdobie by tak uplynulo skôr, než novela nadobudne účinnosť. Pojem „referenčná hodnota HDP“ zákon nepoužíva a návrh ho nedefinuje. AOPP sa nevyjadruje k výške prahovej hodnoty ani k vhodnosti fixácie ako takej; namieta, že sa zavádza vyhláškou v rozpore so zákonom. Ak schválená novela zákona obsahuje splnomocnenie na fixáciu, navrhujeme ho uviesť v úvodnej vete vyhlášky a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2b</w:t>
              <w:br/>
            </w:r>
            <w:r>
              <w:rPr>
                <w:b w:val="off"/>
                <w:color w:val="000000"/>
                <w:rFonts w:ascii="Times New Roman" w:hAnsi="Times New Roman" w:cs="Times New Roman" w:eastAsia="Times New Roman"/>
                <w:sz w:val="24"/>
              </w:rPr>
              <w:t>K čl. I bodu 3 – subsidiárne k pripomienke č. 3. Dotknuté ustanovenie: § 2b vyhlášky č. 298/2022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Ak predkladateľ pripomienku č. 3 neakceptuje, navrhujeme v čl. I bode 3 § 2b upraviť takto:</w:t>
              <w:br/>
            </w:r>
            <w:r>
              <w:rPr>
                <w:b w:val="off"/>
                <w:color w:val="000000"/>
                <w:rFonts w:ascii="Times New Roman" w:hAnsi="Times New Roman" w:cs="Times New Roman" w:eastAsia="Times New Roman"/>
                <w:sz w:val="24"/>
              </w:rPr>
              <w:t>„§ 2b</w:t>
              <w:br/>
            </w:r>
            <w:r>
              <w:rPr>
                <w:b w:val="off"/>
                <w:color w:val="000000"/>
                <w:rFonts w:ascii="Times New Roman" w:hAnsi="Times New Roman" w:cs="Times New Roman" w:eastAsia="Times New Roman"/>
                <w:sz w:val="24"/>
              </w:rPr>
              <w:t>Referenčná hodnota HDP podľa § 2a sa použije do 30. novembra 2029. Od 1. decembra 2029 sa pri určení prahovej hodnoty použije hrubý domáci produkt na obyvateľa určený podľa § 7 ods. 4 zákona.“.</w:t>
              <w:br/>
            </w:r>
            <w:r>
              <w:rPr>
                <w:b w:val="off"/>
                <w:color w:val="000000"/>
                <w:rFonts w:ascii="Times New Roman" w:hAnsi="Times New Roman" w:cs="Times New Roman" w:eastAsia="Times New Roman"/>
                <w:sz w:val="24"/>
              </w:rPr>
              <w:t>Odôvodnenie: Text § 2b ukladá referenčnú hodnotu „aktualizovať“, dôvodová správa hovorí o jej „prehodnotení“. Ani jeden nestanovuje lehotu, metódu ani dôsledok pre prípad, že ministerstvo predpis nevydá. Hodnota by tak mohla ostať zmrazená bez časového obmedzenia, hoci dôvodová správa k § 2a deklaruje zachovanie väzby na ekonomickú úroveň „prostredníctvom pravidelnej aktualizácie“. Pevný dátum odstraňuje aj nejasnosť, od ktorej účinnosti sa trojročné obdobie počíta. Ministerstvo môže hodnotu pred uplynutím tohto obdobia zmeniť novelou vyhlášky.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K čl. I bodu 2. Dotknuté ustanovenie: § 2 úvodná veta vyhlášky č. 298/2022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Navrhujeme v čl. I bode 2 v § 2 úvodnej vete za slová „liek na pediatrickú indikáciu“ vložiť odkaz 2a a doplniť poznámku pod čiarou k odkazu 2a, ktorá znie:</w:t>
              <w:br/>
            </w:r>
            <w:r>
              <w:rPr>
                <w:b w:val="off"/>
                <w:color w:val="000000"/>
                <w:rFonts w:ascii="Times New Roman" w:hAnsi="Times New Roman" w:cs="Times New Roman" w:eastAsia="Times New Roman"/>
                <w:sz w:val="24"/>
              </w:rPr>
              <w:t>„2a) § 2 písm. aa)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Vyhláška pojem „liek na pediatrickú indikáciu“ nedefinuje ani neodkazuje na jeho zákonné vymedzenie, hoci pri liekoch na ojedinelé ochorenie a liekoch na inovatívnu liečbu odkazy obsahuje. Novela zákona tento pojem vymedzuje a podľa jej dôvodovej správy sa za liek na pediatrickú indikáciu nepovažuje použitie lieku u detí mimo schválených indikácií. Odkaz zabezpečí jednotný výklad. Navrhujeme zároveň v dôvodovej správe uviesť, ako sa § 2 uplatní pri lieku, ktorý má indikácie pre dospelých aj pre deti, keďže podľa § 7 ods. 2 zákona sa každá indikácia posudzuje samostatne.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body 1 a 2</w:t>
              <w:br/>
            </w:r>
            <w:r>
              <w:rPr>
                <w:b w:val="off"/>
                <w:color w:val="000000"/>
                <w:rFonts w:ascii="Times New Roman" w:hAnsi="Times New Roman" w:cs="Times New Roman" w:eastAsia="Times New Roman"/>
                <w:sz w:val="24"/>
              </w:rPr>
              <w:t>K čl. I bodom 1 a 2. Dotknuté ustanovenie: § 1 a 2 vyhlášky č. 298/2022 Z. z.; dôvodová správa, osobitná časť, k bodom 1 a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Navrhujeme dôvodovú správu k bodom 1 a 2 doplniť o</w:t>
              <w:br/>
            </w:r>
            <w:r>
              <w:rPr>
                <w:b w:val="off"/>
                <w:color w:val="000000"/>
                <w:rFonts w:ascii="Times New Roman" w:hAnsi="Times New Roman" w:cs="Times New Roman" w:eastAsia="Times New Roman"/>
                <w:sz w:val="24"/>
              </w:rPr>
              <w:t>a) analýzu, ako sa pásma určené podľa rozdielu QALY uplatnia pri liekoch pre pacientov vo vyššom veku a v pokročilom štádiu ochorenia,</w:t>
              <w:br/>
            </w:r>
            <w:r>
              <w:rPr>
                <w:b w:val="off"/>
                <w:color w:val="000000"/>
                <w:rFonts w:ascii="Times New Roman" w:hAnsi="Times New Roman" w:cs="Times New Roman" w:eastAsia="Times New Roman"/>
                <w:sz w:val="24"/>
              </w:rPr>
              <w:t>b) odôvodnenie, prečo sa do návrhu nepremietol prístup zohľadňujúci závažnosť ochorenia (Shortfall QALY), s ktorým ministerstvo pracovalo pri príprave návrhu,</w:t>
              <w:br/>
            </w:r>
            <w:r>
              <w:rPr>
                <w:b w:val="off"/>
                <w:color w:val="000000"/>
                <w:rFonts w:ascii="Times New Roman" w:hAnsi="Times New Roman" w:cs="Times New Roman" w:eastAsia="Times New Roman"/>
                <w:sz w:val="24"/>
              </w:rPr>
              <w:t>c) zaradenie tohto hľadiska medzi kritériá preskúmania účelnosti v bode 8 doložky vybraných vplyvov.</w:t>
              <w:br/>
            </w:r>
            <w:r>
              <w:rPr>
                <w:b w:val="off"/>
                <w:color w:val="000000"/>
                <w:rFonts w:ascii="Times New Roman" w:hAnsi="Times New Roman" w:cs="Times New Roman" w:eastAsia="Times New Roman"/>
                <w:sz w:val="24"/>
              </w:rPr>
              <w:t>Odôvodnenie: Rozdiel QALY závisí aj od očakávanej dĺžky zostávajúceho života. Pri porovnateľnom relatívnom prínose preto lieky pre starších pacientov a pacientov v pokročilom štádiu ochorenia dosiahnu nižší rozdiel QALY a budú sa častejšie posudzovať v najnižších pásmach. Dôvodová správa k bodu 1 sama uvádza, že nákladová efektívnosť je pri kategorizácii nových liekov „výlučné kritérium“. O to väčší význam má, aby jeho nastavenie systematicky neznevýhodňovalo niektoré skupiny pacientov. AOPP nenavrhuje iné hodnoty násobkov; žiada, aby predkladateľ toto riziko posúdil a sledoval.</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K doložke vybraných vplyvov. Dotknuté ustanovenie: doložka vybraných vplyvov, bod 8 (preskúmanie účelnosti)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Navrhujeme v bode 8 doložky</w:t>
              <w:br/>
            </w:r>
            <w:r>
              <w:rPr>
                <w:b w:val="off"/>
                <w:color w:val="000000"/>
                <w:rFonts w:ascii="Times New Roman" w:hAnsi="Times New Roman" w:cs="Times New Roman" w:eastAsia="Times New Roman"/>
                <w:sz w:val="24"/>
              </w:rPr>
              <w:t>a) určiť termín prvého preskúmania najneskôr dva roky od nadobudnutia účinnosti vyhlášky tak, aby jeho výsledky boli podkladom pre určenie hodnoty po uplynutí obdobia podľa § 2b,</w:t>
              <w:br/>
            </w:r>
            <w:r>
              <w:rPr>
                <w:b w:val="off"/>
                <w:color w:val="000000"/>
                <w:rFonts w:ascii="Times New Roman" w:hAnsi="Times New Roman" w:cs="Times New Roman" w:eastAsia="Times New Roman"/>
                <w:sz w:val="24"/>
              </w:rPr>
              <w:t>b) doplniť ukazovatele: čas od vydania povolenia na uvedenie lieku na trh po podanie žiadosti o jeho zaradenie do zoznamu kategorizovaných liekov a čas od podania žiadosti po právoplatné rozhodnutie; počet žiadostí o úhradu lieku na výnimku podľa § 88a až 88e zákona a počet schválených žiadostí v indikáciách, v ktorých liek nesplnil podmienku nákladovej efektívnosti alebo žiadosť o zaradenie bola zamietnutá; počet liekov registrovaných v Európskej únii, pri ktorých nebola podaná žiadosť o zaradenie do zoznamu kategorizovaných liekov; rozdelenie posudzovaných liekov podľa pásiem rozdielu QALY a podľa veku cieľovej populácie,</w:t>
              <w:br/>
            </w:r>
            <w:r>
              <w:rPr>
                <w:b w:val="off"/>
                <w:color w:val="000000"/>
                <w:rFonts w:ascii="Times New Roman" w:hAnsi="Times New Roman" w:cs="Times New Roman" w:eastAsia="Times New Roman"/>
                <w:sz w:val="24"/>
              </w:rPr>
              <w:t>c) doplniť, že výsledky preskúmania sa každoročne zverejňujú a že do preskúmania sa zapoja pacientske organizácie.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Ukazovatele doplnené na podnet Komisie sledujú najmä žiadosti, rozhodnutia a výdavky. Pre pacienta je rozhodujúce, či a kedy sa k lieku dostane. Ak liek nesplní podmienku nákladovej efektívnosti, pacient je odkázaný na úhradu na výnimku, ktorá je individuálna a administratívne náročná; počet takýchto žiadostí je preto priamym ukazovateľom dopadu vyhlášky na pacientov. Lieky, o ktorých zaradenie sa nepožiada, sa v štatistike žiadostí neprejavia vôbec. Preskúmanie v období troch až šiestich rokov sa neviaže na trojročné obdobie podľa § 2b, hoci by malo byť jeho podkladom. Rovnaké ukazovatele AOPP navrhuje aj k súbežnému návrhu novely vyhlášky č. 422/2011 Z. z. (LP/2026/523), aby sa dopad oboch vyhlášok dal vyhodnotiť spoločne.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správe o účasti verejnosti</w:t>
              <w:br/>
            </w:r>
            <w:r>
              <w:rPr>
                <w:b w:val="off"/>
                <w:color w:val="000000"/>
                <w:rFonts w:ascii="Times New Roman" w:hAnsi="Times New Roman" w:cs="Times New Roman" w:eastAsia="Times New Roman"/>
                <w:sz w:val="24"/>
              </w:rPr>
              <w:t>K správe o účasti verejnosti, k analýze vplyvov na podnikateľské prostredie a k doložke vybraných vplyvov. Dotknuté ustanovenie: správa o účasti verejnosti na tvorbe právnych predpisov; analýza vplyvov na podnikateľské prostredie, bod 3.2; doložka vybraných vplyvov, bod 10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Navrhujeme</w:t>
              <w:br/>
            </w:r>
            <w:r>
              <w:rPr>
                <w:b w:val="off"/>
                <w:color w:val="000000"/>
                <w:rFonts w:ascii="Times New Roman" w:hAnsi="Times New Roman" w:cs="Times New Roman" w:eastAsia="Times New Roman"/>
                <w:sz w:val="24"/>
              </w:rPr>
              <w:t>a) v správe o účasti verejnosti uviesť obsah troch vyjadrení verejnosti k predbežnej informácii PI/2026/184 a spôsob, akým boli zohľadnené,</w:t>
              <w:br/>
            </w:r>
            <w:r>
              <w:rPr>
                <w:b w:val="off"/>
                <w:color w:val="000000"/>
                <w:rFonts w:ascii="Times New Roman" w:hAnsi="Times New Roman" w:cs="Times New Roman" w:eastAsia="Times New Roman"/>
                <w:sz w:val="24"/>
              </w:rPr>
              <w:t>b) v bode 3.2 analýzy vplyvov na podnikateľské prostredie uviesť, ktoré pacientske organizácie sa konzultácií zúčastnili, a vypustiť vetu „V rámci konzultácií neboli zo strany pacientskych organizácií uplatnené zásadné pripomienky k navrhovanému metodickému nastaveniu.“,</w:t>
              <w:br/>
            </w:r>
            <w:r>
              <w:rPr>
                <w:b w:val="off"/>
                <w:color w:val="000000"/>
                <w:rFonts w:ascii="Times New Roman" w:hAnsi="Times New Roman" w:cs="Times New Roman" w:eastAsia="Times New Roman"/>
                <w:sz w:val="24"/>
              </w:rPr>
              <w:t>c) v bode 10 doložky upresniť, ktorí „zástupcovia sektora“ navrhované hodnoty akceptovali.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Pracovné stretnutia neboli pripomienkovým konaním a uplatniť na nich zásadné pripomienky nebolo možné. AOPP sa k výške prahových hodnôt zásadne nevyjadruje, pretože zastupuje pacientov v otázkach postupu a dostupnosti liečby; takýto postoj nemožno vykladať ako súhlas s navrhovanými hodnotami. Doložka vybraných vplyvov k súbežnému návrhu novely vyhlášky č. 422/2011 Z. z. (LP/2026/523) pritom o tých istých piatich pracovných stretnutiach uvádza, že pacientske organizácie poukázali na význam zohľadnenia pacientskej perspektívy pri hodnotení zdravotníckych technológií a na potrebu zvýšenia zapojenia pacientov do hodnotiacich procesov. Správa o účasti verejnosti uvádza len počet vyjadrení, bez ich obsahu a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a k doložke vybraných vplyvov</w:t>
              <w:br/>
            </w:r>
            <w:r>
              <w:rPr>
                <w:b w:val="off"/>
                <w:color w:val="000000"/>
                <w:rFonts w:ascii="Times New Roman" w:hAnsi="Times New Roman" w:cs="Times New Roman" w:eastAsia="Times New Roman"/>
                <w:sz w:val="24"/>
              </w:rPr>
              <w:t>K dôvodovej správe a k doložke vybraných vplyvov. Dotknuté ustanovenie: dôvodová správa, osobitná časť, k § 1 písm. c) a k § 2 písm. a); doložka vybraných vplyvov, vyhodnotenie stanoviska Komisie k vplyvom na podnikateľské prostredie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Navrhujeme dôvodovú správu k bodom 1 a 2 upraviť tak, aby pri každom pásme uvádzala zmenu násobku oproti platnému zneniu, a odstrániť tieto nepresnosti:</w:t>
              <w:br/>
            </w:r>
            <w:r>
              <w:rPr>
                <w:b w:val="off"/>
                <w:color w:val="000000"/>
                <w:rFonts w:ascii="Times New Roman" w:hAnsi="Times New Roman" w:cs="Times New Roman" w:eastAsia="Times New Roman"/>
                <w:sz w:val="24"/>
              </w:rPr>
              <w:t>a) k § 1 písm. c) sa uvádza, že sa navrhuje „priznať vyššiu prahovú hodnotu“; oproti platnému zneniu sa pri rozdiele QALY 0,50 a viac násobok znižuje z troch na 2,3,</w:t>
              <w:br/>
            </w:r>
            <w:r>
              <w:rPr>
                <w:b w:val="off"/>
                <w:color w:val="000000"/>
                <w:rFonts w:ascii="Times New Roman" w:hAnsi="Times New Roman" w:cs="Times New Roman" w:eastAsia="Times New Roman"/>
                <w:sz w:val="24"/>
              </w:rPr>
              <w:t>b) k § 2 písm. a) sa uvádza zvýšenie z trojnásobku na štvornásobok; to platí len pre rozdiel QALY menší ako 0,33, pri rozdiele od 0,33 do 0,50 sa násobok znižuje z piatich na štyri,</w:t>
              <w:br/>
            </w:r>
            <w:r>
              <w:rPr>
                <w:b w:val="off"/>
                <w:color w:val="000000"/>
                <w:rFonts w:ascii="Times New Roman" w:hAnsi="Times New Roman" w:cs="Times New Roman" w:eastAsia="Times New Roman"/>
                <w:sz w:val="24"/>
              </w:rPr>
              <w:t>c) vo vyhodnotení stanoviska Komisie sa uvádza, že „v niektorých prípadoch“ dochádza k zvýšeniu prahovej hodnoty; pri liekoch podľa § 1 sa násobok nezvyšuje v žiadnom pásme.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Dôvodová správa vyjadruje zámer predkladateľa a slúži ako podklad pre výklad. Uvedené formulácie opisujú zmeny neúplne a pri časti pásiem opačne, než vyplýva z textu návrhu. AOPP sa k výške násobkov nevyjadruje; žiada, aby odôvodnenie presne zodpovedalo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Legislatívno-technické pripomienky.</w:t>
              <w:br/>
            </w:r>
            <w:r>
              <w:rPr>
                <w:b w:val="off"/>
                <w:color w:val="000000"/>
                <w:rFonts w:ascii="Times New Roman" w:hAnsi="Times New Roman" w:cs="Times New Roman" w:eastAsia="Times New Roman"/>
                <w:sz w:val="24"/>
              </w:rPr>
              <w:t>Legislatívno-technické pripomienky. Dotknuté ustanovenie: čl. I návrhu, dôvodová správa, doložka vybraných vplyvov, informatívne konsolidované znenie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Navrhujeme:</w:t>
              <w:br/>
            </w:r>
            <w:r>
              <w:rPr>
                <w:b w:val="off"/>
                <w:color w:val="000000"/>
                <w:rFonts w:ascii="Times New Roman" w:hAnsi="Times New Roman" w:cs="Times New Roman" w:eastAsia="Times New Roman"/>
                <w:sz w:val="24"/>
              </w:rPr>
              <w:t>1. V čl. I v úvodnej vete za slová „posudzovaného lieku“ vložiť čiarku.</w:t>
              <w:br/>
            </w:r>
            <w:r>
              <w:rPr>
                <w:b w:val="off"/>
                <w:color w:val="000000"/>
                <w:rFonts w:ascii="Times New Roman" w:hAnsi="Times New Roman" w:cs="Times New Roman" w:eastAsia="Times New Roman"/>
                <w:sz w:val="24"/>
              </w:rPr>
              <w:t>2. V čl. I bode 3 slová „sa vkladá § 2a a 2b, ktoré znejú“ nahradiť slovami „sa vkladajú § 2a a 2b, ktoré znejú“.</w:t>
              <w:br/>
            </w:r>
            <w:r>
              <w:rPr>
                <w:b w:val="off"/>
                <w:color w:val="000000"/>
                <w:rFonts w:ascii="Times New Roman" w:hAnsi="Times New Roman" w:cs="Times New Roman" w:eastAsia="Times New Roman"/>
                <w:sz w:val="24"/>
              </w:rPr>
              <w:t>3. V § 2a zaviesť legislatívnu skratku pre hrubý domáci produkt na obyvateľa; slová „Referenčná hodnota HDP podľa § 7 ods. 3 zákona“ upraviť, keďže zákon tento pojem nepoužíva.</w:t>
              <w:br/>
            </w:r>
            <w:r>
              <w:rPr>
                <w:b w:val="off"/>
                <w:color w:val="000000"/>
                <w:rFonts w:ascii="Times New Roman" w:hAnsi="Times New Roman" w:cs="Times New Roman" w:eastAsia="Times New Roman"/>
                <w:sz w:val="24"/>
              </w:rPr>
              <w:t>4. V § 2b slová „od nadobudnutia účinnosti tejto vyhlášky“ nahradiť konkrétnym dátumom.</w:t>
              <w:br/>
            </w:r>
            <w:r>
              <w:rPr>
                <w:b w:val="off"/>
                <w:color w:val="000000"/>
                <w:rFonts w:ascii="Times New Roman" w:hAnsi="Times New Roman" w:cs="Times New Roman" w:eastAsia="Times New Roman"/>
                <w:sz w:val="24"/>
              </w:rPr>
              <w:t>5. V dôvodovej správe, osobitnej časti, k § 1 písm. c) slová „podľa § 2 písm. c)“ nahradiť slovami „podľa § 1 písm. c)“; k § 2b slová „po troch rokov“ nahradiť slovami „po troch rokoch“.</w:t>
              <w:br/>
            </w:r>
            <w:r>
              <w:rPr>
                <w:b w:val="off"/>
                <w:color w:val="000000"/>
                <w:rFonts w:ascii="Times New Roman" w:hAnsi="Times New Roman" w:cs="Times New Roman" w:eastAsia="Times New Roman"/>
                <w:sz w:val="24"/>
              </w:rPr>
              <w:t>6. V doložke vybraných vplyvov, bod 10, pri príklade č. 1 slová „navrhovaný § 2“ nahradiť slovami „navrhovaný § 1“ a pri príklade č. 2 slová „navrhovaný § 3“ nahradiť slovami „navrhovaný § 2“.</w:t>
              <w:br/>
            </w:r>
            <w:r>
              <w:rPr>
                <w:b w:val="off"/>
                <w:color w:val="000000"/>
                <w:rFonts w:ascii="Times New Roman" w:hAnsi="Times New Roman" w:cs="Times New Roman" w:eastAsia="Times New Roman"/>
                <w:sz w:val="24"/>
              </w:rPr>
              <w:t>7. Informatívne konsolidované znenie opraviť tak, aby obsahovalo názov vyhlášky č. 298/2022 Z. z. a jej § 3 o účinnosti, a nie názov a účinnosť novelizujúcej vyhlášky.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odstránenie formálnych nedostatkov a nesúladu medzi návrhom a sprievodnými dokumentmi.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1 § § 1, písm. a) a b)</w:t>
              <w:br/>
            </w:r>
            <w:r>
              <w:rPr>
                <w:b w:val="off"/>
                <w:color w:val="000000"/>
                <w:rFonts w:ascii="Times New Roman" w:hAnsi="Times New Roman" w:cs="Times New Roman" w:eastAsia="Times New Roman"/>
                <w:sz w:val="24"/>
              </w:rPr>
              <w:t>bod 1 Čl. I, § 1, písm. a) a b)</w:t>
              <w:br/>
            </w:r>
            <w:r>
              <w:rPr>
                <w:b w:val="off"/>
                <w:color w:val="000000"/>
                <w:rFonts w:ascii="Times New Roman" w:hAnsi="Times New Roman" w:cs="Times New Roman" w:eastAsia="Times New Roman"/>
                <w:sz w:val="24"/>
              </w:rPr>
              <w:t xml:space="preserve">Navrhujeme nasledovné znenie: </w:t>
              <w:br/>
            </w:r>
            <w:r>
              <w:rPr>
                <w:b w:val="off"/>
                <w:color w:val="000000"/>
                <w:rFonts w:ascii="Times New Roman" w:hAnsi="Times New Roman" w:cs="Times New Roman" w:eastAsia="Times New Roman"/>
                <w:sz w:val="24"/>
              </w:rPr>
              <w:t>“Násobok hrubého domáceho produktu Slovenskej republiky na obyvateľa podľa § 7 ods. 3 zákona je</w:t>
              <w:br/>
            </w:r>
            <w:r>
              <w:rPr>
                <w:b w:val="off"/>
                <w:color w:val="000000"/>
                <w:rFonts w:ascii="Times New Roman" w:hAnsi="Times New Roman" w:cs="Times New Roman" w:eastAsia="Times New Roman"/>
                <w:sz w:val="24"/>
              </w:rPr>
              <w:t>a) jedna celá dvadsaťpäť stotín, ak rozdiel medzi získaným rokom života štandardizovanej kvality pri použití posudzovaného lieku a získaným rokom života štandardizovanej kvality pri použití relevantného komparátora je väčší ako 0 a menší ako 0,15,</w:t>
              <w:br/>
            </w:r>
            <w:r>
              <w:rPr>
                <w:b w:val="off"/>
                <w:color w:val="000000"/>
                <w:rFonts w:ascii="Times New Roman" w:hAnsi="Times New Roman" w:cs="Times New Roman" w:eastAsia="Times New Roman"/>
                <w:sz w:val="24"/>
              </w:rPr>
              <w:t>b) dva, ak rozdiel medzi získaným rokom života štandardizovanej kvality pri použití posudzovaného lieku a získaným rokom života štandardizovanej kvality pri použití relevantného komparátora je 0,15 a viac a menší ako 0,50.”</w:t>
              <w:br/>
            </w:r>
            <w:r>
              <w:rPr>
                <w:b w:val="off"/>
                <w:color w:val="000000"/>
                <w:rFonts w:ascii="Times New Roman" w:hAnsi="Times New Roman" w:cs="Times New Roman" w:eastAsia="Times New Roman"/>
                <w:sz w:val="24"/>
              </w:rPr>
              <w:t>Navrhované prahové hodnoty síce vnímame ako výsledok kompromisu medzi potrebou zohľadniť aktuálny stav verejných financií a potrebou zachovať dostupnosť inovatívnej liečby, napriek tomu ich považujeme za nastavené príliš nízko. V porovnaní so súčasnou právnou úpravou dochádza najmä pri štandardných liekoch k významnému zníženiu prahových hodnôt, ktoré sa bude týkať širokého spektra liekov vrátane liekov určených na liečbu závažných onkologických, neurologických, autoimunitných a ďalších ochorení. Keďže na Slovensku predstavuje prahová hodnota nákladovej efektívnosti zásadné kritérium vstupu lieku do systému úhrad, jej neprimerané zníženie môže významne obmedziť dostupnosť nových liekov pre pacientov. Navrhujeme preto prahové hodnoty prehodnotiť a nastaviť ich na vyššej úrovni tak, aby primerane reflektovali rozpočtové možnosti systému, ale zároveň nevytvárali neprimeranú prekážku vstupu inovatívnej liečby.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Zavedenie troch úrovní prahových hodnôt pre bežné lieky reflektuje snahu systému diferencovať ochotu platiť podľa veľkosti zdravotného prínosu lieku:</w:t>
              <w:br/>
            </w:r>
            <w:r>
              <w:rPr>
                <w:b w:val="off"/>
                <w:color w:val="000000"/>
                <w:rFonts w:ascii="Times New Roman" w:hAnsi="Times New Roman" w:cs="Times New Roman" w:eastAsia="Times New Roman"/>
                <w:sz w:val="24"/>
              </w:rPr>
              <w:t>Hranica pre lieky s najnižším prínosom (inkrementálny prínos QALY menej ako 0,15)</w:t>
              <w:br/>
            </w:r>
            <w:r>
              <w:rPr>
                <w:b w:val="off"/>
                <w:color w:val="000000"/>
                <w:rFonts w:ascii="Times New Roman" w:hAnsi="Times New Roman" w:cs="Times New Roman" w:eastAsia="Times New Roman"/>
                <w:sz w:val="24"/>
              </w:rPr>
              <w:t>Zavedenie samostatného pásma pre lieky s inkrementálnym prínosom &lt;0,15 QALY reflektuje zámer systému vyhradiť najnižší násobok HDP pre lieky s nízkym klinickým prínosom.</w:t>
              <w:br/>
            </w:r>
            <w:r>
              <w:rPr>
                <w:b w:val="off"/>
                <w:color w:val="000000"/>
                <w:rFonts w:ascii="Times New Roman" w:hAnsi="Times New Roman" w:cs="Times New Roman" w:eastAsia="Times New Roman"/>
                <w:sz w:val="24"/>
              </w:rPr>
              <w:t>Aktuálne systém za najnižší prínos liekov považoval všetko pod 0,33 inkrementálneho QALY, približne 4 mesiace v plnom zdraví (0,33 x 365 = 120 dní). Prerokovaná hranica &lt;0,15 inkrementálneho QALY predstavuje približne 2 mesiace života v plnom zdraví (0,15 × 365 = 55 dní).</w:t>
              <w:br/>
            </w:r>
            <w:r>
              <w:rPr>
                <w:b w:val="off"/>
                <w:color w:val="000000"/>
                <w:rFonts w:ascii="Times New Roman" w:hAnsi="Times New Roman" w:cs="Times New Roman" w:eastAsia="Times New Roman"/>
                <w:sz w:val="24"/>
              </w:rPr>
              <w:t>Nová hranica pre lieky s najnižším prínosom predstavuje zúženie rozsahu najnižšieho pásma o viac ako 55 % oproti súčasnému systému.</w:t>
              <w:br/>
            </w:r>
            <w:r>
              <w:rPr>
                <w:b w:val="off"/>
                <w:color w:val="000000"/>
                <w:rFonts w:ascii="Times New Roman" w:hAnsi="Times New Roman" w:cs="Times New Roman" w:eastAsia="Times New Roman"/>
                <w:sz w:val="24"/>
              </w:rPr>
              <w:t xml:space="preserve">Hranica 0,15 QALY bola zvolená tak, aby najnižšie prahové pásmo zostalo vyhradené pre lieky s naozaj nízkym klinickým prínosom a aby liečby chronických ochorení s klinicky relevantným benefitom boli hodnotené v štandardnom pásme. Pri chronických ochoreniach je nižší prírastok QALY často prirodzenou charakteristikou ochorenia a dlhého prežívania pacientov, nie odrazom nízkeho klinického prínosu liečby. </w:t>
              <w:br/>
            </w:r>
            <w:r>
              <w:rPr>
                <w:b w:val="off"/>
                <w:color w:val="000000"/>
                <w:rFonts w:ascii="Times New Roman" w:hAnsi="Times New Roman" w:cs="Times New Roman" w:eastAsia="Times New Roman"/>
                <w:sz w:val="24"/>
              </w:rPr>
              <w:t>Interval pre lieky so stredným prínosom (inkrementálny prínos QALY ≥0,15 a &lt;0,5)</w:t>
              <w:br/>
            </w:r>
            <w:r>
              <w:rPr>
                <w:b w:val="off"/>
                <w:color w:val="000000"/>
                <w:rFonts w:ascii="Times New Roman" w:hAnsi="Times New Roman" w:cs="Times New Roman" w:eastAsia="Times New Roman"/>
                <w:sz w:val="24"/>
              </w:rPr>
              <w:t>Ide o interval liekov, ktorý prináša pacientom klinicky prínos zodpovedajúci približne 2 až 6 mesiacov života v plnom zdraví (0,15 = 55 dní a 0,5 = 183 dní)</w:t>
              <w:br/>
            </w:r>
            <w:r>
              <w:rPr>
                <w:b w:val="off"/>
                <w:color w:val="000000"/>
                <w:rFonts w:ascii="Times New Roman" w:hAnsi="Times New Roman" w:cs="Times New Roman" w:eastAsia="Times New Roman"/>
                <w:sz w:val="24"/>
              </w:rPr>
              <w:t>Do tejto skupiny prirodzene patria aj mnohé liečby chronických ochorení, pri ktorých sa klinický prínos prejavuje najmä zlepšením kvality života, znížením symptómov alebo oddialením progresie ochorenia.</w:t>
              <w:br/>
            </w:r>
            <w:r>
              <w:rPr>
                <w:b w:val="off"/>
                <w:color w:val="000000"/>
                <w:rFonts w:ascii="Times New Roman" w:hAnsi="Times New Roman" w:cs="Times New Roman" w:eastAsia="Times New Roman"/>
                <w:sz w:val="24"/>
              </w:rPr>
              <w:t>Hranica pre lieky s najvyšším prínosom (inkrementálny prínos QALY ≥0,5)</w:t>
              <w:br/>
            </w:r>
            <w:r>
              <w:rPr>
                <w:b w:val="off"/>
                <w:color w:val="000000"/>
                <w:rFonts w:ascii="Times New Roman" w:hAnsi="Times New Roman" w:cs="Times New Roman" w:eastAsia="Times New Roman"/>
                <w:sz w:val="24"/>
              </w:rPr>
              <w:t>Ide o lieky so signifikantným prínosom pre pacientov, zodpovedajúcim viac ako 6 mesiacom života v plnom zdraví (0,5 = 183 dní).</w:t>
              <w:br/>
            </w:r>
            <w:r>
              <w:rPr>
                <w:b w:val="off"/>
                <w:color w:val="000000"/>
                <w:rFonts w:ascii="Times New Roman" w:hAnsi="Times New Roman" w:cs="Times New Roman" w:eastAsia="Times New Roman"/>
                <w:sz w:val="24"/>
              </w:rPr>
              <w:t>Hranica 0,5 QALY predstavuje ekvivalent viac ako šiestich mesiacov života v plnom zdraví, čo je možné považovať za vysoký prínos z pohľadu pacienta aj zdravotného systému.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 § § 2a</w:t>
              <w:br/>
            </w:r>
            <w:r>
              <w:rPr>
                <w:b w:val="off"/>
                <w:color w:val="000000"/>
                <w:rFonts w:ascii="Times New Roman" w:hAnsi="Times New Roman" w:cs="Times New Roman" w:eastAsia="Times New Roman"/>
                <w:sz w:val="24"/>
              </w:rPr>
              <w:t xml:space="preserve">bod 3	Čl. I, § 2a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aplikovať HDP ako referenčnú hodnotu za rok 2025. Znenie paragrafu bude potom nasledovné: „Referenčná hodnota HDP podľa § 7 ods. 3 zákona je hodnota hrubého domáceho produktu podľa § 7 ods. 4 zákona za rok 2025 vo výške _________ eura na obyvateľa. Reálna suma výšky HDP 2025 bude zverejnená na konci októbra 2026, a teda bude doplnená následne.“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sa pri určení referenčnej hodnoty HDP vychádzalo z hodnoty za rok 2025. Použitie hodnoty za rok 2024 by nereflektovalo aktuálny ekonomický vývoj a viedlo by k neodôvodnenému zníženiu referenčnej hodnoty HDP, a tým aj prahových hodnôt posudzovaných liekov. Takýto postup by mohol neprimerane obmedziť dostupnosť inovatívnej liečby. Z uvedeného dôvodu považujeme za vecne správne a účelné, aby sa v § 2a uplatnila hodnota HDP na obyvateľa za rok 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navrhujeme doplniť</w:t>
              <w:br/>
            </w:r>
            <w:r>
              <w:rPr>
                <w:b w:val="off"/>
                <w:color w:val="000000"/>
                <w:rFonts w:ascii="Times New Roman" w:hAnsi="Times New Roman" w:cs="Times New Roman" w:eastAsia="Times New Roman"/>
                <w:sz w:val="24"/>
              </w:rPr>
              <w:t>Navrhujeme doplniť za §2b nový §2c v nasledujúcom znení:</w:t>
              <w:br/>
            </w:r>
            <w:r>
              <w:rPr>
                <w:b w:val="off"/>
                <w:color w:val="000000"/>
                <w:rFonts w:ascii="Times New Roman" w:hAnsi="Times New Roman" w:cs="Times New Roman" w:eastAsia="Times New Roman"/>
                <w:sz w:val="24"/>
              </w:rPr>
              <w:t>„Prechodné ustanovenie k úpravám účinným od 1. decembra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konania začaté a právoplatne neskončené do 31. decembra 2026 sa vzťahuje táto vyhláška v znení účinnom do 1. januára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nevyhnutné doplniť prechodné ustanovenie, podľa ktorého sa konania začaté pred nadobudnutím účinnosti tejto vyhlášky dokončia podľa právnej úpravy účinnej do ukončenia účinnosti súčasne platnej vyhlášky. Takáto úprava zabezpečí súlad s prechodným režimom zákona č. 363/2011 Z. z., právnu istotu účastníkov konania a zabráni tomu, aby sa počas už prebiehajúceho konania zmenili pravidlá posudzovania nákladovej efektívnosti.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II</w:t>
              <w:br/>
            </w:r>
            <w:r>
              <w:rPr>
                <w:b w:val="off"/>
                <w:color w:val="000000"/>
                <w:rFonts w:ascii="Times New Roman" w:hAnsi="Times New Roman" w:cs="Times New Roman" w:eastAsia="Times New Roman"/>
                <w:sz w:val="24"/>
              </w:rPr>
              <w:t xml:space="preserve">Čl. II 	</w:t>
              <w:br/>
            </w:r>
            <w:r>
              <w:rPr>
                <w:b w:val="off"/>
                <w:color w:val="000000"/>
                <w:rFonts w:ascii="Times New Roman" w:hAnsi="Times New Roman" w:cs="Times New Roman" w:eastAsia="Times New Roman"/>
                <w:sz w:val="24"/>
              </w:rPr>
              <w:t xml:space="preserve">Navrhujeme odložiť nadobudnutie účinnosti vyhlášky od 1. januára 2027.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nadväznosti na AIFP návrh znenia §2a, navrhujeme posunúť nadobudnutie účinnosti vyhlášky od 1. januára 2027.</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č. 1 - Čl. I bod 1, § 1 písm. a) až c)</w:t>
              <w:br/>
            </w:r>
            <w:r>
              <w:rPr>
                <w:b w:val="off"/>
                <w:color w:val="000000"/>
                <w:rFonts w:ascii="Times New Roman" w:hAnsi="Times New Roman" w:cs="Times New Roman" w:eastAsia="Times New Roman"/>
                <w:sz w:val="24"/>
              </w:rPr>
              <w:t>Žiadame doplniť do dôvodovej správy podrobné odborné a ekonomické zdôvodnenie navrhovaných troch pásiem prírastku QALY (0 &lt; QALY &lt; 0,20; 0,20 ≤ QALY &lt; 0,50; QALY ≥ 0,50) a k nim priradených násobkov HDP (1,25; 2; 2,3). Osobitne žiadame vysvetliť zmenu hranice prvého pásma z pôvodne diskutovanej hodnoty 0,15 na 0,20 QALY a posúdiť primeranosť takto nastavených hraníc z hľadiska dostupnosti liečby.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mení parametre prahových hodnôt s priamym dosahom na výsledok farmakoekonomického posúdenia. Bez transparentnej argumentácie nie je možné vyhodnotiť primeranosť hraníc, ich vplyv na rôzne skupiny terapií ani predvídateľnosť rozhodovania. Ide o požiadavku na odôvodnenie, nie o návrh konkrétneho náhradného číselného pásma.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č.1 - Čl. I, §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vypustiť novelizačný bod 1 do predloženia a vyhodnotenia kvantifikovanej analýzy vplyvov. Pred ďalším legislatívnym postupom žiadame zverejniť: (i) rozdelenie pomeru akceptovaného ICER k platnej prahovej hodnote za kategorizačné rozhodnutia za posledných päť rokov, vrátane podielu rozhodnutí v pásme 90 až 100%  prahu; (ii) spätný prepočet rozhodnutí, ktoré by pri navrhovaných násobkoch nesplnili kritérium podľa § 7 ods. 2 písm. a) zákona; (iii) odhad vplyvu na počet a načasovanie žiadostí o zaradenie do zoznamu kategorizovaných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znižuje prahovú hodnotu vo všetkých pásmach okrem pásma ΔQALY od 0,20 do 0,33. Pri ΔQALY nad 0 a menej ako 0,20 klesá z 2-násobku (48 026,80 eura) na 1,25-násobok (30 016,75 eura), t. j. o 37,5 %; pri ΔQALY od 0,33 do 0,50 z 3-násobku (72 040,20 eura) na 2-násobok (48 026,80 eura), t. j. o 33,3 %; pri ΔQALY 0,50 a viac z 3-násobku na 2,3-násobok (55 230,82 eura), t. j. o 23,3 %. Zákon pritom v § 7 ods. 3 pripúšťa násobok až 3; návrh podzákonným predpisom odoberá približne štvrtinu priestoru, ktorý zákonodarca vytvoril, bez toho, aby sa zákon menil.</w:t>
              <w:br/>
            </w:r>
            <w:r>
              <w:rPr>
                <w:b w:val="off"/>
                <w:color w:val="000000"/>
                <w:rFonts w:ascii="Times New Roman" w:hAnsi="Times New Roman" w:cs="Times New Roman" w:eastAsia="Times New Roman"/>
                <w:sz w:val="24"/>
              </w:rPr>
              <w:t xml:space="preserve">Predkladateľ spája návrh s cieľom zlepšiť dostupnosť liekov. Návrh však neobsahuje kvantifikovanú analýzu, ktorá by takýto účinok preukazovala. </w:t>
              <w:br/>
            </w:r>
            <w:r>
              <w:rPr>
                <w:b w:val="off"/>
                <w:color w:val="000000"/>
                <w:rFonts w:ascii="Times New Roman" w:hAnsi="Times New Roman" w:cs="Times New Roman" w:eastAsia="Times New Roman"/>
                <w:sz w:val="24"/>
              </w:rPr>
              <w:t>Upozorňujeme tiež, že zníženie podľa § 1 sa celým rozsahom dotýka bežných liekov, teda indikácií s najvyšším počtom pacientov, kde je populačný prínos liečby najväčší.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č. I	 - §1 - 2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Násobok hrubého domáceho produktu Slovenskej republiky na obyvateľa podľa § 7 ods. 3 zákona je</w:t>
              <w:br/>
            </w:r>
            <w:r>
              <w:rPr>
                <w:b w:val="off"/>
                <w:color w:val="000000"/>
                <w:rFonts w:ascii="Times New Roman" w:hAnsi="Times New Roman" w:cs="Times New Roman" w:eastAsia="Times New Roman"/>
                <w:sz w:val="24"/>
              </w:rPr>
              <w:t>a) jedna celá dvadsaťpäť stotín, ak rozdiel medzi získaným rokom života štandardizovanej kvality pri použití posudzovaného lieku a získaným rokom života štandardizovanej kvality pri použití relevantného komparátora je väčší ako 0 a menší ako 0,15,</w:t>
              <w:br/>
            </w:r>
            <w:r>
              <w:rPr>
                <w:b w:val="off"/>
                <w:color w:val="000000"/>
                <w:rFonts w:ascii="Times New Roman" w:hAnsi="Times New Roman" w:cs="Times New Roman" w:eastAsia="Times New Roman"/>
                <w:sz w:val="24"/>
              </w:rPr>
              <w:t>b) dva, ak rozdiel medzi získaným rokom života štandardizovanej kvality pri použití posudzovaného lieku a získaným rokom života štandardizovanej kvality pri použití relevantného komparátora je 0,15 a viac a menší ako 0,50,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prahové hodnoty síce vnímame ako výsledok kompromisu medzi potrebou zohľadniť aktuálny stav verejných financií a potrebou zachovať dostupnosť inovatívnej liečby, napriek tomu ich považujeme za nastavené príliš nízko. V porovnaní so súčasnou právnou úpravou dochádza najmä pri štandardných liekoch k významnému zníženiu prahových hodnôt, ktoré sa bude týkať širokého spektra liekov vrátane liekov určených na liečbu závažných onkologických, neurologických, autoimunitných a ďalších ochorení. Keďže na Slovensku predstavuje prahová hodnota nákladovej efektívnosti zásadné kritérium vstupu lieku do systému úhrad, jej neprimerané zníženie môže významne obmedziť dostupnosť nových liekov pre pacientov. Navrhujeme preto prahové hodnoty prehodnotiť a nastaviť ich na vyššej úrovni tak, aby primerane reflektovali rozpočtové možnosti systému, ale zároveň nevytvárali neprimeranú prekážku vstupu inovatívnej liečby.</w:t>
              <w:br/>
            </w:r>
            <w:r>
              <w:rPr>
                <w:b w:val="off"/>
                <w:color w:val="000000"/>
                <w:rFonts w:ascii="Times New Roman" w:hAnsi="Times New Roman" w:cs="Times New Roman" w:eastAsia="Times New Roman"/>
                <w:sz w:val="24"/>
              </w:rPr>
              <w:t>Zavedenie troch úrovní prahových hodnôt pre bežné lieky reflektuje snahu systému diferencovať ochotu platiť podľa veľkosti zdravotného prínosu lieku:</w:t>
              <w:br/>
            </w:r>
            <w:r>
              <w:rPr>
                <w:b w:val="off"/>
                <w:color w:val="000000"/>
                <w:rFonts w:ascii="Times New Roman" w:hAnsi="Times New Roman" w:cs="Times New Roman" w:eastAsia="Times New Roman"/>
                <w:sz w:val="24"/>
              </w:rPr>
              <w:t>Hranica pre lieky s najnižším prínosom (inkrementálny prínos QALY menej ako 0,15)</w:t>
              <w:br/>
            </w:r>
            <w:r>
              <w:rPr>
                <w:b w:val="off"/>
                <w:color w:val="000000"/>
                <w:rFonts w:ascii="Times New Roman" w:hAnsi="Times New Roman" w:cs="Times New Roman" w:eastAsia="Times New Roman"/>
                <w:sz w:val="24"/>
              </w:rPr>
              <w:t>Zavedenie samostatného pásma pre lieky s inkrementálnym prínosom &lt;0,15 QALY reflektuje zámer systému vyhradiť najnižší násobok HDP pre lieky s nízkym klinickým prínosom.</w:t>
              <w:br/>
            </w:r>
            <w:r>
              <w:rPr>
                <w:b w:val="off"/>
                <w:color w:val="000000"/>
                <w:rFonts w:ascii="Times New Roman" w:hAnsi="Times New Roman" w:cs="Times New Roman" w:eastAsia="Times New Roman"/>
                <w:sz w:val="24"/>
              </w:rPr>
              <w:t>Aktuálne systém za najnižší prínos liekov považoval všetko pod 0,33 inkrementálneho QALY, približne 4 mesiace v plnom zdraví (0,33 x 365 = 120 dní). Prerokovaná hranica &lt;0,15 inkrementálneho QALY predstavuje približne 2 mesiace života v plnom zdraví (0,15 × 365 = 55 dní).</w:t>
              <w:br/>
            </w:r>
            <w:r>
              <w:rPr>
                <w:b w:val="off"/>
                <w:color w:val="000000"/>
                <w:rFonts w:ascii="Times New Roman" w:hAnsi="Times New Roman" w:cs="Times New Roman" w:eastAsia="Times New Roman"/>
                <w:sz w:val="24"/>
              </w:rPr>
              <w:t>Nová hranica pre lieky s najnižším prínosom predstavuje zúženie rozsahu najnižšieho pásma o viac ako 55 % oproti súčasnému systému.</w:t>
              <w:br/>
            </w:r>
            <w:r>
              <w:rPr>
                <w:b w:val="off"/>
                <w:color w:val="000000"/>
                <w:rFonts w:ascii="Times New Roman" w:hAnsi="Times New Roman" w:cs="Times New Roman" w:eastAsia="Times New Roman"/>
                <w:sz w:val="24"/>
              </w:rPr>
              <w:t xml:space="preserve">Hranica 0,15 QALY bola zvolená tak, aby najnižšie prahové pásmo zostalo vyhradené pre lieky s naozaj nízkym klinickým prínosom a aby liečby chronických ochorení s klinicky relevantným benefitom boli hodnotené v štandardnom pásme. Pri chronických ochoreniach je nižší prírastok QALY často prirodzenou charakteristikou ochorenia a dlhého prežívania pacientov, nie odrazom nízkeho klinického prínosu liečby. </w:t>
              <w:br/>
            </w:r>
            <w:r>
              <w:rPr>
                <w:b w:val="off"/>
                <w:color w:val="000000"/>
                <w:rFonts w:ascii="Times New Roman" w:hAnsi="Times New Roman" w:cs="Times New Roman" w:eastAsia="Times New Roman"/>
                <w:sz w:val="24"/>
              </w:rPr>
              <w:t>Interval pre lieky so stredným prínosom (inkrementálny prínos QALY ≥0,15 a &lt;0,5)</w:t>
              <w:br/>
            </w:r>
            <w:r>
              <w:rPr>
                <w:b w:val="off"/>
                <w:color w:val="000000"/>
                <w:rFonts w:ascii="Times New Roman" w:hAnsi="Times New Roman" w:cs="Times New Roman" w:eastAsia="Times New Roman"/>
                <w:sz w:val="24"/>
              </w:rPr>
              <w:t>Ide o interval liekov, ktorý prináša pacientom klinicky prínos zodpovedajúci približne 2 až 6 mesiacov života v plnom zdraví (0,15 = 55 dní a 0,5 = 183 dní)</w:t>
              <w:br/>
            </w:r>
            <w:r>
              <w:rPr>
                <w:b w:val="off"/>
                <w:color w:val="000000"/>
                <w:rFonts w:ascii="Times New Roman" w:hAnsi="Times New Roman" w:cs="Times New Roman" w:eastAsia="Times New Roman"/>
                <w:sz w:val="24"/>
              </w:rPr>
              <w:t>Do tejto skupiny prirodzene patria aj mnohé liečby chronických ochorení, pri ktorých sa klinický prínos prejavuje najmä zlepšením kvality života, znížením symptómov alebo oddialením progresie ochorenia.</w:t>
              <w:br/>
            </w:r>
            <w:r>
              <w:rPr>
                <w:b w:val="off"/>
                <w:color w:val="000000"/>
                <w:rFonts w:ascii="Times New Roman" w:hAnsi="Times New Roman" w:cs="Times New Roman" w:eastAsia="Times New Roman"/>
                <w:sz w:val="24"/>
              </w:rPr>
              <w:t>Hranica pre lieky s najvyšším prínosom (inkrementálny prínos QALY ≥0,5)</w:t>
              <w:br/>
            </w:r>
            <w:r>
              <w:rPr>
                <w:b w:val="off"/>
                <w:color w:val="000000"/>
                <w:rFonts w:ascii="Times New Roman" w:hAnsi="Times New Roman" w:cs="Times New Roman" w:eastAsia="Times New Roman"/>
                <w:sz w:val="24"/>
              </w:rPr>
              <w:t>Ide o lieky so signifikantným prínosom pre pacientov, zodpovedajúcim viac ako 6 mesiacom života v plnom zdraví (0,5 = 183 dní).</w:t>
              <w:br/>
            </w:r>
            <w:r>
              <w:rPr>
                <w:b w:val="off"/>
                <w:color w:val="000000"/>
                <w:rFonts w:ascii="Times New Roman" w:hAnsi="Times New Roman" w:cs="Times New Roman" w:eastAsia="Times New Roman"/>
                <w:sz w:val="24"/>
              </w:rPr>
              <w:t>Hranica 0,5 QALY predstavuje ekvivalent viac ako šiestich mesiacov života v plnom zdraví, čo je možné považovať za vysoký prínos z pohľadu pacienta aj zdravotného systému.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č. 2 - Čl. I, §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Žiadame v § 2 jednoznačne určiť, že ak posudzovaná indikácia zahŕňa pediatrickú populáciu, postupuje sa podľa § 2 vo vzťahu k celej posudzovanej indikácii. Ak predkladateľ zvolí odlišné riešenie, žiadame upraviť, ako sa prahová hodnota určí pri modeli zahŕňajúcom obe populácie, najmä či sa pediatrická podskupina posudzuje samostatne a ako sa výsledky oboch posúdení premietnu do určenia úhrady.</w:t>
              <w:br/>
            </w:r>
            <w:r>
              <w:rPr>
                <w:b w:val="off"/>
                <w:color w:val="000000"/>
                <w:rFonts w:ascii="Times New Roman" w:hAnsi="Times New Roman" w:cs="Times New Roman" w:eastAsia="Times New Roman"/>
                <w:sz w:val="24"/>
              </w:rPr>
              <w:t>Zároveň žiadame doplniť znenie poznámok pod čiarou k odkazom 1) a 2), ktoré navrhované znenie § 2 používa, ale nereprodukuje, a zosúladiť ich s vymedzeniami a odkazmi podľa § 2 zákona tak, aby vyhláška nezaviedla odlišné vymedzenie tých istých pojmov.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Zaradenie liekov na pediatrickú indikáciu do režimu § 2 podporujeme. Zákon preň vytvoril základ: § 7 ods. 3 pripúšťa násobok až 10 aj pre lieky na pediatrickú indikáciu a § 2 písm. aa) zákona tento pojem vymedzuje.</w:t>
              <w:br/>
            </w:r>
            <w:r>
              <w:rPr>
                <w:b w:val="off"/>
                <w:color w:val="000000"/>
                <w:rFonts w:ascii="Times New Roman" w:hAnsi="Times New Roman" w:cs="Times New Roman" w:eastAsia="Times New Roman"/>
                <w:sz w:val="24"/>
              </w:rPr>
              <w:t>Zákonné vymedzenie je dvojprvkové: liek musí byť povolený na používanie v časti alebo v celej detskej populácii a zároveň musí byť posudzovaný vo vzťahu k pediatrickej indikácii. Návrh neupravuje, ako sa § 2 uplatní, ak posudzovaná indikácia zahŕňa pediatrickú aj dospelú populáciu, čo je pri liekoch povolených pre časť detskej populácie bežná situácia. Rozdiel je pritom zásadný: pri ΔQALY 0,50 a viac ide o 2,3-násobok (55 230,82 eura) podľa § 1 oproti 8-násobku (192 107,20 eura) podľa § 2. Držiteľ registrácie musí poznať odpoveď pred podaním žiadosti, pretože od nej závisí celá cenová konštrukcia.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č.3	 - Čl. I bod 3, nový § 2a</w:t>
              <w:br/>
            </w:r>
            <w:r>
              <w:rPr>
                <w:b w:val="off"/>
                <w:color w:val="000000"/>
                <w:rFonts w:ascii="Times New Roman" w:hAnsi="Times New Roman" w:cs="Times New Roman" w:eastAsia="Times New Roman"/>
                <w:sz w:val="24"/>
              </w:rPr>
              <w:t>Žiadame v dôvodovej správe uviesť zdroj, metodiku výpočtu a dôvody výberu referenčnej hodnoty HDP na obyvateľa za rok 2025 vrátane vysvetlenia, prečo sa pre novú právnu úpravu používa práve rok 2024.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Referenčná hodnota HDP je základom výpočtu prahových hodnôt pre všetky dotknuté lieky. Jednoznačné uvedenie zdroja údajov a metodiky je nevyhnutné pre overiteľnosť výpočtov, transparentnosť a rovnakú aplikáciu pravidiel.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č. 3 - Čl. I bod 3, nový § 2b</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nahradiť § 2b týmto znením: „Ministerstvo zdravotníctva Slovenskej republiky aktualizuje referenčnú hodnotu HDP uvedenú v § 2a najmenej raz za dva roky všeobecne záväzným právnym predpisom. Pri aktualizácii uvedie použitý referenčný rok a zdroj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trojročná fixácia môže viesť k dlhšiemu nesúladu medzi hodnotou použitou na výpočet prahov a aktuálnymi ekonomickými podmienkami. Dvojročný interval predstavuje kompromis medzi stabilitou a aktualizáciou vstupných parametrov. Zároveň sa odstraňuje nejasnosť, z akého referenčného obdobia sa bude pri ďalšej aktualizácii vychádzať.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č. 3 - Čl. I, § 2b</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Žiadame v § 2b jednoznačne určiť začiatok a koniec trojročného obdobia a deň uplatnenia aktualizovanej referenčnej hodnoty HDP. Zároveň navrhujeme vypustiť duplicitnú úpravu trvania zmrazenia a povinnosti aktualizácie, ktorá opakuje § 7 ods. 3 štvrtú a piatu vetu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Bez presného určenia začiatku a konca trojročného obdobia a dátumu aktualizácie môže vzniknúť interpretačná medzera po uplynutí obdobia. Duplicitné opakovanie zákonných ustanovení vo vykonávacom predpise je nadbytočné.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č.I. - Čl. I, § 2b</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Referenčná hodnota HDP uvedená v § 2a sa nemení počas obdobia dvoch rokov od nadobudnutia účinnosti tejto vyhlášky; po uplynutí tohto obdobia Ministerstvo zdravotníctva Slovenskej republiky referenčnú hodnotu HDP aktualizuje všeobecne záväzným právnym predpisom.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upraviť § 2b tak, aby sa referenčná hodnota HDP aktualizovala každoročne, prípadne v kratšom intervale ako tri roky. Používanie nezmenenej hodnoty počas troch rokov môže spôsobiť, že prahové hodnoty nebudú zohľadňovať aktuálny ekonomický vývoj. Pravidelná aktualizácia podľa objektívnych a vopred stanovených údajov by zároveň zachovala transparentnosť a predvídateľnosť systému bez potreby opakovaného rozhodovania o samotnom mechanizme výpočtu.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č.I. - Čl. I, § 2c</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doplniť §2c v znení: </w:t>
              <w:br/>
            </w:r>
            <w:r>
              <w:rPr>
                <w:b w:val="off"/>
                <w:color w:val="000000"/>
                <w:rFonts w:ascii="Times New Roman" w:hAnsi="Times New Roman" w:cs="Times New Roman" w:eastAsia="Times New Roman"/>
                <w:sz w:val="24"/>
              </w:rPr>
              <w:t>„Prechodné ustanovenie k úpravám účinným od 1. januára 2027.</w:t>
              <w:br/>
            </w:r>
            <w:r>
              <w:rPr>
                <w:b w:val="off"/>
                <w:color w:val="000000"/>
                <w:rFonts w:ascii="Times New Roman" w:hAnsi="Times New Roman" w:cs="Times New Roman" w:eastAsia="Times New Roman"/>
                <w:sz w:val="24"/>
              </w:rPr>
              <w:t>Na konania začaté a právoplatne neskončené do 31. decembra 2026 sa vzťahuje táto vyhláška v znení účinnom do 31. decembra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účinnosť od 1. decembra 2026 vytvára neistotu najmä pre žiadosti podané krátko pred týmto dátumom, teda v novembri 2026. Držitelia registrácie musia už pri príprave podania vedieť, podľa akých parametrov a dokumentačných požiadaviek bude ich žiadosť posúdená. Navrhované prechodné ustanovenie zabezpečí súlad s prechodným režimom zákona č. 363/2011 Z. z., právnu istotu účastníkov konania a zabráni tomu, aby sa pravidlá posudzovania nákladovej efektívnosti zmenili počas už prebiehajúceho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žiadame výslovne objasniť vzťah nových pravidiel k požadovanému obsahu a vzoru podania. Keďže samotná vyhláška č. 298/2022 Z. z. neurčuje všetky požiadavky na formulár žiadosti, je podľa potreby nevyhnutné zosúladiť aj súvisiace vykonávacie predpisy, a to s rovnakou účinnosťou.</w:t>
              <w:br/>
            </w:r>
            <w:r>
              <w:rPr>
                <w:b w:val="off"/>
                <w:color w:val="000000"/>
                <w:rFonts w:ascii="Times New Roman" w:hAnsi="Times New Roman" w:cs="Times New Roman" w:eastAsia="Times New Roman"/>
                <w:sz w:val="24"/>
              </w:rPr>
              <w:t>Je nevyhnutné doplniť prechodné ustanovenie, podľa ktorého sa konania začaté pred nadobudnutím účinnosti tejto vyhlášky dokončia podľa právnej úpravy účinnej do 30. novembra 2026. Takáto úprava zabezpečí súlad s prechodným režimom zákona č. 363/2011 Z. z., právnu istotu účastníkov konania a zabráni tomu, aby sa počas už prebiehajúceho konania zmenili pravidlá posudzovania nákladovej efektívnosti.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účinnosť 1. januára 2027</w:t>
              <w:br/>
            </w:r>
            <w:r>
              <w:rPr>
                <w:b w:val="off"/>
                <w:color w:val="000000"/>
                <w:rFonts w:ascii="Times New Roman" w:hAnsi="Times New Roman" w:cs="Times New Roman" w:eastAsia="Times New Roman"/>
                <w:sz w:val="24"/>
              </w:rPr>
              <w:t xml:space="preserve">Žiadame prehodnotiť primeranosť termínu účinnosti 1. decembra 2026 s ohľadom na dátum vyhlásenia predpisu, potrebu úpravy podkladov a súvisiace metodické zmeny. </w:t>
              <w:br/>
            </w:r>
            <w:r>
              <w:rPr>
                <w:b w:val="off"/>
                <w:color w:val="000000"/>
                <w:rFonts w:ascii="Times New Roman" w:hAnsi="Times New Roman" w:cs="Times New Roman" w:eastAsia="Times New Roman"/>
                <w:sz w:val="24"/>
              </w:rPr>
              <w:t>Navrhujeme zvážiť začiatok účinnosti k 1. januáru 2027 pred jej začiatkom zverejniť jednoznačné usmernenie k uplatňovaniu právnej úpravy na prebiehajúce konania a podania pripravené pred účinnosťou.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Zmena parametrov posudzovania si vyžaduje prípravu držiteľov registrácie aj orgánov rozhodujúcich v konaniach. Dostatočná predvídateľnosť a koordinácia zavedenia zmien sú potrebné, aby nedochádzalo k nejednotnému postupu, administratívnym prieťahom a následnému predlžovaniu prístupu pacientov k liečbe.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Nový prechodný článok pred čl. II; väzba na Čl. I body 1 až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vložiť prechodné ustanovenie v tomto znení: </w:t>
              <w:br/>
            </w:r>
            <w:r>
              <w:rPr>
                <w:b w:val="off"/>
                <w:color w:val="000000"/>
                <w:rFonts w:ascii="Times New Roman" w:hAnsi="Times New Roman" w:cs="Times New Roman" w:eastAsia="Times New Roman"/>
                <w:sz w:val="24"/>
              </w:rPr>
              <w:t xml:space="preserve">„Konania o žiadostiach začaté pred dňom nadobudnutia účinnosti tejto vyhlášky sa dokončia podľa právnych predpisov účinných v deň začatia konania.“ </w:t>
              <w:br/>
            </w:r>
            <w:r>
              <w:rPr>
                <w:b w:val="off"/>
                <w:color w:val="000000"/>
                <w:rFonts w:ascii="Times New Roman" w:hAnsi="Times New Roman" w:cs="Times New Roman" w:eastAsia="Times New Roman"/>
                <w:sz w:val="24"/>
              </w:rPr>
              <w:t>Následne žiadame primerane upraviť označenie článkov.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neobsahuje prechodné ustanovenia. Bez výslovnej úpravy vzniká právna neistota, ktoré prahové hodnoty a referenčná hodnota HDP sa uplatnia na už prebiehajúce konania. Zmena pravidiel počas posudzovania môže vyvolať potrebu prepracovania farmakoekonomických analýz a doplnenia podkladov, predĺžiť konania a nepriaznivo ovplyvniť včasný prístup pacientov k liečbe.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 a II; väzba na vyhlášku č. 422/2011 Z. z. - návrh ako celok:  žiadame zosúladiť znenie a účinnosť oboch návrhov tak, aby metodická príručka neobsahovala explicitné výšky prahových hodnôt, aby prahové hodnoty bolo možné a postačujúce upraviť len v jednom z predpisov, a to vo vyhláške 298/2022 pričom druhý na ne bude odkazovať.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Súbežne predkladaná novela vyhlášky č. 422/2011 Z. z. povyšuje metodickú príručku a šablónu farmako-ekonomického rozboru na prílohy vyhlášky, pričom metodická príručka už uvádza prahové hodnoty na úrovni 1,25-, 2- a 2,3-násobku a 4- a 8-násobku. Obidva predpisy tak budú všeobecne záväzné a budú upravovať tú istú vec. Ak sa ich znenie alebo účinnosť rozídu, a to vrátane vymedzenia referenčnej hodnoty HDP, hraníc pásiem ΔQALY a okruhu kategórií liekov podľa § 2, vznikne priamy rozpor dvoch všeobecne záväzných právnych predpisov a neistota pri určení úhrady.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Nový prechodný článok pred čl. II; väzba na Čl. I body 1 až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vložiť prechodné ustanovenie v tomto znení: „Konania o žiadostiach začaté pred dňom nadobudnutia účinnosti tejto vyhlášky sa dokončia podľa právnych predpisov účinných v deň začatia konania.“ Následne žiadame primerane upraviť označenie článkov.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neobsahuje prechodné ustanovenia. Bez výslovnej úpravy vzniká právna neistota, ktoré prahové hodnoty a referenčná hodnota HDP sa uplatnia na už prebiehajúce konania. Zmena pravidiel počas posudzovania môže vyvolať potrebu prepracovania farmakoekonomických analýz a doplnenia podkladov, predĺžiť konania a nepriaznivo ovplyvniť včasný prístup pacientov k liečbe.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 O:</w:t>
              <w:br/>
            </w:r>
            <w:r>
              <w:rPr>
                <w:b w:val="off"/>
                <w:color w:val="000000"/>
                <w:rFonts w:ascii="Times New Roman" w:hAnsi="Times New Roman" w:cs="Times New Roman" w:eastAsia="Times New Roman"/>
                <w:sz w:val="24"/>
              </w:rPr>
              <w:t>K vyššie uvedenému materiálu Generálna prokuratúra Slovenskej republiky neuplatňuje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úvodnej vete návrhu vyhlášky</w:t>
              <w:br/>
            </w:r>
            <w:r>
              <w:rPr>
                <w:b w:val="off"/>
                <w:color w:val="000000"/>
                <w:rFonts w:ascii="Times New Roman" w:hAnsi="Times New Roman" w:cs="Times New Roman" w:eastAsia="Times New Roman"/>
                <w:sz w:val="24"/>
              </w:rPr>
              <w:t>V úvodnej vete návrhu vyhlášky odporúčame slová „(ďalej len „zákon“)“ vypustiť, keďže legislatívna skratka je už zavedená v novelizovanej vyhláške.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1 a 2</w:t>
              <w:br/>
            </w:r>
            <w:r>
              <w:rPr>
                <w:b w:val="off"/>
                <w:color w:val="000000"/>
                <w:rFonts w:ascii="Times New Roman" w:hAnsi="Times New Roman" w:cs="Times New Roman" w:eastAsia="Times New Roman"/>
                <w:sz w:val="24"/>
              </w:rPr>
              <w:t>V čl. I odporúčame body 1 a 2 zlúčiť do jedného novelizačného bodu s úvodnou vetou v znení: „§ 1 a 2 znejú:“ a vykonať súvisiace legislatívne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w:t>
              <w:br/>
            </w:r>
            <w:r>
              <w:rPr>
                <w:b w:val="off"/>
                <w:color w:val="000000"/>
                <w:rFonts w:ascii="Times New Roman" w:hAnsi="Times New Roman" w:cs="Times New Roman" w:eastAsia="Times New Roman"/>
                <w:sz w:val="24"/>
              </w:rPr>
              <w:t>V čl. I bode 3 úvodnej vete odporúčame slovo „vkladá“ nahradiť slovom „vkladajú“ v súlade s prílohou č. 1 k Legislatívnym pravidlám vlády Slovenskej republiky bodom 34.3.</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 § 2a a 2b</w:t>
              <w:br/>
            </w:r>
            <w:r>
              <w:rPr>
                <w:b w:val="off"/>
                <w:color w:val="000000"/>
                <w:rFonts w:ascii="Times New Roman" w:hAnsi="Times New Roman" w:cs="Times New Roman" w:eastAsia="Times New Roman"/>
                <w:sz w:val="24"/>
              </w:rPr>
              <w:t>V čl. I bode 3 § 2a a 2b odporúčame skratku „HDP“ nahradiť slovami „hrubého domáceho produktu“ v súlade s prílohou č. 1 k Legislatívnym pravidlám vlády Slovenskej republiky bodom 9.2.</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 § 2b</w:t>
              <w:br/>
            </w:r>
            <w:r>
              <w:rPr>
                <w:b w:val="off"/>
                <w:color w:val="000000"/>
                <w:rFonts w:ascii="Times New Roman" w:hAnsi="Times New Roman" w:cs="Times New Roman" w:eastAsia="Times New Roman"/>
                <w:sz w:val="24"/>
              </w:rPr>
              <w:t>V čl. I bode 3 § 2b odporúčame slová „uvedená v“ nahradiť slovom „podľa“ a slovo „od“ nahradiť slovami „odo dňa“.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 § 2b</w:t>
              <w:br/>
            </w:r>
            <w:r>
              <w:rPr>
                <w:b w:val="off"/>
                <w:color w:val="000000"/>
                <w:rFonts w:ascii="Times New Roman" w:hAnsi="Times New Roman" w:cs="Times New Roman" w:eastAsia="Times New Roman"/>
                <w:sz w:val="24"/>
              </w:rPr>
              <w:t>V čl. I bode 3 § 2b odporúčame slová za bodkočiarkou vypustiť pre nadbytočnosť a možný nesúlad s čl. 1 ods. 1 a čl. 2 ods. 2 Ústavy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predkladacej správe</w:t>
              <w:br/>
            </w:r>
            <w:r>
              <w:rPr>
                <w:b w:val="off"/>
                <w:color w:val="000000"/>
                <w:rFonts w:ascii="Times New Roman" w:hAnsi="Times New Roman" w:cs="Times New Roman" w:eastAsia="Times New Roman"/>
                <w:sz w:val="24"/>
              </w:rPr>
              <w:t>V predkladacej správe odporúčame vypustiť vetu o účinnosti pre nadbytočnosť.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úvodnej vete návrhu vyhlášky vypustiť slová „(ďalej len „zákon“)“, pretože táto legislatívna skratka je už v platnom znení vyhlášky zavedená, body 1 a 2 spojiť do jedného novelizačného bodu s touto úvodnou vetou: „§ 1 a 2 znejú:“, v bode 1 § 1 písm. a) slová „jedna celá dvadsaťpäť stotín“ nahradiť číslom „1,25“, v § 1 písm. b) slovo „dva“ nahradiť číslom „2“, v § 1 písm. c) slová „dve celé tri desatiny“ nahradiť číslom „2,3“, v bode 3 § 2a skratku „HDP“ nahradiť slovami „hrubého národného produktu“, v § 2b skratku „HDP“ nahradiť slovami „hrubého národného produktu“ a vypustiť časť vety za bodkočiarkou, pretože uvedený text len preberá ustanovenie vykonávaného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predkladateľovi vyznačiť v časti 9 v riadku "Vplyvy na podnikateľské prostredie...z toho vplyvy na MSP" v Doložke vybraných vplyvov aj pozitívny a negatívny vplyv na MSP. V Analýze vplyvov na podnikateľské prostredie odporúčame doplniť krátke rozdelenie</w:t>
              <w:br/>
            </w:r>
            <w:r>
              <w:rPr>
                <w:b w:val="off"/>
                <w:color w:val="000000"/>
                <w:rFonts w:ascii="Times New Roman" w:hAnsi="Times New Roman" w:cs="Times New Roman" w:eastAsia="Times New Roman"/>
                <w:sz w:val="24"/>
              </w:rPr>
              <w:t xml:space="preserve"> a popis pozitívnych a negatívnych vplyvov na podnikateľské prostredie.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vyhlášky môže mať vplyv na držiteľov registrácie lieku, pričom tieto subjekty spadajú do kategórie MSP. V Doložke vybraných vplyvov je vyznačený pozitívny a negatívny vplyv na podnikateľské prostredie. V Analýze vplyvov na podnikateľské prostredie však nie sú jednoznačne popísané vplyvy s rozdelením na pozitívne a negatívne vplyvy na podnikateľské prostredie. Ich popis a rozdelenie môžete uviesť v časti 3.4.</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vydať novú vyhlášku namiesto novelizácie vyhlášky č. 298/2022 Z. z. Predmetná vyhláška obsahuje tri paragrafy, pričom § 3 upravuje účinnosť. Navrhovaná novela vyhlášky mení celé znenie § 1 a 2 a zároveň dopĺňa nový § 2a a 2b. Vzhľadom na rozsah navrhovaných zmien, ktoré presahujú obsah pôvodnej vyhlášky, odporúčame vydať novú vyhlášku.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w:t>
              <w:br/>
            </w:r>
            <w:r>
              <w:rPr>
                <w:b w:val="off"/>
                <w:color w:val="000000"/>
                <w:rFonts w:ascii="Times New Roman" w:hAnsi="Times New Roman" w:cs="Times New Roman" w:eastAsia="Times New Roman"/>
                <w:sz w:val="24"/>
              </w:rPr>
              <w:t>Odporúčame v Čl. I bode 3 § 2a a 2b slovo „HDP“ nahradiť slovami „hrubého domáceho produktu“.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1 (§ 1)</w:t>
              <w:br/>
            </w:r>
            <w:r>
              <w:rPr>
                <w:b w:val="off"/>
                <w:color w:val="000000"/>
                <w:rFonts w:ascii="Times New Roman" w:hAnsi="Times New Roman" w:cs="Times New Roman" w:eastAsia="Times New Roman"/>
                <w:sz w:val="24"/>
              </w:rPr>
              <w:t>Z dôvodu dosiahnutia súladu s Legislatívnymi pravidlami vlády SR (Príloha č. 1 bod 9.1. k legislatívnym pravidlám) odporúčame predkladateľovi v bode 1 zaviesť legislatívnu skratku „hrubého domáceho produktu“ vzhľadom na to, že v následnom texte vyhlášky sa používa skratka „HDP“ – v § 2a a 2b.</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1. Keďže návrh vyhlášky mení všetky paragrafy platnej vyhlášky, okrem paragrafu ustanovujúceho účinnosť platnej vyhlášky, je potrebné vydať novú vyhlášku (k tomu pozri čl. 10 ods. 1 v spojitosti s čl. 38 ods. 1. Legislatívnych pravidiel vlády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w:t>
              <w:br/>
            </w:r>
            <w:r>
              <w:rPr>
                <w:b w:val="off"/>
                <w:color w:val="000000"/>
                <w:rFonts w:ascii="Times New Roman" w:hAnsi="Times New Roman" w:cs="Times New Roman" w:eastAsia="Times New Roman"/>
                <w:sz w:val="24"/>
              </w:rPr>
              <w:t>2. Keďže sa v znení bodu 2 § 2 úvodnej vete uvádzajú pri slovách „liek na ojedinelé ochorenie“ a „liek na inovatívnu liečbu“ odkazy na poznámky pod čiarou, tak aj pri slovách „liek na pediatrickú indikáciu“ navrhujeme uviesť odkaz na poznámku pod čiarou, kde by sa v súlade so znením bodu 10 Národnou radou Slovenskej republiky prijatého znenia novely zákona č. 363/2011 Z. z. o rozsahu a podmienkach úhrady liekov, zdravotníckych pomôcok a dietetických potravín na základe verejného zdravotného poistenia a o zmene a doplnení niektorých zákonov v znení neskorších predpisov (tlač 1335) (ďalej len „schválená novela vykonávaného zákona“) uviedlo znenie poznámky pod čiarou k odkazu 1cd), a to „Čl. 2 ods. 3 nariadenia Európskeho parlamentu a Rady (ES) č. 1901/2006 z 12. decembra 2006 o liekoch na pediatrické použitie, ktorým sa mení a dopĺňa nariadenie (EHS) č. 1768/92, smernica 2001/20/ES, smernica 2001/83/ES a nariadenie (ES) č. 726/2004 (Ú. v. EÚ L 378, 27.12.2006) v platnom znení.“. Čísla odkazov na poznámky pod čiarou je potrebné uvádzať v hornom indexe.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2a</w:t>
              <w:br/>
            </w:r>
            <w:r>
              <w:rPr>
                <w:b w:val="off"/>
                <w:color w:val="000000"/>
                <w:rFonts w:ascii="Times New Roman" w:hAnsi="Times New Roman" w:cs="Times New Roman" w:eastAsia="Times New Roman"/>
                <w:sz w:val="24"/>
              </w:rPr>
              <w:t xml:space="preserve">3. V bode 2 znenie § 2a navrhujeme uviesť do súladu s bodom 9.5 Legislatívno-technických pokynov, ktorý ustanovuje: „Legislatívnu skratku zavedenú v zákone nemožno použiť vo vykonávacom právnom predpise k tomuto zákonu bez jej opätovného zavedenia v tomto </w:t>
              <w:br/>
            </w:r>
            <w:r>
              <w:rPr>
                <w:b w:val="off"/>
                <w:color w:val="000000"/>
                <w:rFonts w:ascii="Times New Roman" w:hAnsi="Times New Roman" w:cs="Times New Roman" w:eastAsia="Times New Roman"/>
                <w:sz w:val="24"/>
              </w:rPr>
              <w:t xml:space="preserve">vykonávacom právnom predpise.“. Schválená novela vykonávaného zákona v bode 22, ktorý obsahuje zmenu znenia § 7 ods. 3, zavádza legislatívnu skratku „referenčná hodnota HDP“. Podľa vyššie uvedeného sa vo vykonávacom predpise táto legislatívna skratka nemôže použiť, ale má sa opätovne zaviesť. V návrhu vyhlášky je preto potrebné namiesto legislatívnej skratky uviesť slová, pre ktoré bola skratka zavedená a následne zaviesť legislatívnu skratku. </w:t>
              <w:br/>
            </w:r>
            <w:r>
              <w:rPr>
                <w:b w:val="off"/>
                <w:color w:val="000000"/>
                <w:rFonts w:ascii="Times New Roman" w:hAnsi="Times New Roman" w:cs="Times New Roman" w:eastAsia="Times New Roman"/>
                <w:sz w:val="24"/>
              </w:rPr>
              <w:t>Zároveň poukazujeme na znenie § 7 ods. 3 tretej vety schválenej novely vykonávaného zákona, podľa ktorej „Na účely výpočtu prahovej hodnoty podľa tohto odseku sa použije hodnota hrubého domáceho produktu Slovenskej republiky definovaná v tomto všeobecne záväznom právnom predpise (ďalej len „referenčná hodnota HDP“).“. Máme za to, že návrh vyhlášky skôr stanovuje presnú pevnú výšku hodnoty hrubého domáceho produktu Slovenskej republiky, než by ju definoval. Pojem „definovaná“ sa používa na stanovenie postupu, vzorca na výpočet či na určenie vlastností a pojmových znakov. Schválená novela vykonávaného zákona v bode 23 § 7 ods. 4 obsahuje ustanovenie, že „Hrubým domácim produktom podľa odseku 3 sa rozumie hodnota hrubého domáceho produktu ...“ a túto „hodnotu hrubého domáceho produktu“ ďalej definuje. Hodnotu hrubého domáceho produktu teda definuje schválená novela vykonávaného zákona a návrh vyhlášky skôr stanovuje presnú pevnú výšku hodnoty hrubého domáceho produktu, ktorá tejto definícii prináleží. Navrhované znenie vyhlášky je potrebné zosúladiť so znením § 7 ods. 3 treťou vetou schválenej novely vykonávaného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2b</w:t>
              <w:br/>
            </w:r>
            <w:r>
              <w:rPr>
                <w:b w:val="off"/>
                <w:color w:val="000000"/>
                <w:rFonts w:ascii="Times New Roman" w:hAnsi="Times New Roman" w:cs="Times New Roman" w:eastAsia="Times New Roman"/>
                <w:sz w:val="24"/>
              </w:rPr>
              <w:t xml:space="preserve">4. V bode 3 znenie § 2b návrhu vyhlášky je duplicitné so znením bodu 22 § 7 ods. 3 štvrtou a piatou vetou schválenej novely vykonávaného zákona. Toto ustanovenie je preto potrebné vypustiť.  </w:t>
              <w:br/>
            </w:r>
            <w:r>
              <w:rPr>
                <w:b w:val="off"/>
                <w:color w:val="000000"/>
                <w:rFonts w:ascii="Times New Roman" w:hAnsi="Times New Roman" w:cs="Times New Roman" w:eastAsia="Times New Roman"/>
                <w:sz w:val="24"/>
              </w:rPr>
              <w:t>Dané ustanovenie nemôže byť súčasťou vykonávacieho predpisu, keďže znenie vyhlášky nemôže splnomocňovať na vydanie ďalšej vyhlášky. Podľa čl. 123 Ústavy Slovenskej republiky „Ministerstvá a iné orgány štátnej správy na základe zákonov a v ich medziach môžu vydávať všeobecne záväzné právne predpisy, ak sú na to splnomocnené zákonom.“. Príkaz na revíziu znenia vyhlášky a splnomocnenie na vydanie novej vyhlášky môže obsahovať len zákon.</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1 (§ 1 vyhlášky č. 298/2022 Z. z.)</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Zníženie prahových hodnôt pre bežné lieky bez kvantifikovanej analýzy vplyvov</w:t>
              <w:br/>
            </w:r>
            <w:r>
              <w:rPr>
                <w:b w:val="off"/>
                <w:color w:val="000000"/>
                <w:rFonts w:ascii="Times New Roman" w:hAnsi="Times New Roman" w:cs="Times New Roman" w:eastAsia="Times New Roman"/>
                <w:sz w:val="24"/>
              </w:rPr>
              <w:t>Návrh znižuje prahovú hodnotu vo všetkých pásmach okrem pásma ΔQALY od 0,20 do 0,33. Pri ΔQALY nad 0 a menej ako 0,20 klesá z 2-násobku (48 026,80 eura) na 1,25-násobok (30 016,75 eura), t. j. o 37,5 %; pri ΔQALY od 0,33 do 0,50 z 3-násobku (72 040,20 eura) na 2-násobok (48 026,80 eura), t. j. o 33,3 %; pri ΔQALY 0,50 a viac z 3-násobku na 2,3-násobok (55 230,82 eura), t. j. o 23,3 %. Zákon pritom v § 7 ods. 3 pripúšťa násobok až 3; návrh podzákonným predpisom odoberá približne štvrtinu priestoru, ktorý zákonodarca vytvoril, bez toho, aby sa zákon menil.</w:t>
              <w:br/>
            </w:r>
            <w:r>
              <w:rPr>
                <w:b w:val="off"/>
                <w:color w:val="000000"/>
                <w:rFonts w:ascii="Times New Roman" w:hAnsi="Times New Roman" w:cs="Times New Roman" w:eastAsia="Times New Roman"/>
                <w:sz w:val="24"/>
              </w:rPr>
              <w:t>Predkladateľ spája návrh s cieľom zlepšiť dostupnosť liekov. Návrh však neobsahuje kvantifikovanú analýzu, ktorá by takýto účinok preukazovala. Prahová hodnota je stropom ochoty platiť, nie úhradou: o výslednej úhrade rozhoduje popri nej aj výber komparátora, nastavenie modelu hodnotiteľom a následné rokovanie o zmluve o podmienkach úhrady. Bez údajov o tom, ako často je prahová hodnota v praxi skutočne limitujúcim kritériom, nemožno posúdiť, či navrhovaná zmena dostupnosť zlepší alebo zhorší. Ak sa rozhodnutia spravidla uzatvárajú výrazne pod prahom, zníženie prahu sa dotkne len hraničných liekov, teda prevažne liekov s najvyššou mierou inovácie; ak sa uzatvárajú tesne pod prahom, ide o plošné zníženie úhrad. Obe možnosti majú opačné dôsledky a návrh medzi nimi nerozlišuje.</w:t>
              <w:br/>
            </w:r>
            <w:r>
              <w:rPr>
                <w:b w:val="off"/>
                <w:color w:val="000000"/>
                <w:rFonts w:ascii="Times New Roman" w:hAnsi="Times New Roman" w:cs="Times New Roman" w:eastAsia="Times New Roman"/>
                <w:sz w:val="24"/>
              </w:rPr>
              <w:t>Upozorňujeme tiež, že zníženie podľa § 1 sa celým rozsahom dotýka bežných liekov, teda indikácií s najvyšším počtom pacientov, kde je populačný prínos liečby najväčší.</w:t>
              <w:br/>
            </w:r>
            <w:r>
              <w:rPr>
                <w:b w:val="off"/>
                <w:color w:val="000000"/>
                <w:rFonts w:ascii="Times New Roman" w:hAnsi="Times New Roman" w:cs="Times New Roman" w:eastAsia="Times New Roman"/>
                <w:sz w:val="24"/>
              </w:rPr>
              <w:t>Žiadame pred ďalším legislatívnym postupom zverejniť: (i) rozdelenie pomeru akceptovaného ICER k platnej prahovej hodnote za kategorizačné rozhodnutia vydané za posledných päť rokov, vrátane podielu rozhodnutí v pásme 90 až 100 % prahu; (ii) spätný prepočet, koľko z týchto rozhodnutí by pri navrhovaných násobkoch nesplnilo kritérium podľa § 7 ods. 2 písm. a) zákona; (iii) odhad vplyvu na počet a načasovanie žiadostí o zaradenie do zoznamu kategorizovaných liekov. Ide o údaje, ktorými ministerstvo disponuje. Do ich predloženia a vyhodnotenia žiadame novelizačný bod 1 z návrhu vypustiť.</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novelizačné body 1 a 2 (§ 1 a § 2 vyhlášky č. 298/2022 Z. z.)</w:t>
              <w:br/>
            </w:r>
            <w:r>
              <w:rPr>
                <w:b w:val="off"/>
                <w:color w:val="000000"/>
                <w:rFonts w:ascii="Times New Roman" w:hAnsi="Times New Roman" w:cs="Times New Roman" w:eastAsia="Times New Roman"/>
                <w:sz w:val="24"/>
              </w:rPr>
              <w:t xml:space="preserve">Zásadná pripomiemka: </w:t>
              <w:br/>
            </w:r>
            <w:r>
              <w:rPr>
                <w:b w:val="off"/>
                <w:color w:val="000000"/>
                <w:rFonts w:ascii="Times New Roman" w:hAnsi="Times New Roman" w:cs="Times New Roman" w:eastAsia="Times New Roman"/>
                <w:sz w:val="24"/>
              </w:rPr>
              <w:t>Diskontinuita prahovej hodnoty na hraniciach pásiem a jej viazanie na bodový odhad</w:t>
              <w:br/>
            </w:r>
            <w:r>
              <w:rPr>
                <w:b w:val="off"/>
                <w:color w:val="000000"/>
                <w:rFonts w:ascii="Times New Roman" w:hAnsi="Times New Roman" w:cs="Times New Roman" w:eastAsia="Times New Roman"/>
                <w:sz w:val="24"/>
              </w:rPr>
              <w:t>Keďže § 1 aj § 2 sa nahrádzajú v celom rozsahu, predmetom pripomienkovania je celé ich nové znenie vrátane konštrukcie pásiem.</w:t>
              <w:br/>
            </w:r>
            <w:r>
              <w:rPr>
                <w:b w:val="off"/>
                <w:color w:val="000000"/>
                <w:rFonts w:ascii="Times New Roman" w:hAnsi="Times New Roman" w:cs="Times New Roman" w:eastAsia="Times New Roman"/>
                <w:sz w:val="24"/>
              </w:rPr>
              <w:t>Prahová hodnota sa na hraniciach pásiem mení skokom. Podľa navrhovaného § 1 sa na hranici ΔQALY 0,20 násobok mení z 1,25 na 2, teda o 60 %; podľa navrhovaného § 2 sa na hranici 0,50 mení zo 4 na 8, teda o 100 %. Návrh tento problém nerieši, v § 1 ho prehlbuje: doterajšie znenie malo jediný zlom (z 2 na 3 na hranici 0,33, teda o 50 %), navrhované znenie má zlomy dva a najväčší z nich je vyšší.</w:t>
              <w:br/>
            </w:r>
            <w:r>
              <w:rPr>
                <w:b w:val="off"/>
                <w:color w:val="000000"/>
                <w:rFonts w:ascii="Times New Roman" w:hAnsi="Times New Roman" w:cs="Times New Roman" w:eastAsia="Times New Roman"/>
                <w:sz w:val="24"/>
              </w:rPr>
              <w:t>Dôsledok na maximálne akceptovateľné dodatočné náklady je neprimeraný rozdiel v prínose. Podľa § 1 predstavujú pri ΔQALY 0,19 sumu 5 703,18 eura a pri ΔQALY 0,21 sumu 10 085,63 eura: rozdiel v modelovanom prínose o 10,5 % mení akceptovateľné náklady o 76,8 %. Podľa § 2 predstavujú pri ΔQALY 0,49 sumu 47 066,26 eura a pri ΔQALY 0,51 sumu 97 974,67 eura: rozdiel v modelovanom prínose o 4,1 % mení akceptovateľné náklady o 108,2 %.</w:t>
              <w:br/>
            </w:r>
            <w:r>
              <w:rPr>
                <w:b w:val="off"/>
                <w:color w:val="000000"/>
                <w:rFonts w:ascii="Times New Roman" w:hAnsi="Times New Roman" w:cs="Times New Roman" w:eastAsia="Times New Roman"/>
                <w:sz w:val="24"/>
              </w:rPr>
              <w:t>ΔQALY je modelovaný odhad zaťažený neistotou, ktorej interval pri uvedených veľkostiach efektu spravidla presahuje šírku celého pásma. Návrh viaže skokovú zmenu právneho následku na bodový odhad a neupravuje postup, ak interval neistoty hranicu pásma prekračuje. O výsledku tak môžu rozhodnúť metodické voľby pri nastavení modelu, nie rozdiel v klinickom prínose; obe strany konania zároveň dostávajú motiváciu presadzovať nastavenia, ktoré odhad posunú cez hranicu. Súbežne predkladaná novela vyhlášky č. 422/2011 Z. z. pritom zavádza povinnú pravdepodobnostnú analýzu citlivosti, takže rozdelenie ΔQALY bude hodnotiteľovi k dispozícii; návrh s ním nepracuje.</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2 (§ 2 vyhlášky č. 298/2022 Z. z.)</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Zníženie násobkov pre lieky na ojedinelé ochorenia a lieky na inovatívnu liečbu v horných pásmach</w:t>
              <w:br/>
            </w:r>
            <w:r>
              <w:rPr>
                <w:b w:val="off"/>
                <w:color w:val="000000"/>
                <w:rFonts w:ascii="Times New Roman" w:hAnsi="Times New Roman" w:cs="Times New Roman" w:eastAsia="Times New Roman"/>
                <w:sz w:val="24"/>
              </w:rPr>
              <w:t>Platné znenie § 2 ustanovuje 3-násobok pri ΔQALY pod 0,33, 5-násobok pri ΔQALY od 0,33 do 0,50 a 10-násobok pri ΔQALY 0,50 a viac. Návrh zavádza 4-násobok pri ΔQALY pod 0,50 a 8-násobok pri ΔQALY 0,50 a viac. V najnižšom pásme ide o zvýšenie z 3 na 4, ktoré podporujeme; v oboch horných pásmach však o zníženie o 20 %, teda z 120 067,00 eura na 96 053,60 eura a z 240 134,00 eura na 192 107,20 eura.</w:t>
              <w:br/>
            </w:r>
            <w:r>
              <w:rPr>
                <w:b w:val="off"/>
                <w:color w:val="000000"/>
                <w:rFonts w:ascii="Times New Roman" w:hAnsi="Times New Roman" w:cs="Times New Roman" w:eastAsia="Times New Roman"/>
                <w:sz w:val="24"/>
              </w:rPr>
              <w:t>Zníženie sa týka práve tých liekov, pri ktorých je modelovaný prínos najväčší a pri ktorých spravidla neexistuje terapeutická alternatíva. Pri liekoch na ojedinelé ochorenia a liekoch na inovatívnu liečbu je rozhodnutie o uvedení na malý trh osobitne citlivé na očakávanú úroveň úhrady; zníženie horného prahu o 20 % v kombinácii so zmrazením referenčnej hodnoty HDP podľa § 2a pôsobí priamo proti deklarovanému cieľu návrhu. V hornom pásme by kombinovaný účinok oboch zmien predstavoval v roku 2029 pokles prahovej hodnoty rádovo o tretinu oproti platnému stavu.</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písm. c)</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Návrh zvýšenia násobku HDP z hodnoty 2,3 tak, aby sa minimálne zohľadnila kumulatívna inflácia od roku 2022 a zachovala reálna hodnota vtedy uplatňovanej prahovej hodnoty nákladovej efektívnosti.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osobitnej dôvodovej správe sa porovnáva navrhovaná prahová hodnota 55 231 €/QALY (2,3 x 24013,40) s hodnotou 51 836 €/QALY z roku 2022, pričom sa označuje jej mierne zvýšenie za odraz rastu ekonomickej výkonnosti Slovenskej republiky počas štyroch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Nominálny nárast o 6,55 % však nezohľadňuje kumulatívnu infláciu, ktorá podľa údajov Štatistického úradu SR a prognózy Inštitútu finančnej politiky (IFP) za obdobie rokov 2023 - 2026 dosahuje približne 22,5 %*.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zohľadnení inflácie by prahová hodnota z roku 2022 zodpovedala približne 63 504 €/QALY, čo pri referenčnej hodnote HDP 24 013,40 € predstavuje násobok približne 2,64. Navrhujeme preto stanoviť násobok minimálne tak, aby zabezpečil aspoň zachovanie reálnej prahovej hodnoty z roku 2022.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údajov Štatistického úradu SR dosiahla priemerná ročná inflácia v roku 2023 hodnotu 10,5 %, v roku 2024 hodnotu 2,8 % a v roku 2025 hodnotu 4,0 %. Podľa makroekonomickej prognózy Inštitútu finančnej politiky zo septembra 2026 sa inflácia v roku 2026 očakáva na úrovni 3,7 %. Kumulovaný rast cenovej hladiny za obdobie rokov 2023 až 2026 tak predstavuje približne 22,5 %, pričom hodnota za rok 2026 vychádza z prognózy ((1,105×1,028×1,04×1,037-1)×100 ≈ 22,5%).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Zdroj 2023-2025: Štatistický úrad SR  STATdata. Inflácia meraná CPI (národná metodika), celková, jadrová, čistá – ročne [sp2043rs], údaje za roky 2023 – 2025 link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Zdroj 2026:  Ministerstvo financií SR: Inštitút finančnej politiky (2026). Výbor pre makroekonomické prognózy, 76. zasadnutie, september 2026. link</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3 (§ 2a vyhlášky č. 298/2022 Z. z.)</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Voľba referenčnej hodnoty HDP: návrh preberá najstarší dostupný údaj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Berieme na vedomie, že § 7 ods. 3 zákona výslovne predpokladá, že referenčnú hodnotu HDP definuje vyhláška a že sa počas obdobia troch rokov nemení. Samotné zmrazenie preto nenamietame.</w:t>
              <w:br/>
            </w:r>
            <w:r>
              <w:rPr>
                <w:b w:val="off"/>
                <w:color w:val="000000"/>
                <w:rFonts w:ascii="Times New Roman" w:hAnsi="Times New Roman" w:cs="Times New Roman" w:eastAsia="Times New Roman"/>
                <w:sz w:val="24"/>
              </w:rPr>
              <w:t>Zákon však neurčuje, ktorá hodnota sa má ako referenčná použiť; túto voľbu ponecháva ministerstvu. Podľa § 7 ods. 4 zákona je hodnotou HDP údaj zistený a zverejnený Štatistickým úradom Slovenskej republiky k 31. októbru za kalendárny rok, ktorý dva roky predchádza kalendárnemu roku, v ktorom sa prahová hodnota určuje. Návrh preberá údaj za rok 2024, ktorý podľa tohto pravidla zodpovedá prahovým hodnotám určovaným v roku 2026. Vyhláška má však nadobudnúť účinnosť 1. decembra 2026 a zmrazená hodnota bude určovať prahové hodnoty prevažne v rokoch 2027 až 2029, ktorým podľa § 7 ods. 4 zákona zodpovedajú údaje za roky 2025, 2026 a 2027.</w:t>
              <w:br/>
            </w:r>
            <w:r>
              <w:rPr>
                <w:b w:val="off"/>
                <w:color w:val="000000"/>
                <w:rFonts w:ascii="Times New Roman" w:hAnsi="Times New Roman" w:cs="Times New Roman" w:eastAsia="Times New Roman"/>
                <w:sz w:val="24"/>
              </w:rPr>
              <w:t>Údaj za rok 2025 pritom Štatistický úrad Slovenskej republiky zverejní k 31. októbru 2026, teda mesiac pred nadobudnutím účinnosti vyhlášky. Návrh tak z hodnôt dostupných v čase účinnosti preberá tú najstaršiu a najnižšiu a jej účinok rozširuje trojročným zmrazením na celé obdobie. Pri ilustratívnom predpoklade 5 % ročného nominálneho rastu by rozdiel medzi zmrazenou hodnotou za rok 2024 a hodnotami, ktoré jednotlivým rokom zodpovedajú podľa § 7 ods. 4 zákona, dosiahol v roku 2029 približne 13,6 %; v hornom pásme § 1 by spolu so znížením násobku išlo o pokles prahovej hodnoty rádovo o tretinu oproti platnému stavu.</w:t>
              <w:br/>
            </w:r>
            <w:r>
              <w:rPr>
                <w:b w:val="off"/>
                <w:color w:val="000000"/>
                <w:rFonts w:ascii="Times New Roman" w:hAnsi="Times New Roman" w:cs="Times New Roman" w:eastAsia="Times New Roman"/>
                <w:sz w:val="24"/>
              </w:rPr>
              <w:t>Žiadame ako referenčnú hodnotu HDP ustanoviť hodnotu za rok 2025 zverejnenú Štatistickým úradom Slovenskej republiky k 31. októbru 2026, ktorá podľa § 7 ods. 4 zákona zodpovedá prahovým hodnotám určovaným v roku 2027, teda v prvom celom roku uplatňovania vyhlášky. Ak predkladateľ zotrvá na údaji za rok 2024, žiadame túto voľbu odôvodniť a dopad prepočítať na aktuálnej makroekonomickej prognóze Ministerstva financií Slovenskej republiky a zverejniť ho.</w:t>
              <w:br/>
            </w:r>
            <w:r>
              <w:rPr>
                <w:b w:val="off"/>
                <w:color w:val="000000"/>
                <w:rFonts w:ascii="Times New Roman" w:hAnsi="Times New Roman" w:cs="Times New Roman" w:eastAsia="Times New Roman"/>
                <w:sz w:val="24"/>
              </w:rPr>
              <w:t>K § 2b žiadame jednoznačne určiť začiatok a koniec trojročného obdobia a deň, od ktorého sa uplatní aktualizovaná referenčná hodnota, aby po jeho uplynutí nevznikla medzera obdobná tej, na ktorú upozorňujeme v pripomienke k čl. II. Zároveň upozorňujeme, že § 2b v časti o trvaní zmrazenia a o povinnosti aktualizácie doslovne opakuje štvrtú a piatu vetu § 7 ods. 3 zákona; takúto duplicitnú úpravu odporúčame vypustiť.--</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§2c</w:t>
              <w:br/>
            </w:r>
            <w:r>
              <w:rPr>
                <w:b w:val="off"/>
                <w:color w:val="000000"/>
                <w:rFonts w:ascii="Times New Roman" w:hAnsi="Times New Roman" w:cs="Times New Roman" w:eastAsia="Times New Roman"/>
                <w:sz w:val="24"/>
              </w:rPr>
              <w:t>§2c</w:t>
              <w:br/>
            </w:r>
            <w:r>
              <w:rPr>
                <w:b w:val="off"/>
                <w:color w:val="000000"/>
                <w:rFonts w:ascii="Times New Roman" w:hAnsi="Times New Roman" w:cs="Times New Roman" w:eastAsia="Times New Roman"/>
                <w:sz w:val="24"/>
              </w:rPr>
              <w:t>Návrh:</w:t>
              <w:br/>
            </w:r>
            <w:r>
              <w:rPr>
                <w:b w:val="off"/>
                <w:color w:val="000000"/>
                <w:rFonts w:ascii="Times New Roman" w:hAnsi="Times New Roman" w:cs="Times New Roman" w:eastAsia="Times New Roman"/>
                <w:sz w:val="24"/>
              </w:rPr>
              <w:t>Navrhujeme doplniť §2c v znení:</w:t>
              <w:br/>
            </w:r>
            <w:r>
              <w:rPr>
                <w:b w:val="off"/>
                <w:color w:val="000000"/>
                <w:rFonts w:ascii="Times New Roman" w:hAnsi="Times New Roman" w:cs="Times New Roman" w:eastAsia="Times New Roman"/>
                <w:sz w:val="24"/>
              </w:rPr>
              <w:t>Prechodné ustanovenie k úpravám účinným od 1. decembra 2026</w:t>
              <w:br/>
            </w:r>
            <w:r>
              <w:rPr>
                <w:b w:val="off"/>
                <w:color w:val="000000"/>
                <w:rFonts w:ascii="Times New Roman" w:hAnsi="Times New Roman" w:cs="Times New Roman" w:eastAsia="Times New Roman"/>
                <w:sz w:val="24"/>
              </w:rPr>
              <w:t>Na konania začaté a právoplatne neskončené do 30. novembra 2026 sa vzťahuje táto vyhláška v znení účinnom do 30. novembra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nevyhnutné doplniť prechodné ustanovenie, podľa ktorého sa konania začaté pred nadobudnutím účinnosti tejto vyhlášky dokončia podľa právnej úpravy účinnej do 30. novembra 2026. Takáto úprava zabezpečí súlad s prechodným režimom zákona č. 363/2011 Z. z., právnu istotu účastníkov konania a zabráni tomu, aby sa počas už prebiehajúceho konania zmenili pravidlá posudzovania nákladovej efektívnosti.</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účinnosť 1. decembra 2026</w:t>
              <w:br/>
            </w:r>
            <w:r>
              <w:rPr>
                <w:b w:val="off"/>
                <w:color w:val="000000"/>
                <w:rFonts w:ascii="Times New Roman" w:hAnsi="Times New Roman" w:cs="Times New Roman" w:eastAsia="Times New Roman"/>
                <w:sz w:val="24"/>
              </w:rPr>
              <w:t>Navrhujeme prehodnotiť termín účinnosti 1. decembra 2026 s ohľadom na pripomienky k § 2a a § 2b (hodnota HDP pre rok 2025), potrebu úpravy podkladov a súvisiace metodické zmeny. Navrhujeme zvážiť začiatok účinnosti k 1. januáru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prípade akceptovania navrhujeme upraviť prechodné ustanovenie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§2c v znení:</w:t>
              <w:br/>
            </w:r>
            <w:r>
              <w:rPr>
                <w:b w:val="off"/>
                <w:color w:val="000000"/>
                <w:rFonts w:ascii="Times New Roman" w:hAnsi="Times New Roman" w:cs="Times New Roman" w:eastAsia="Times New Roman"/>
                <w:sz w:val="24"/>
              </w:rPr>
              <w:t>Prechodné ustanovenie k úpravám účinným od 1. januára 2027</w:t>
              <w:br/>
            </w:r>
            <w:r>
              <w:rPr>
                <w:b w:val="off"/>
                <w:color w:val="000000"/>
                <w:rFonts w:ascii="Times New Roman" w:hAnsi="Times New Roman" w:cs="Times New Roman" w:eastAsia="Times New Roman"/>
                <w:sz w:val="24"/>
              </w:rPr>
              <w:t>Na konania začaté a právoplatne neskončené do 31. decembra 2026 sa vzťahuje táto vyhláška v znení účinnom do 31. decembra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nevyhnutné doplniť prechodné ustanovenie, podľa ktorého sa konania začaté pred nadobudnutím účinnosti tejto vyhlášky dokončia podľa právnej úpravy účinnej do nadobudnutia účinnosti tejto vyhlášky.</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Zásadná pripomienka: účinnosť: medzera medzi účinnosťou zákona a vyhlášky a chýbajúce prechodné pravidlo</w:t>
              <w:br/>
            </w:r>
            <w:r>
              <w:rPr>
                <w:b w:val="off"/>
                <w:color w:val="000000"/>
                <w:rFonts w:ascii="Times New Roman" w:hAnsi="Times New Roman" w:cs="Times New Roman" w:eastAsia="Times New Roman"/>
                <w:sz w:val="24"/>
              </w:rPr>
              <w:t>Novela zákona 363/2011 Z.z. nadobúda účinnosť 1. novembra 2026 a novelizačné body týkajúce sa § 7 ods. 3 a 4 nie sú medzi ustanoveniami s odloženou účinnosťou. Od 1. novembra 2026 teda platí, že na výpočet prahovej hodnoty sa použije referenčná hodnota HDP definovaná vo všeobecne záväznom právnom predpise, ktorý vydá ministerstvo. Návrh však nadobúda účinnosť až 1. decembra 2026 a vyhláška č. 298/2022 Z. z. v doterajšom znení žiadnu referenčnú hodnotu HDP nedefinuje. V období od 1. novembra do 30. novembra 2026 by tak § 7 ods. 3 zákona odkazoval na údaj, ktorý nie je v žiadnom všeobecne záväznom právnom predpise ustanovený.</w:t>
              <w:br/>
            </w:r>
            <w:r>
              <w:rPr>
                <w:b w:val="off"/>
                <w:color w:val="000000"/>
                <w:rFonts w:ascii="Times New Roman" w:hAnsi="Times New Roman" w:cs="Times New Roman" w:eastAsia="Times New Roman"/>
                <w:sz w:val="24"/>
              </w:rPr>
              <w:t>Prechodné ustanovenie § 98k ods. 8 zákona rieši konania začaté do 31. októbra 2026, ktoré sa posúdia podľa zákona v znení účinnom do 31. októbra 2026. Nerieši však konania začaté od 1. novembra 2026, na ktoré sa už vzťahuje nové znenie § 7 ods. 3, ani určenie prahovej hodnoty v konaniach, ktoré budú prebiehať cez 1. december 2026. Prahová hodnota je pritom parameter, od ktorého sa odvíja celá cenová konštrukcia žiadosti; jej zmena v priebehu konania mení rozhodujúci ekonomický predpoklad po tom, ako bol farmako-ekonomický rozbor spracovaný a navrhnutá cena odvodená.</w:t>
              <w:br/>
            </w:r>
            <w:r>
              <w:rPr>
                <w:b w:val="off"/>
                <w:color w:val="000000"/>
                <w:rFonts w:ascii="Times New Roman" w:hAnsi="Times New Roman" w:cs="Times New Roman" w:eastAsia="Times New Roman"/>
                <w:sz w:val="24"/>
              </w:rPr>
              <w:t>Žiadame zosúladiť účinnosť vyhlášky s účinnosťou zákona, teda ustanoviť účinnosť na 1. novembra 2026, čím medzera zanikne. Subsidiárne žiadame doplniť prechodné ustanovenie, ktoré pre obdobie od 1. novembra do 30. novembra 2026 určí použiteľnú referenčnú hodnotu HDP. V oboch prípadoch žiadame výslovne určiť, že pre určenie prahovej hodnoty je rozhodujúci deň podania žiadosti, a to aj pri doplnení žiadosti na výzvu, a zabezpečiť primerané adaptačné obdobie, keďže rozpracované a ešte nepodané rozbory sú postavené na doterajších prahových hodnotách.-</w:t>
              <w:br/>
            </w:r>
            <w:r>
              <w:rPr>
                <w:b w:val="off"/>
                <w:color w:val="000000"/>
                <w:rFonts w:ascii="Times New Roman" w:hAnsi="Times New Roman" w:cs="Times New Roman" w:eastAsia="Times New Roman"/>
                <w:sz w:val="24"/>
              </w:rPr>
              <w:t>Keďže novela zákona č. 363/2011 Z. z. už bola schválená, nemožno sa spoliehať na dodatočné spresnenie prechodného režimu na úrovni zákona. Žiadame preto, aby vyhláška v rozsahu zákonného splnomocnenia jednoznačne upravila uplatňovanie prahových hodnôt na konania začaté pred jej účinnosťou vrátane doplnení už podaných žiadostí na výzvu a odstránila právnu neistotu pri konaniach začatých medzi účinnosťou zákona a vyhlášky.</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Koordinácia s novelou vyhlášky č. 422/2011 Z. z. a s metodickou príručkou</w:t>
              <w:br/>
            </w:r>
            <w:r>
              <w:rPr>
                <w:b w:val="off"/>
                <w:color w:val="000000"/>
                <w:rFonts w:ascii="Times New Roman" w:hAnsi="Times New Roman" w:cs="Times New Roman" w:eastAsia="Times New Roman"/>
                <w:sz w:val="24"/>
              </w:rPr>
              <w:t>Súbežne predkladaná novela vyhlášky č. 422/2011 Z. z. povyšuje metodickú príručku a šablónu farmako-ekonomického rozboru na prílohy vyhlášky, pričom metodická príručka už uvádza prahové hodnoty na úrovni 1,25-, 2- a 2,3-násobku a 4- a 8-násobku. Obidva predpisy tak budú všeobecne záväzné a budú upravovať tú istú vec. Ak sa ich znenie alebo účinnosť rozídu, a to vrátane vymedzenia referenčnej hodnoty HDP, hraníc pásiem ΔQALY a okruhu kategórií liekov podľa § 2, vznikne priamy rozpor dvoch všeobecne záväzných právnych predpisov a neistota pri určení úhrady.</w:t>
              <w:br/>
            </w:r>
            <w:r>
              <w:rPr>
                <w:b w:val="off"/>
                <w:color w:val="000000"/>
                <w:rFonts w:ascii="Times New Roman" w:hAnsi="Times New Roman" w:cs="Times New Roman" w:eastAsia="Times New Roman"/>
                <w:sz w:val="24"/>
              </w:rPr>
              <w:t>Žiadame zosúladiť znenie a účinnosť oboch návrhov tak, aby metodická príručka v čase nadobudnutia účinnosti zodpovedala zneniu vyhlášky č. 298/2022 Z. z., a prahové hodnoty upraviť len v jednom z predpisov, pričom druhý na ne bude odkazovať. Zmeny vykonané na základe tohto pripomienkového konania žiadame premietnuť do oboch návrhov súčasne.</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 k materiálu ako celku (väzba na novelu vyhlášky č. 422/2011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zosúladiť znenie a účinnosť oboch návrhov tak, aby metodická príručka neobsahovala explicitné výšky prahových hodnôt, aby prahové hodnoty bolo možné a postačujúce upraviť len v jednom z predpisov, a to vo vyhláške 298/2022 pričom druhý na ne bude odkazovať.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Súbežne predkladaná novela vyhlášky č. 422/2011 Z. z. povyšuje metodickú príručku a šablónu farmako-ekonomického rozboru na prílohy vyhlášky, pričom metodická príručka už uvádza prahové hodnoty na úrovni 1,25-, 2- a 2,3-násobku a 4- a 8-násobku. Obidva predpisy tak budú všeobecne záväzné a budú upravovať tú istú vec. Ak sa ich znenie alebo účinnosť rozídu, a to vrátane vymedzenia referenčnej hodnoty HDP, hraníc pásiem ΔQALY a okruhu kategórií liekov podľa § 2, vznikne priamy rozpor dvoch všeobecne záväzných právnych predpisov a neistota pri určení úhrady.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 – ust. § 1</w:t>
              <w:br/>
            </w:r>
            <w:r>
              <w:rPr>
                <w:b w:val="off"/>
                <w:color w:val="000000"/>
                <w:rFonts w:ascii="Times New Roman" w:hAnsi="Times New Roman" w:cs="Times New Roman" w:eastAsia="Times New Roman"/>
                <w:sz w:val="24"/>
              </w:rPr>
              <w:t>Žiadame vypustiť novelizačný bod 1 do predloženia a vyhodnotenia kvantifikovanej analýzy vplyvov. Pred ďalším legislatívnym postupom žiadame zverejniť: (i) rozdelenie pomeru akceptovaného ICER k platnej prahovej hodnote za kategorizačné rozhodnutia za posledných päť rokov, vrátane podielu rozhodnutí v pásme 90 až 100 % prahu; (ii) spätný prepočet rozhodnutí, ktoré by pri navrhovaných násobkoch nesplnili kritérium podľa § 7 ods. 2 písm. a) zákona; (iii) odhad vplyvu na počet a načasovanie žiadostí o zaradenie do zoznamu kategorizovaných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znižuje prahovú hodnotu vo všetkých pásmach okrem pásma ΔQALY od 0,20 do 0,33. Pri ΔQALY nad 0 a menej ako 0,20 klesá z 2-násobku (48 026,80 eura) na 1,25-násobok (30 016,75 eura), t. j. o 37,5 %; pri ΔQALY od 0,33 do 0,50 z 3-násobku (72 040,20 eura) na 2-násobok (48 026,80 eura), t. j. o 33,3 %; pri ΔQALY 0,50 a viac z 3-násobku na 2,3-násobok (55 230,82 eura), t. j. o 23,3 %. Zákon pritom v § 7 ods. 3 pripúšťa násobok až 3; návrh podzákonným predpisom odoberá približne štvrtinu priestoru, ktorý zákonodarca vytvoril, bez toho, aby sa zákon menil.</w:t>
              <w:br/>
            </w:r>
            <w:r>
              <w:rPr>
                <w:b w:val="off"/>
                <w:color w:val="000000"/>
                <w:rFonts w:ascii="Times New Roman" w:hAnsi="Times New Roman" w:cs="Times New Roman" w:eastAsia="Times New Roman"/>
                <w:sz w:val="24"/>
              </w:rPr>
              <w:t xml:space="preserve">Predkladateľ spája návrh s cieľom zlepšiť dostupnosť liekov. Návrh však neobsahuje kvantifikovanú analýzu, ktorá by takýto účinok preukazovala. </w:t>
              <w:br/>
            </w:r>
            <w:r>
              <w:rPr>
                <w:b w:val="off"/>
                <w:color w:val="000000"/>
                <w:rFonts w:ascii="Times New Roman" w:hAnsi="Times New Roman" w:cs="Times New Roman" w:eastAsia="Times New Roman"/>
                <w:sz w:val="24"/>
              </w:rPr>
              <w:t>Upozorňujeme tiež, že zníženie podľa § 1 sa celým rozsahom dotýka bežných liekov, teda indikácií s najvyšším počtom pacientov, kde je populačný prínos liečby najväčší.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 – ust. § 1 – 2</w:t>
              <w:br/>
            </w:r>
            <w:r>
              <w:rPr>
                <w:b w:val="off"/>
                <w:color w:val="000000"/>
                <w:rFonts w:ascii="Times New Roman" w:hAnsi="Times New Roman" w:cs="Times New Roman" w:eastAsia="Times New Roman"/>
                <w:sz w:val="24"/>
              </w:rPr>
              <w:t>Násobok hrubého domáceho produktu Slovenskej republiky na obyvateľa podľa § 7 ods. 3 zákona je</w:t>
              <w:br/>
            </w:r>
            <w:r>
              <w:rPr>
                <w:b w:val="off"/>
                <w:color w:val="000000"/>
                <w:rFonts w:ascii="Times New Roman" w:hAnsi="Times New Roman" w:cs="Times New Roman" w:eastAsia="Times New Roman"/>
                <w:sz w:val="24"/>
              </w:rPr>
              <w:t>a) jedna celá dvadsaťpäť stotín, ak rozdiel medzi získaným rokom života štandardizovanej kvality pri použití posudzovaného lieku a získaným rokom života štandardizovanej kvality pri použití relevantného komparátora je väčší ako 0 a menší ako 0,15,</w:t>
              <w:br/>
            </w:r>
            <w:r>
              <w:rPr>
                <w:b w:val="off"/>
                <w:color w:val="000000"/>
                <w:rFonts w:ascii="Times New Roman" w:hAnsi="Times New Roman" w:cs="Times New Roman" w:eastAsia="Times New Roman"/>
                <w:sz w:val="24"/>
              </w:rPr>
              <w:t>b) dva, ak rozdiel medzi získaným rokom života štandardizovanej kvality pri použití posudzovaného lieku a získaným rokom života štandardizovanej kvality pri použití relevantného komparátora je 0,15 a viac a menší ako 0,50.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prahové hodnoty síce vnímame ako výsledok kompromisu medzi potrebou zohľadniť aktuálny stav verejných financií a potrebou zachovať dostupnosť inovatívnej liečby, napriek tomu ich považujeme za nastavené príliš nízko. V porovnaní so súčasnou právnou úpravou dochádza najmä pri štandardných liekoch k významnému zníženiu prahových hodnôt, ktoré sa bude týkať širokého spektra liekov vrátane liekov určených na liečbu závažných onkologických, neurologických, autoimunitných a ďalších ochorení. Keďže na Slovensku predstavuje prahová hodnota nákladovej efektívnosti zásadné kritérium vstupu lieku do systému úhrad, jej neprimerané zníženie môže významne obmedziť dostupnosť nových liekov pre pacientov. Navrhujeme preto prahové hodnoty prehodnotiť a nastaviť ich na vyššej úrovni tak, aby primerane reflektovali rozpočtové možnosti systému, ale zároveň nevytvárali neprimeranú prekážku vstupu inovatívnej liečby.</w:t>
              <w:br/>
            </w:r>
            <w:r>
              <w:rPr>
                <w:b w:val="off"/>
                <w:color w:val="000000"/>
                <w:rFonts w:ascii="Times New Roman" w:hAnsi="Times New Roman" w:cs="Times New Roman" w:eastAsia="Times New Roman"/>
                <w:sz w:val="24"/>
              </w:rPr>
              <w:t>Zavedenie troch úrovní prahových hodnôt pre bežné lieky reflektuje snahu systému diferencovať ochotu platiť podľa veľkosti zdravotného prínosu lieku:</w:t>
              <w:br/>
            </w:r>
            <w:r>
              <w:rPr>
                <w:b w:val="off"/>
                <w:color w:val="000000"/>
                <w:rFonts w:ascii="Times New Roman" w:hAnsi="Times New Roman" w:cs="Times New Roman" w:eastAsia="Times New Roman"/>
                <w:sz w:val="24"/>
              </w:rPr>
              <w:t>Hranica pre lieky s najnižším prínosom (inkrementálny prínos QALY menej ako 0,15)</w:t>
              <w:br/>
            </w:r>
            <w:r>
              <w:rPr>
                <w:b w:val="off"/>
                <w:color w:val="000000"/>
                <w:rFonts w:ascii="Times New Roman" w:hAnsi="Times New Roman" w:cs="Times New Roman" w:eastAsia="Times New Roman"/>
                <w:sz w:val="24"/>
              </w:rPr>
              <w:t>Zavedenie samostatného pásma pre lieky s inkrementálnym prínosom &lt;0,15 QALY reflektuje zámer systému vyhradiť najnižší násobok HDP pre lieky s nízkym klinickým prínosom.</w:t>
              <w:br/>
            </w:r>
            <w:r>
              <w:rPr>
                <w:b w:val="off"/>
                <w:color w:val="000000"/>
                <w:rFonts w:ascii="Times New Roman" w:hAnsi="Times New Roman" w:cs="Times New Roman" w:eastAsia="Times New Roman"/>
                <w:sz w:val="24"/>
              </w:rPr>
              <w:t>Aktuálne systém za najnižší prínos liekov považoval všetko pod 0,33 inkrementálneho QALY, približne 4 mesiace v plnom zdraví (0,33 x 365 = 120 dní). Prerokovaná hranica &lt;0,15 inkrementálneho QALY predstavuje približne 2 mesiace života v plnom zdraví (0,15 × 365 = 55 dní).</w:t>
              <w:br/>
            </w:r>
            <w:r>
              <w:rPr>
                <w:b w:val="off"/>
                <w:color w:val="000000"/>
                <w:rFonts w:ascii="Times New Roman" w:hAnsi="Times New Roman" w:cs="Times New Roman" w:eastAsia="Times New Roman"/>
                <w:sz w:val="24"/>
              </w:rPr>
              <w:t>Nová hranica pre lieky s najnižším prínosom predstavuje zúženie rozsahu najnižšieho pásma o viac ako 55 % oproti súčasnému systému.</w:t>
              <w:br/>
            </w:r>
            <w:r>
              <w:rPr>
                <w:b w:val="off"/>
                <w:color w:val="000000"/>
                <w:rFonts w:ascii="Times New Roman" w:hAnsi="Times New Roman" w:cs="Times New Roman" w:eastAsia="Times New Roman"/>
                <w:sz w:val="24"/>
              </w:rPr>
              <w:t xml:space="preserve">Hranica 0,15 QALY bola zvolená tak, aby najnižšie prahové pásmo zostalo vyhradené pre lieky s naozaj nízkym klinickým prínosom a aby liečby chronických ochorení s klinicky relevantným benefitom boli hodnotené v štandardnom pásme. Pri chronických ochoreniach je nižší prírastok QALY často prirodzenou charakteristikou ochorenia a dlhého prežívania pacientov, nie odrazom nízkeho klinického prínosu liečby. </w:t>
              <w:br/>
            </w:r>
            <w:r>
              <w:rPr>
                <w:b w:val="off"/>
                <w:color w:val="000000"/>
                <w:rFonts w:ascii="Times New Roman" w:hAnsi="Times New Roman" w:cs="Times New Roman" w:eastAsia="Times New Roman"/>
                <w:sz w:val="24"/>
              </w:rPr>
              <w:t>Interval pre lieky so stredným prínosom (inkrementálny prínos QALY ≥0,15 a &lt;0,5)</w:t>
              <w:br/>
            </w:r>
            <w:r>
              <w:rPr>
                <w:b w:val="off"/>
                <w:color w:val="000000"/>
                <w:rFonts w:ascii="Times New Roman" w:hAnsi="Times New Roman" w:cs="Times New Roman" w:eastAsia="Times New Roman"/>
                <w:sz w:val="24"/>
              </w:rPr>
              <w:t>Ide o interval liekov, ktorý prináša pacientom klinicky prínos zodpovedajúci približne 2 až 6 mesiacov života v plnom zdraví (0,15 = 55 dní a 0,5 = 183 dní)</w:t>
              <w:br/>
            </w:r>
            <w:r>
              <w:rPr>
                <w:b w:val="off"/>
                <w:color w:val="000000"/>
                <w:rFonts w:ascii="Times New Roman" w:hAnsi="Times New Roman" w:cs="Times New Roman" w:eastAsia="Times New Roman"/>
                <w:sz w:val="24"/>
              </w:rPr>
              <w:t>Do tejto skupiny prirodzene patria aj mnohé liečby chronických ochorení, pri ktorých sa klinický prínos prejavuje najmä zlepšením kvality života, znížením symptómov alebo oddialením progresie ochorenia.</w:t>
              <w:br/>
            </w:r>
            <w:r>
              <w:rPr>
                <w:b w:val="off"/>
                <w:color w:val="000000"/>
                <w:rFonts w:ascii="Times New Roman" w:hAnsi="Times New Roman" w:cs="Times New Roman" w:eastAsia="Times New Roman"/>
                <w:sz w:val="24"/>
              </w:rPr>
              <w:t>Hranica pre lieky s najvyšším prínosom (inkrementálny prínos QALY ≥0,5)</w:t>
              <w:br/>
            </w:r>
            <w:r>
              <w:rPr>
                <w:b w:val="off"/>
                <w:color w:val="000000"/>
                <w:rFonts w:ascii="Times New Roman" w:hAnsi="Times New Roman" w:cs="Times New Roman" w:eastAsia="Times New Roman"/>
                <w:sz w:val="24"/>
              </w:rPr>
              <w:t>Ide o lieky so signifikantným prínosom pre pacientov, zodpovedajúcim viac ako 6 mesiacom života v plnom zdraví (0,5 = 183 dní).</w:t>
              <w:br/>
            </w:r>
            <w:r>
              <w:rPr>
                <w:b w:val="off"/>
                <w:color w:val="000000"/>
                <w:rFonts w:ascii="Times New Roman" w:hAnsi="Times New Roman" w:cs="Times New Roman" w:eastAsia="Times New Roman"/>
                <w:sz w:val="24"/>
              </w:rPr>
              <w:t>Hranica 0,5 QALY predstavuje ekvivalent viac ako šiestich mesiacov života v plnom zdraví, čo je možné považovať za vysoký prínos z pohľadu pacienta aj zdravotného systému.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 – ust. § 2</w:t>
              <w:br/>
            </w:r>
            <w:r>
              <w:rPr>
                <w:b w:val="off"/>
                <w:color w:val="000000"/>
                <w:rFonts w:ascii="Times New Roman" w:hAnsi="Times New Roman" w:cs="Times New Roman" w:eastAsia="Times New Roman"/>
                <w:sz w:val="24"/>
              </w:rPr>
              <w:t>Žiadame v § 2 jednoznačne určiť, že ak posudzovaná indikácia zahŕňa pediatrickú populáciu, postupuje sa podľa § 2 vo vzťahu k celej posudzovanej indikácii. Ak predkladateľ zvolí odlišné riešenie, žiadame upraviť, ako sa prahová hodnota určí pri modeli zahŕňajúcom obe populácie, najmä či sa pediatrická podskupina posudzuje samostatne a ako sa výsledky oboch posúdení premietnu do určenia úhrady.</w:t>
              <w:br/>
            </w:r>
            <w:r>
              <w:rPr>
                <w:b w:val="off"/>
                <w:color w:val="000000"/>
                <w:rFonts w:ascii="Times New Roman" w:hAnsi="Times New Roman" w:cs="Times New Roman" w:eastAsia="Times New Roman"/>
                <w:sz w:val="24"/>
              </w:rPr>
              <w:t>Zároveň žiadame doplniť znenie poznámok pod čiarou k odkazom 1) a 2), ktoré navrhované znenie § 2 používa, ale nereprodukuje, a zosúladiť ich s vymedzeniami a odkazmi podľa § 2 zákona tak, aby vyhláška nezaviedla odlišné vymedzenie tých istých pojmov.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Zaradenie liekov na pediatrickú indikáciu do režimu § 2 podporujeme. Zákon preň vytvoril základ: § 7 ods. 3 pripúšťa násobok až 10 aj pre lieky na pediatrickú indikáciu a § 2 písm. aa) zákona tento pojem vymedzuje.</w:t>
              <w:br/>
            </w:r>
            <w:r>
              <w:rPr>
                <w:b w:val="off"/>
                <w:color w:val="000000"/>
                <w:rFonts w:ascii="Times New Roman" w:hAnsi="Times New Roman" w:cs="Times New Roman" w:eastAsia="Times New Roman"/>
                <w:sz w:val="24"/>
              </w:rPr>
              <w:t>Zákonné vymedzenie je dvojprvkové: liek musí byť povolený na používanie v časti alebo v celej detskej populácii a zároveň musí byť posudzovaný vo vzťahu k pediatrickej indikácii. Návrh neupravuje, ako sa § 2 uplatní, ak posudzovaná indikácia zahŕňa pediatrickú aj dospelú populáciu, čo je pri liekoch povolených pre časť detskej populácie bežná situácia. Rozdiel je pritom zásadný: pri ΔQALY 0,50 a viac ide o 2,3-násobok (55 230,82 eura) podľa § 1 oproti 8-násobku (192 107,20 eura) podľa § 2. Držiteľ registrácie musí poznať odpoveď pred podaním žiadosti, pretože od nej závisí celá cenová konštrukcia.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3 – ust. § 2b</w:t>
              <w:br/>
            </w:r>
            <w:r>
              <w:rPr>
                <w:b w:val="off"/>
                <w:color w:val="000000"/>
                <w:rFonts w:ascii="Times New Roman" w:hAnsi="Times New Roman" w:cs="Times New Roman" w:eastAsia="Times New Roman"/>
                <w:sz w:val="24"/>
              </w:rPr>
              <w:t>Navrhujeme nahradiť § 2b týmto znením: „Ministerstvo zdravotníctva Slovenskej republiky aktualizuje referenčnú hodnotu HDP uvedenú v § 2a najmenej raz za dva roky všeobecne záväzným právnym predpisom. Pri aktualizácii uvedie použitý referenčný rok a zdroj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trojročná fixácia môže viesť k dlhšiemu nesúladu medzi hodnotou použitou na výpočet prahov a aktuálnymi ekonomickými podmienkami. Dvojročný interval predstavuje kompromis medzi stabilitou a aktualizáciou vstupných parametrov. Zároveň sa odstraňuje nejasnosť, z akého referenčného obdobia sa bude pri ďalšej aktualizácii vychádzať.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3 – ust. § 2b</w:t>
              <w:br/>
            </w:r>
            <w:r>
              <w:rPr>
                <w:b w:val="off"/>
                <w:color w:val="000000"/>
                <w:rFonts w:ascii="Times New Roman" w:hAnsi="Times New Roman" w:cs="Times New Roman" w:eastAsia="Times New Roman"/>
                <w:sz w:val="24"/>
              </w:rPr>
              <w:t>Žiadame v § 2b jednoznačne určiť začiatok a koniec trojročného obdobia a deň uplatnenia aktualizovanej referenčnej hodnoty HDP. Zároveň navrhujeme vypustiť duplicitnú úpravu trvania zmrazenia a povinnosti aktualizácie, ktorá opakuje § 7 ods. 3 štvrtú a piatu vetu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Bez presného určenia začiatku a konca trojročného obdobia a dátumu aktualizácie môže vzniknúť interpretačná medzera po uplynutí obdobia. Duplicitné opakovanie zákonných ustanovení vo vykonávacom predpise je nadbytočné.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3 – ust. § 2b</w:t>
              <w:br/>
            </w:r>
            <w:r>
              <w:rPr>
                <w:b w:val="off"/>
                <w:color w:val="000000"/>
                <w:rFonts w:ascii="Times New Roman" w:hAnsi="Times New Roman" w:cs="Times New Roman" w:eastAsia="Times New Roman"/>
                <w:sz w:val="24"/>
              </w:rPr>
              <w:t>Referenčná hodnota HDP uvedená v § 2a sa nemení počas obdobia dvoch rokov od nadobudnutia účinnosti tejto vyhlášky; po uplynutí tohto obdobia Ministerstvo zdravotníctva Slovenskej republiky referenčnú hodnotu HDP aktualizuje všeobecne záväzným právnym predpisom.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upraviť § 2b tak, aby sa referenčná hodnota HDP aktualizovala každoročne, prípadne v kratšom intervale ako tri roky. Používanie nezmenenej hodnoty počas troch rokov môže spôsobiť, že prahové hodnoty nebudú zohľadňovať aktuálny ekonomický vývoj. Pravidelná aktualizácia podľa objektívnych a vopred stanovených údajov by zároveň zachovala transparentnosť a predvídateľnosť systému bez potreby opakovaného rozhodovania o samotnom mechanizme výpočtu.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3</w:t>
              <w:br/>
            </w:r>
            <w:r>
              <w:rPr>
                <w:b w:val="off"/>
                <w:color w:val="000000"/>
                <w:rFonts w:ascii="Times New Roman" w:hAnsi="Times New Roman" w:cs="Times New Roman" w:eastAsia="Times New Roman"/>
                <w:sz w:val="24"/>
              </w:rPr>
              <w:t xml:space="preserve">Navrhujeme doplniť §2c v znení: </w:t>
              <w:br/>
            </w:r>
            <w:r>
              <w:rPr>
                <w:b w:val="off"/>
                <w:color w:val="000000"/>
                <w:rFonts w:ascii="Times New Roman" w:hAnsi="Times New Roman" w:cs="Times New Roman" w:eastAsia="Times New Roman"/>
                <w:sz w:val="24"/>
              </w:rPr>
              <w:t>„Prechodné ustanovenie k úpravám účinným od 1. januára 2027.</w:t>
              <w:br/>
            </w:r>
            <w:r>
              <w:rPr>
                <w:b w:val="off"/>
                <w:color w:val="000000"/>
                <w:rFonts w:ascii="Times New Roman" w:hAnsi="Times New Roman" w:cs="Times New Roman" w:eastAsia="Times New Roman"/>
                <w:sz w:val="24"/>
              </w:rPr>
              <w:t>Na konania začaté a právoplatne neskončené do 31. decembra 2026 sa vzťahuje táto vyhláška v znení účinnom do 31. decembra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účinnosť od 1. decembra 2026 vytvára neistotu najmä pre žiadosti podané krátko pred týmto dátumom, teda v novembri 2026. Držitelia registrácie musia už pri príprave podania vedieť, podľa akých parametrov a dokumentačných požiadaviek bude ich žiadosť posúdená. Navrhované prechodné ustanovenie zabezpečí súlad s prechodným režimom zákona č. 363/2011 Z. z., právnu istotu účastníkov konania a zabráni tomu, aby sa pravidlá posudzovania nákladovej efektívnosti zmenili počas už prebiehajúceho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žiadame výslovne objasniť vzťah nových pravidiel k požadovanému obsahu a vzoru podania. Keďže samotná vyhláška č. 298/2022 Z. z. neurčuje všetky požiadavky na formulár žiadosti, je podľa potreby nevyhnutné zosúladiť aj súvisiace vykonávacie predpisy, a to s rovnakou účinnosťou.</w:t>
              <w:br/>
            </w:r>
            <w:r>
              <w:rPr>
                <w:b w:val="off"/>
                <w:color w:val="000000"/>
                <w:rFonts w:ascii="Times New Roman" w:hAnsi="Times New Roman" w:cs="Times New Roman" w:eastAsia="Times New Roman"/>
                <w:sz w:val="24"/>
              </w:rPr>
              <w:t>Je nevyhnutné doplniť prechodné ustanovenie, podľa ktorého sa konania začaté pred nadobudnutím účinnosti tejto vyhlášky dokončia podľa právnej úpravy účinnej do 30. novembra 2026. Takáto úprava zabezpečí súlad s prechodným režimom zákona č. 363/2011 Z. z., právnu istotu účastníkov konania a zabráni tomu, aby sa počas už prebiehajúceho konania zmenili pravidlá posudzovania nákladovej efektívnosti.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vloženie nového novelizačného bodu pred čl. II</w:t>
              <w:br/>
            </w:r>
            <w:r>
              <w:rPr>
                <w:b w:val="off"/>
                <w:color w:val="000000"/>
                <w:rFonts w:ascii="Times New Roman" w:hAnsi="Times New Roman" w:cs="Times New Roman" w:eastAsia="Times New Roman"/>
                <w:sz w:val="24"/>
              </w:rPr>
              <w:t xml:space="preserve">Navrhujeme vložiť prechodné ustanovenie v tomto znení: </w:t>
              <w:br/>
            </w:r>
            <w:r>
              <w:rPr>
                <w:b w:val="off"/>
                <w:color w:val="000000"/>
                <w:rFonts w:ascii="Times New Roman" w:hAnsi="Times New Roman" w:cs="Times New Roman" w:eastAsia="Times New Roman"/>
                <w:sz w:val="24"/>
              </w:rPr>
              <w:t xml:space="preserve">„Konania o žiadostiach začaté pred dňom nadobudnutia účinnosti tejto vyhlášky sa dokončia podľa právnych predpisov účinných v deň začatia konania.“ </w:t>
              <w:br/>
            </w:r>
            <w:r>
              <w:rPr>
                <w:b w:val="off"/>
                <w:color w:val="000000"/>
                <w:rFonts w:ascii="Times New Roman" w:hAnsi="Times New Roman" w:cs="Times New Roman" w:eastAsia="Times New Roman"/>
                <w:sz w:val="24"/>
              </w:rPr>
              <w:t>Následne žiadame primerane upraviť označenie článkov.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neobsahuje prechodné ustanovenia. Bez výslovnej úpravy vzniká právna neistota, ktoré prahové hodnoty a referenčná hodnota HDP sa uplatnia na už prebiehajúce konania. Zmena pravidiel počas posudzovania môže vyvolať potrebu prepracovania farmakoekonomických analýz a doplnenia podkladov, predĺžiť konania a nepriaznivo ovplyvniť včasný prístup pacientov k liečbe.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 ust. § 1 písm. a) až c)</w:t>
              <w:br/>
            </w:r>
            <w:r>
              <w:rPr>
                <w:b w:val="off"/>
                <w:color w:val="000000"/>
                <w:rFonts w:ascii="Times New Roman" w:hAnsi="Times New Roman" w:cs="Times New Roman" w:eastAsia="Times New Roman"/>
                <w:sz w:val="24"/>
              </w:rPr>
              <w:t>Žiadame doplniť do dôvodovej správy podrobné odborné a ekonomické zdôvodnenie navrhovaných troch pásiem prírastku QALY (0 &lt; QALY &lt; 0,20; 0,20 ≤ QALY &lt; 0,50; QALY ≥ 0,50) a k nim priradených násobkov HDP (1,25; 2; 2,3). Osobitne žiadame vysvetliť zmenu hranice prvého pásma z pôvodne diskutovanej hodnoty 0,15 na 0,20 QALY a posúdiť primeranosť takto nastavených hraníc z hľadiska dostupnosti liečby.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mení parametre prahových hodnôt s priamym dosahom na výsledok farmakoekonomického posúdenia. Bez transparentnej argumentácie nie je možné vyhodnotiť primeranosť hraníc, ich vplyv na rôzne skupiny terapií ani predvídateľnosť rozhodovania. Ide o požiadavku na odôvodnenie, nie o návrh konkrétneho náhradného číselného pásma.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 – ust. § 2a</w:t>
              <w:br/>
            </w:r>
            <w:r>
              <w:rPr>
                <w:b w:val="off"/>
                <w:color w:val="000000"/>
                <w:rFonts w:ascii="Times New Roman" w:hAnsi="Times New Roman" w:cs="Times New Roman" w:eastAsia="Times New Roman"/>
                <w:sz w:val="24"/>
              </w:rPr>
              <w:t>Žiadame v dôvodovej správe uviesť zdroj, metodiku výpočtu a dôvody výberu referenčnej hodnoty HDP na obyvateľa za rok 2025 vrátane vysvetlenia, prečo sa pre novú právnu úpravu používa práve rok 2024.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Referenčná hodnota HDP je základom výpočtu prahových hodnôt pre všetky dotknuté lieky. Jednoznačné uvedenie zdroja údajov a metodiky je nevyhnutné pre overiteľnosť výpočtov, transparentnosť a rovnakú aplikáciu pravidiel.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 xml:space="preserve">Žiadame prehodnotiť primeranosť termínu účinnosti 1. decembra 2026 s ohľadom na dátum vyhlásenia predpisu, potrebu úpravy podkladov a súvisiace metodické zmeny. </w:t>
              <w:br/>
            </w:r>
            <w:r>
              <w:rPr>
                <w:b w:val="off"/>
                <w:color w:val="000000"/>
                <w:rFonts w:ascii="Times New Roman" w:hAnsi="Times New Roman" w:cs="Times New Roman" w:eastAsia="Times New Roman"/>
                <w:sz w:val="24"/>
              </w:rPr>
              <w:t>Navrhujeme zvážiť začiatok účinnosti k 1. januáru 2027 pred jej začiatkom zverejniť jednoznačné usmernenie k uplatňovaniu právnej úpravy na prebiehajúce konania a podania pripravené pred účinnosťou.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Zmena parametrov posudzovania si vyžaduje prípravu držiteľov registrácie aj orgánov rozhodujúcich v konaniach. Dostatočná predvídateľnosť a koordinácia zavedenia zmien sú potrebné, aby nedochádzalo k nejednotnému postupu, administratívnym prieťahom a následnému predlžovaniu prístupu pacientov k liečbe.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 Slovenská onkologická spoločnosť</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čl. I bod č. 1 navrhujeme zachovať hodnoty násobku hrubého domáceho produktu aj hodnoty inkrementálneho prínosu vyjadreného v QALY určené v § 1 vyhlášky Ministerstva zdravotníctva SR č. 298/2022 Z. z. v aktuálnom znení. Navrhujeme pozmeniť iba terminológiu v nadväznosti na schválenú novelu zákona č. 363/2011 Z. z.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Znižovanie prahových hodnôt posudzovaných liekov nie je v súlade s cieľom prijatej novely zákona 363/2011 Z. z., ktorým je zlepšiť dostupnosť liekov na trhu Slovenskej republiky. Navrhované zníženie prahových hodnôt môže dosiahnutie tohto cieľa významne ohroziť.</w:t>
              <w:br/>
            </w:r>
            <w:r>
              <w:rPr>
                <w:b w:val="off"/>
                <w:color w:val="000000"/>
                <w:rFonts w:ascii="Times New Roman" w:hAnsi="Times New Roman" w:cs="Times New Roman" w:eastAsia="Times New Roman"/>
                <w:sz w:val="24"/>
              </w:rPr>
              <w:t xml:space="preserve">Upozorňujeme, že podľa § 1 vyhlášky sa bude určovať prahová hodnota vstupu aj pre onkologické lieky. Onkologické ochorenia spĺňajú novo zavedenú definíciu závažného ochorenia. Kým v pôvodnom návrhu novely zákona č. 363/2011 Z. z. mali byť pre tieto lieky stanovené prahové hodnoty samostatne ako je to v prípade liekov na ojedinelé ochorenie, liekov na pediatrickú indikáciu alebo liekov na inovatívnu liečbu, ministerstvo od tohto zámeru upustilo. Ich prahová hodnota pre vstup sa tak bude určovať rovnako ako v prípade iných „bežných“ liekov. Táto skutočnosť kladie nároky na stanovenie takých prahových hodnôt v § 1, ktoré budú onkologické a iné lieky určené na liečbu závažných ochorení schopné reálne dosiahnuť. Vzhľadom na aktuálny stav, keď aj pri súčasných prahových hodnotách majú niektoré onkologické lieky problém splniť v kategorizačnom konaní podmienku nákladovej efektívnosti, považujeme znižovanie prahových hodnôt za hazard. </w:t>
              <w:br/>
            </w:r>
            <w:r>
              <w:rPr>
                <w:b w:val="off"/>
                <w:color w:val="000000"/>
                <w:rFonts w:ascii="Times New Roman" w:hAnsi="Times New Roman" w:cs="Times New Roman" w:eastAsia="Times New Roman"/>
                <w:sz w:val="24"/>
              </w:rPr>
              <w:t xml:space="preserve">Znižovanie prahových hodnôt môže negatívne ovplyvniť aj využívanie § 7 ods. 5 držiteľmi registrácie liekov. Novelizované ustanovenie § 7 ods. 5 je významným nástrojom, ktorý má zrýchliť vstup nových liekov do systému. Podanie žiadosti podľa tohto ustanovenia si však vyžaduje určitú mieru istoty na strane držiteľa registrácie, že po 3 rokoch, kedy bude liek predmetom prehodnotenia, splní podmienku nákladovej efektívnosti. Ak však bude držiteľ predpokladať, že podmienku nákladovej efektívnosti po 3 rokoch nesplní, je pravdepodobné, že žiadosť o vstup podľa § 7 ods. 5 ani nepodá, a to kvôli povinnosti doliečiť pacientov počas určitého obdobia na vlastné náklady v prípade, ak dôjde k vyradeniu lieku zo zoznamu kategorizovaných liekov. </w:t>
              <w:br/>
            </w:r>
            <w:r>
              <w:rPr>
                <w:b w:val="off"/>
                <w:color w:val="000000"/>
                <w:rFonts w:ascii="Times New Roman" w:hAnsi="Times New Roman" w:cs="Times New Roman" w:eastAsia="Times New Roman"/>
                <w:sz w:val="24"/>
              </w:rPr>
              <w:t xml:space="preserve">Potreba zachovania vyšších prahových hodnôt pre vstup liekov je tiež odôvodnená povahou kritéria nákladovej efektívnosti, bez obligatórneho splnenia ktorého liek nie je možné zaradiť do zoznamu kategorizovaných liekov (s výnimkou § 7 ods. 5, pri ktorom je nutné splniť toto kritérium po 3 rokoch). O znižovaní prahových hodnôt pre vstup liekov je možné podľa nášho názoru uvažovať až v prípade, ak sa tento prístup zmení a nákladová efektívnosť bude iba jedným z posudzovaných kritérií, nie výlučné kritérium. </w:t>
              <w:br/>
            </w:r>
            <w:r>
              <w:rPr>
                <w:b w:val="off"/>
                <w:color w:val="000000"/>
                <w:rFonts w:ascii="Times New Roman" w:hAnsi="Times New Roman" w:cs="Times New Roman" w:eastAsia="Times New Roman"/>
                <w:sz w:val="24"/>
              </w:rPr>
              <w:t>Stotožňujeme sa s potrebou zabezpečenia udržateľnosti systému verejného zdravotného poistenia, dosiahnutie tohto cieľa však nesmie potierať dosiahnutie primárneho cieľa novely, ktorý je prezentovaný aj verejnosti.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 Slovenská onkologická spoločnosť</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2.	K čl. I bod č. 2 navrhujeme zachovať hodnoty násobku hrubého domáceho produktu aj hodnoty inkrementálneho prínosu vyjadreného v QALY určené v § 2 vyhlášky Ministerstva zdravotníctva SR č. 298/2022 Z. z. v  aktuálnom znení. Navrhujeme pozmeniť iba terminológiu v nadväznosti na schválenú novelu zákona č. 363/2011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Znižovanie prahových hodnôt posudzovaných liekov nie je v súlade s cieľom prijatej novely zákona 363/2011 Z. z., ktorým je zlepšiť dostupnosť liekov na trhu Slovenskej republiky. Navrhované zníženie prahových hodnôt môže dosiahnutie tohto cieľa významne ohroziť.</w:t>
              <w:br/>
            </w:r>
            <w:r>
              <w:rPr>
                <w:b w:val="off"/>
                <w:color w:val="000000"/>
                <w:rFonts w:ascii="Times New Roman" w:hAnsi="Times New Roman" w:cs="Times New Roman" w:eastAsia="Times New Roman"/>
                <w:sz w:val="24"/>
              </w:rPr>
              <w:t>Dovoľujeme si poukázať na skutočnosť, že kým podľa § 7 ods. 5 zákona č. 363/2011 Z. z. v aktuálnom znení nemusia lieky na inovatívnu liečbu a na ojedinelé ochorenia za určitých podmienok splniť podmienku nákladovej efektívnosti vôbec (t.zn. ani po 3 rokoch), po účinnosti novely zákona 363/2011 Z. z. už takáto výnimka platiť nebude. Vzhľadom na špecifiká liekov, ktorých prahové hodnoty pre vstup upravuje § 2 a na povahu kritéria nákladovej efektívnosti, ktoré je výlučným kritériom, nesúhlasíme so znižovaním prahových hodnôt, keďže by to mohlo negatívne ovplyvniť zaraďovanie týchto liekov do zoznamu kategorizovaných liekov.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w:t>
              <w:br/>
            </w:r>
            <w:r>
              <w:rPr>
                <w:b w:val="off"/>
                <w:color w:val="000000"/>
                <w:rFonts w:ascii="Times New Roman" w:hAnsi="Times New Roman" w:cs="Times New Roman" w:eastAsia="Times New Roman"/>
                <w:sz w:val="24"/>
              </w:rPr>
              <w:t xml:space="preserve">Navrhujeme za slová „liek na pediatrickú indikáciu“ vložiť odkaz na poznámku pod čiarou a v príslušnej poznámke pod čiarou uviesť odkaz na § 2 písm. aa) zákona zo 6. októbra, ktorým sa mení a dopĺňa zákon č. 363/2011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nezabudnutí. Platforma pomáhajúcich organizácií.</w:t>
              <w:br/>
            </w:r>
            <w:r>
              <w:rPr>
                <w:b w:val="off"/>
                <w:color w:val="000000"/>
                <w:rFonts w:ascii="Times New Roman" w:hAnsi="Times New Roman" w:cs="Times New Roman" w:eastAsia="Times New Roman"/>
                <w:sz w:val="24"/>
              </w:rPr>
              <w:t>nezabudnutí. Platforma pomáhajúcich organizácií.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1. Analýza sociálnych vplyvov, bod 4.1.1 písm. f) a bod 4.2 písm.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vplyv návrhu na dostupnosť liekov a prístup pacientov k nim kvantifikovať.</w:t>
              <w:br/>
            </w:r>
            <w:r>
              <w:rPr>
                <w:b w:val="off"/>
                <w:color w:val="000000"/>
                <w:rFonts w:ascii="Times New Roman" w:hAnsi="Times New Roman" w:cs="Times New Roman" w:eastAsia="Times New Roman"/>
                <w:sz w:val="24"/>
              </w:rPr>
              <w:t>Odôvodnenie: Návrh sa priamo týka detí a pacientov s ojedinelými ochoreniami, ktorí patria medzi zraniteľné skupiny obyvateľstva. Bez kvantifikácie nie je možné posúdiť, či je navrhovaný zásah primeraný.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nezabudnutí. Platforma pomáhajúcich organizácií.</w:t>
              <w:br/>
            </w:r>
            <w:r>
              <w:rPr>
                <w:b w:val="off"/>
                <w:color w:val="000000"/>
                <w:rFonts w:ascii="Times New Roman" w:hAnsi="Times New Roman" w:cs="Times New Roman" w:eastAsia="Times New Roman"/>
                <w:sz w:val="24"/>
              </w:rPr>
              <w:t>nezabudnutí. Platforma pomáhajúcich organizácií.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2. Bod materiálu č. 1, Čl. I, § 1 písm. a) a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 1 písm. a) a b) hodnotu „0,20“ nahradiť hodnotou „0,15“.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znižuje prahovú hodnotu pre lieky s prínosom do 0,20 QALY z dvojnásobku na 1,25-násobok HDP, teda o 37,5 %. Hranica 0,15 QALY zachováva zámer predkladateľa vyhradiť najnižšie pásmo pre lieky s naozaj nízkym prínosom. Keďže nákladová efektívnosť je na Slovensku rozhodujúcim kritériom vstupu lieku do systému úhrad, zníženie prahových hodnôt môže obmedziť dostupnosť liečby závažných ochorení. Túto zmenu navrhujeme preto, aby do najnižšieho pásma prahovej hodnoty nespadli lieky s klinicky významným prínosom pre pacientov.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nezabudnutí. Platforma pomáhajúcich organizácií.</w:t>
              <w:br/>
            </w:r>
            <w:r>
              <w:rPr>
                <w:b w:val="off"/>
                <w:color w:val="000000"/>
                <w:rFonts w:ascii="Times New Roman" w:hAnsi="Times New Roman" w:cs="Times New Roman" w:eastAsia="Times New Roman"/>
                <w:sz w:val="24"/>
              </w:rPr>
              <w:t>nezabudnutí. Platforma pomáhajúcich organizácií.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2a</w:t>
              <w:br/>
            </w:r>
            <w:r>
              <w:rPr>
                <w:b w:val="off"/>
                <w:color w:val="000000"/>
                <w:rFonts w:ascii="Times New Roman" w:hAnsi="Times New Roman" w:cs="Times New Roman" w:eastAsia="Times New Roman"/>
                <w:sz w:val="24"/>
              </w:rPr>
              <w:t>3. Bod materiálu č. 3, Čl. I, § 2a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 2a upraviť takto:</w:t>
              <w:br/>
            </w:r>
            <w:r>
              <w:rPr>
                <w:b w:val="off"/>
                <w:color w:val="000000"/>
                <w:rFonts w:ascii="Times New Roman" w:hAnsi="Times New Roman" w:cs="Times New Roman" w:eastAsia="Times New Roman"/>
                <w:sz w:val="24"/>
              </w:rPr>
              <w:t>„§ 2a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Referenčná hodnota HDP podľa § 7 ods. 3 zákona je hodnota hrubého domáceho produktu podľa § 7 ods. 4 zákona za rok 2025 vo výške ___ eura na obyvateľa.“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 7 ods. 4 zákona sa na určenie prahovej hodnoty použije hodnota HDP za kalendárny rok, ktorý dva roky predchádza roku, v ktorom sa prahová hodnota určuje. Ak vyhláška nadobudne účinnosť 1. januára 2027, prvé prahové hodnoty podľa nej sa budú určovať v roku 2027, pre ktorý je podľa § 7 ods. 4 zákona východiskom hodnota HDP za rok 2025. Použitie hodnoty za rok 2024 by tak nezodpovedalo zákonnému pravidlu už v prvom roku uplatňovania vyhlášky. Prahová hodnota priamo rozhoduje o tom, či nový liek bude pre pacientov dostupný bez potreby žiadať o úhradu na výnimku. Staršia referenčná hodnota by počas celých troch rokov sťažovala vstup nových liekov a pacienti by tak dlhšie čakali na liečbu, ktorá je pre nich v iných štátoch Európskej únie už dostupná.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nezabudnutí. Platforma pomáhajúcich organizácií.</w:t>
              <w:br/>
            </w:r>
            <w:r>
              <w:rPr>
                <w:b w:val="off"/>
                <w:color w:val="000000"/>
                <w:rFonts w:ascii="Times New Roman" w:hAnsi="Times New Roman" w:cs="Times New Roman" w:eastAsia="Times New Roman"/>
                <w:sz w:val="24"/>
              </w:rPr>
              <w:t>nezabudnutí. Platforma pomáhajúcich organizácií.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4. Čl. 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čl. II slová „1. decembra 2026“ nahradiť slovami „1. januára 2027“.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Zmena nadväzuje na pripomienku k § 2a. Účinnosť od 1. januára 2027 zosúladí začiatok uplatňovania referenčnej hodnoty HDP za rok 2025 s pravidlom podľa § 7 ods. 4 zákona a so začiatkom kalendárneho roka.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nezabudnutí. Platforma pomáhajúcich organizácií.</w:t>
              <w:br/>
            </w:r>
            <w:r>
              <w:rPr>
                <w:b w:val="off"/>
                <w:color w:val="000000"/>
                <w:rFonts w:ascii="Times New Roman" w:hAnsi="Times New Roman" w:cs="Times New Roman" w:eastAsia="Times New Roman"/>
                <w:sz w:val="24"/>
              </w:rPr>
              <w:t>nezabudnutí. Platforma pomáhajúcich organizácií.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5. Bod materiálu č. 3, Čl. I, nový § 2c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za § 2b vložiť § 2c, ktorý znie:</w:t>
              <w:br/>
            </w:r>
            <w:r>
              <w:rPr>
                <w:b w:val="off"/>
                <w:color w:val="000000"/>
                <w:rFonts w:ascii="Times New Roman" w:hAnsi="Times New Roman" w:cs="Times New Roman" w:eastAsia="Times New Roman"/>
                <w:sz w:val="24"/>
              </w:rPr>
              <w:t>„§ 2c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Prechodné ustanovenie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Konania začaté a právoplatne neskončené pred 1. januárom 2027 sa dokončia podľa predpisov účinných do 31. decembra 2026.“</w:t>
              <w:br/>
            </w:r>
            <w:r>
              <w:rPr>
                <w:b w:val="off"/>
                <w:color w:val="000000"/>
                <w:rFonts w:ascii="Times New Roman" w:hAnsi="Times New Roman" w:cs="Times New Roman" w:eastAsia="Times New Roman"/>
                <w:sz w:val="24"/>
              </w:rPr>
              <w:t>Odôvodnenie: Návrh neobsahuje prechodné ustanovenie. Žiadatelia, ktorí podali žiadosť pred účinnosťou vyhlášky, pripravili farmako-ekonomický rozbor podľa doterajších prahových hodnôt. Zmena pravidiel počas konania by bola v rozpore s princípom právnej istoty a mohla by viesť k zamietnutiu alebo späťvzatiu žiadostí, čím by sa oddialil prístup pacientov k liekom, o ktorých sa už rozhoduje. Ide o lieky, pri ktorých už prebieha posudzovanie, a pacienti, pre ktorých sú určené, na rozhodnutie o ich úhrade čakajú. Predĺženie konania alebo jeho opakovanie podľa nových pravidiel by tento čas ďalej predĺžilo, čo je pri závažných a progresívnych ochoreniach pre pacientov obzvlášť citlivé.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3 [§ 2a]</w:t>
              <w:br/>
            </w:r>
            <w:r>
              <w:rPr>
                <w:b w:val="off"/>
                <w:color w:val="000000"/>
                <w:rFonts w:ascii="Times New Roman" w:hAnsi="Times New Roman" w:cs="Times New Roman" w:eastAsia="Times New Roman"/>
                <w:sz w:val="24"/>
              </w:rPr>
              <w:t>Žiadame upraviť znenie § 2a nasledovne:</w:t>
              <w:br/>
            </w:r>
            <w:r>
              <w:rPr>
                <w:b w:val="off"/>
                <w:color w:val="000000"/>
                <w:rFonts w:ascii="Times New Roman" w:hAnsi="Times New Roman" w:cs="Times New Roman" w:eastAsia="Times New Roman"/>
                <w:sz w:val="24"/>
              </w:rPr>
              <w:t>„Referenčná hodnota HDP podľa § 7 ods. 3 zákona je hodnota hrubého domáceho produktu podľa § 7 ods. 4 zákona za rok 2024 vo výške 24 349,82 eura na obyvateľa.“.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Štatistický úrad SR v súlade so svojou revíznou politikou dňa 20.10.2026 zverejnil revidované údaje o HDP za rok 2024 vo výške 132 031 627 mil. Eur (ZDROJ: https://statdata.statistics.sk/public/ui/dc/domov/data-view/view/ea6c6f03-ac89-4be5-86e9-2a935f16ea80/nu0002qs?lang=sk). Stredný stav obyvateľov v roku 2024 je 5 422 284 (ZDROJ: https://statdata.statistics.sk/public/ui/dc/domov/data-view/view/a9b4a4bd-4faa-4754-b29c-40ced91c289d/om7101rr?lang=sk).</w:t>
              <w:br/>
            </w:r>
            <w:r>
              <w:rPr>
                <w:b w:val="off"/>
                <w:color w:val="000000"/>
                <w:rFonts w:ascii="Times New Roman" w:hAnsi="Times New Roman" w:cs="Times New Roman" w:eastAsia="Times New Roman"/>
                <w:sz w:val="24"/>
              </w:rPr>
              <w:t>Táto pripomienka je zásadná.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 výskumu, 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bl>
    <w:p w14:paraId="12D7AF0B" w14:textId="77777777" w:rsidR="00DB2917" w:rsidRDefault="00DB2917">
      <w:pPr>
        <w:rPr>
          <w:rFonts w:ascii="Times New Roman" w:eastAsia="Times New Roman" w:hAnsi="Times New Roman" w:cs="Times New Roman"/>
          <w:sz w:val="24"/>
          <w:szCs w:val="24"/>
        </w:rPr>
      </w:pPr>
    </w:p>
    <w:p w14:paraId="48602EC8" w14:textId="28745B1A" w:rsidR="00E66622" w:rsidRPr="000B2D78" w:rsidRDefault="00E66622" w:rsidP="00B325C1">
      <w:pPr>
        <w:keepLines/>
        <w:rPr>
          <w:rFonts w:ascii="Times New Roman" w:hAnsi="Times New Roman" w:cs="Times New Roman"/>
        </w:rPr>
      </w:pPr>
      <w:r w:rsidRPr="00E66622">
        <w:rPr>
          <w:rFonts w:ascii="Times New Roman" w:eastAsia="Times New Roman" w:hAnsi="Times New Roman" w:cs="Times New Roman"/>
          <w:sz w:val="24"/>
          <w:szCs w:val="24"/>
        </w:rPr>
        <w:t>Vznesené</w:t>
      </w:r>
      <w:r>
        <w:rPr>
          <w:rFonts w:ascii="Times New Roman" w:eastAsia="Times New Roman" w:hAnsi="Times New Roman" w:cs="Times New Roman"/>
          <w:sz w:val="24"/>
          <w:szCs w:val="24"/>
        </w:rPr>
        <w:t xml:space="preserve"> hromadn</w:t>
      </w:r>
      <w:r>
        <w:rPr>
          <w:rFonts w:ascii="Times New Roman" w:eastAsia="Times New Roman" w:hAnsi="Times New Roman" w:cs="Times New Roman"/>
          <w:sz w:val="24"/>
          <w:szCs w:val="24"/>
          <w:lang w:val="en-US"/>
        </w:rPr>
        <w:t>é</w:t>
      </w:r>
      <w:r w:rsidRPr="00E66622">
        <w:rPr>
          <w:rFonts w:ascii="Times New Roman" w:eastAsia="Times New Roman" w:hAnsi="Times New Roman" w:cs="Times New Roman"/>
          <w:sz w:val="24"/>
          <w:szCs w:val="24"/>
        </w:rPr>
        <w:t xml:space="preserve"> pripomienky</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C7F9BD" w14:textId="77777777" w:rsidTr="00CD5259">
        <w:trPr>
          <w:trHeight w:val="648"/>
          <w:jc w:val="center"/>
        </w:trPr>
        <w:tc>
          <w:tcPr>
            <w:tcW w:w="1000" w:type="pct"/>
            <w:vAlign w:val="center"/>
          </w:tcPr>
          <w:p w14:paraId="12485476"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7BDCDFBF" w14:textId="3EA361CD" w:rsidR="00E11D16" w:rsidRPr="00E11D16" w:rsidRDefault="00E11D16" w:rsidP="00B325C1">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Podporo</w:t>
            </w:r>
            <w:r w:rsidR="000A158B" w:rsidRPr="000A158B">
              <w:rPr>
                <w:rFonts w:ascii="Times New Roman" w:hAnsi="Times New Roman" w:cs="Times New Roman"/>
                <w:sz w:val="24"/>
                <w:szCs w:val="24"/>
              </w:rPr>
              <w:t>-</w:t>
            </w:r>
            <w:r w:rsidR="000A158B">
              <w:rPr>
                <w:rFonts w:ascii="Times New Roman" w:hAnsi="Times New Roman" w:cs="Times New Roman"/>
                <w:b/>
                <w:bCs/>
                <w:sz w:val="24"/>
                <w:szCs w:val="24"/>
              </w:rPr>
              <w:br/>
            </w:r>
            <w:r>
              <w:rPr>
                <w:rFonts w:ascii="Times New Roman" w:hAnsi="Times New Roman" w:cs="Times New Roman"/>
                <w:b/>
                <w:bCs/>
                <w:sz w:val="24"/>
                <w:szCs w:val="24"/>
              </w:rPr>
              <w:t>vatelia</w:t>
            </w:r>
          </w:p>
        </w:tc>
        <w:tc>
          <w:tcPr>
            <w:tcW w:w="3150" w:type="pct"/>
            <w:vAlign w:val="center"/>
          </w:tcPr>
          <w:p w14:paraId="63809B05"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r>
    </w:tbl>
    <w:p w14:paraId="1F01DA97" w14:textId="77777777" w:rsidR="00E66622" w:rsidRPr="00E66622" w:rsidRDefault="00E66622">
      <w:pPr>
        <w:rPr>
          <w:rFonts w:ascii="Times New Roman" w:hAnsi="Times New Roman" w:cs="Times New Roman"/>
        </w:rPr>
      </w:pPr>
    </w:p>
    <w:sectPr w:rsidR="00E66622" w:rsidRPr="00E66622" w:rsidSect="00E327C3">
      <w:headerReference w:type="even" r:id="rId6"/>
      <w:headerReference w:type="default" r:id="rId7"/>
      <w:footerReference w:type="even" r:id="rId8"/>
      <w:footerReference w:type="default" r:id="rId9"/>
      <w:headerReference w:type="first" r:id="rId10"/>
      <w:footerReference w:type="first" r:id="rId11"/>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1D0B5" w14:textId="77777777" w:rsidR="00735F5E" w:rsidRPr="00E66622" w:rsidRDefault="00735F5E" w:rsidP="00E66622">
      <w:pPr>
        <w:spacing w:after="0" w:line="240" w:lineRule="auto"/>
      </w:pPr>
      <w:r w:rsidRPr="00E66622">
        <w:separator/>
      </w:r>
    </w:p>
  </w:endnote>
  <w:endnote w:type="continuationSeparator" w:id="0">
    <w:p w14:paraId="5ED96C60" w14:textId="77777777" w:rsidR="00735F5E" w:rsidRPr="00E66622" w:rsidRDefault="00735F5E" w:rsidP="00E66622">
      <w:pPr>
        <w:spacing w:after="0" w:line="240" w:lineRule="auto"/>
      </w:pPr>
      <w:r w:rsidRPr="00E66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C66DA" w14:textId="77777777" w:rsidR="00E327C3" w:rsidRDefault="00E327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051462"/>
      <w:docPartObj>
        <w:docPartGallery w:val="Page Numbers (Bottom of Page)"/>
        <w:docPartUnique/>
      </w:docPartObj>
    </w:sdtPr>
    <w:sdtEndPr>
      <w:rPr>
        <w:rFonts w:ascii="Times New Roman" w:hAnsi="Times New Roman"/>
        <w:noProof/>
      </w:rPr>
    </w:sdtEndPr>
    <w:sdtContent>
      <w:p w14:paraId="28835FB3" w14:textId="07C75C14" w:rsidR="00E66622" w:rsidRPr="00A02DB7" w:rsidRDefault="00E66622">
        <w:pPr>
          <w:pStyle w:val="Footer"/>
          <w:jc w:val="center"/>
          <w:rPr>
            <w:rFonts w:ascii="Times New Roman" w:hAnsi="Times New Roman"/>
          </w:rPr>
        </w:pPr>
        <w:r w:rsidRPr="00A02DB7">
          <w:rPr>
            <w:rFonts w:ascii="Times New Roman" w:hAnsi="Times New Roman"/>
          </w:rPr>
          <w:fldChar w:fldCharType="begin"/>
        </w:r>
        <w:r w:rsidRPr="00A02DB7">
          <w:rPr>
            <w:rFonts w:ascii="Times New Roman" w:hAnsi="Times New Roman"/>
          </w:rPr>
          <w:instrText xml:space="preserve"> PAGE   \* MERGEFORMAT </w:instrText>
        </w:r>
        <w:r w:rsidRPr="00A02DB7">
          <w:rPr>
            <w:rFonts w:ascii="Times New Roman" w:hAnsi="Times New Roman"/>
          </w:rPr>
          <w:fldChar w:fldCharType="separate"/>
        </w:r>
        <w:r w:rsidRPr="00A02DB7">
          <w:rPr>
            <w:rFonts w:ascii="Times New Roman" w:hAnsi="Times New Roman"/>
            <w:noProof/>
          </w:rPr>
          <w:t>2</w:t>
        </w:r>
        <w:r w:rsidRPr="00A02DB7">
          <w:rPr>
            <w:rFonts w:ascii="Times New Roman" w:hAnsi="Times New Roman"/>
            <w:noProof/>
          </w:rPr>
          <w:fldChar w:fldCharType="end"/>
        </w:r>
      </w:p>
    </w:sdtContent>
  </w:sdt>
  <w:p w14:paraId="0B4FCCA7" w14:textId="77777777" w:rsidR="00E66622" w:rsidRDefault="00E666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AAD61" w14:textId="77777777" w:rsidR="00E327C3" w:rsidRDefault="00E32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27A24" w14:textId="77777777" w:rsidR="00735F5E" w:rsidRPr="00E66622" w:rsidRDefault="00735F5E" w:rsidP="00E66622">
      <w:pPr>
        <w:spacing w:after="0" w:line="240" w:lineRule="auto"/>
      </w:pPr>
      <w:r w:rsidRPr="00E66622">
        <w:separator/>
      </w:r>
    </w:p>
  </w:footnote>
  <w:footnote w:type="continuationSeparator" w:id="0">
    <w:p w14:paraId="1101139D" w14:textId="77777777" w:rsidR="00735F5E" w:rsidRPr="00E66622" w:rsidRDefault="00735F5E" w:rsidP="00E66622">
      <w:pPr>
        <w:spacing w:after="0" w:line="240" w:lineRule="auto"/>
      </w:pPr>
      <w:r w:rsidRPr="00E6662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08A1" w14:textId="77777777" w:rsidR="00E327C3" w:rsidRDefault="00E327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5D83C" w14:textId="77777777" w:rsidR="00E327C3" w:rsidRDefault="00E327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4C91" w14:textId="77777777" w:rsidR="00E327C3" w:rsidRDefault="00E327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47E84"/>
    <w:rsid w:val="00050137"/>
    <w:rsid w:val="00050C83"/>
    <w:rsid w:val="00076DCD"/>
    <w:rsid w:val="000A158B"/>
    <w:rsid w:val="000B2D78"/>
    <w:rsid w:val="000C172E"/>
    <w:rsid w:val="000D3CA3"/>
    <w:rsid w:val="001228AD"/>
    <w:rsid w:val="00131490"/>
    <w:rsid w:val="00131742"/>
    <w:rsid w:val="001433FA"/>
    <w:rsid w:val="00146A7D"/>
    <w:rsid w:val="001D4771"/>
    <w:rsid w:val="001E50FA"/>
    <w:rsid w:val="001E5996"/>
    <w:rsid w:val="001F777F"/>
    <w:rsid w:val="00231554"/>
    <w:rsid w:val="00237490"/>
    <w:rsid w:val="00245F36"/>
    <w:rsid w:val="0026614F"/>
    <w:rsid w:val="002715E0"/>
    <w:rsid w:val="0029170C"/>
    <w:rsid w:val="00295E6A"/>
    <w:rsid w:val="002A4482"/>
    <w:rsid w:val="002C0EB1"/>
    <w:rsid w:val="002C684B"/>
    <w:rsid w:val="002D3B5E"/>
    <w:rsid w:val="002D4B4A"/>
    <w:rsid w:val="002E3CEC"/>
    <w:rsid w:val="002F5089"/>
    <w:rsid w:val="00310F92"/>
    <w:rsid w:val="00312884"/>
    <w:rsid w:val="00335FFB"/>
    <w:rsid w:val="00350421"/>
    <w:rsid w:val="003A5C5F"/>
    <w:rsid w:val="003C31D4"/>
    <w:rsid w:val="003E641E"/>
    <w:rsid w:val="003F1216"/>
    <w:rsid w:val="003F37C1"/>
    <w:rsid w:val="003F501E"/>
    <w:rsid w:val="004029A2"/>
    <w:rsid w:val="004050CF"/>
    <w:rsid w:val="00405348"/>
    <w:rsid w:val="00431C3A"/>
    <w:rsid w:val="00434080"/>
    <w:rsid w:val="00461AE1"/>
    <w:rsid w:val="00491D61"/>
    <w:rsid w:val="004A62B8"/>
    <w:rsid w:val="004B4188"/>
    <w:rsid w:val="004C4683"/>
    <w:rsid w:val="004E0BF7"/>
    <w:rsid w:val="004F4092"/>
    <w:rsid w:val="00513767"/>
    <w:rsid w:val="005146CA"/>
    <w:rsid w:val="0053699B"/>
    <w:rsid w:val="00543901"/>
    <w:rsid w:val="00583F11"/>
    <w:rsid w:val="005B618C"/>
    <w:rsid w:val="005E5B0E"/>
    <w:rsid w:val="005F3E6F"/>
    <w:rsid w:val="00602231"/>
    <w:rsid w:val="006371D1"/>
    <w:rsid w:val="00641DD8"/>
    <w:rsid w:val="00664F3B"/>
    <w:rsid w:val="00695857"/>
    <w:rsid w:val="006C2D6E"/>
    <w:rsid w:val="0070694E"/>
    <w:rsid w:val="00707B3A"/>
    <w:rsid w:val="00735F5E"/>
    <w:rsid w:val="00774ED8"/>
    <w:rsid w:val="00784062"/>
    <w:rsid w:val="0078532E"/>
    <w:rsid w:val="007C1A93"/>
    <w:rsid w:val="007F482B"/>
    <w:rsid w:val="00805BCF"/>
    <w:rsid w:val="00847145"/>
    <w:rsid w:val="008741FE"/>
    <w:rsid w:val="00887B34"/>
    <w:rsid w:val="008C2612"/>
    <w:rsid w:val="008D299D"/>
    <w:rsid w:val="00913D14"/>
    <w:rsid w:val="00917A99"/>
    <w:rsid w:val="00932936"/>
    <w:rsid w:val="00947810"/>
    <w:rsid w:val="009647D6"/>
    <w:rsid w:val="00980D7A"/>
    <w:rsid w:val="009912BF"/>
    <w:rsid w:val="009B1491"/>
    <w:rsid w:val="009D152C"/>
    <w:rsid w:val="009D32B4"/>
    <w:rsid w:val="009E0711"/>
    <w:rsid w:val="009F35D2"/>
    <w:rsid w:val="00A02DB7"/>
    <w:rsid w:val="00A070EB"/>
    <w:rsid w:val="00A36692"/>
    <w:rsid w:val="00A81039"/>
    <w:rsid w:val="00A950A9"/>
    <w:rsid w:val="00AD0FB4"/>
    <w:rsid w:val="00B02EF2"/>
    <w:rsid w:val="00B0310C"/>
    <w:rsid w:val="00B11932"/>
    <w:rsid w:val="00B13231"/>
    <w:rsid w:val="00B13C0C"/>
    <w:rsid w:val="00B325C1"/>
    <w:rsid w:val="00B8742A"/>
    <w:rsid w:val="00B946A0"/>
    <w:rsid w:val="00BB3CF4"/>
    <w:rsid w:val="00BC339E"/>
    <w:rsid w:val="00BC7790"/>
    <w:rsid w:val="00BD7F55"/>
    <w:rsid w:val="00BE323C"/>
    <w:rsid w:val="00BF207A"/>
    <w:rsid w:val="00C06F1F"/>
    <w:rsid w:val="00C13765"/>
    <w:rsid w:val="00C34659"/>
    <w:rsid w:val="00C43D79"/>
    <w:rsid w:val="00C529CC"/>
    <w:rsid w:val="00C84A5B"/>
    <w:rsid w:val="00C904D1"/>
    <w:rsid w:val="00CB600D"/>
    <w:rsid w:val="00CC742E"/>
    <w:rsid w:val="00CD5259"/>
    <w:rsid w:val="00CD7313"/>
    <w:rsid w:val="00CF1D5F"/>
    <w:rsid w:val="00D01FAC"/>
    <w:rsid w:val="00D0302E"/>
    <w:rsid w:val="00D2596D"/>
    <w:rsid w:val="00D44E47"/>
    <w:rsid w:val="00D466F6"/>
    <w:rsid w:val="00D610D0"/>
    <w:rsid w:val="00D91683"/>
    <w:rsid w:val="00DA267A"/>
    <w:rsid w:val="00DB2917"/>
    <w:rsid w:val="00DB4797"/>
    <w:rsid w:val="00DD2850"/>
    <w:rsid w:val="00DD302E"/>
    <w:rsid w:val="00DD7CB5"/>
    <w:rsid w:val="00DF139C"/>
    <w:rsid w:val="00E07639"/>
    <w:rsid w:val="00E078E8"/>
    <w:rsid w:val="00E113C2"/>
    <w:rsid w:val="00E11D16"/>
    <w:rsid w:val="00E327C3"/>
    <w:rsid w:val="00E37A37"/>
    <w:rsid w:val="00E41A2D"/>
    <w:rsid w:val="00E66622"/>
    <w:rsid w:val="00E92A50"/>
    <w:rsid w:val="00EA3B3C"/>
    <w:rsid w:val="00EE00C6"/>
    <w:rsid w:val="00EE3DCD"/>
    <w:rsid w:val="00F0653F"/>
    <w:rsid w:val="00F17D8C"/>
    <w:rsid w:val="00F456DC"/>
    <w:rsid w:val="00F66A1B"/>
    <w:rsid w:val="00F8431B"/>
    <w:rsid w:val="00F85AB8"/>
    <w:rsid w:val="00F907A2"/>
    <w:rsid w:val="00FA016F"/>
    <w:rsid w:val="00FA40AE"/>
    <w:rsid w:val="00FD1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D16"/>
    <w:rPr>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 w:type="character" w:styleId="CommentReference">
    <w:name w:val="annotation reference"/>
    <w:basedOn w:val="DefaultParagraphFont"/>
    <w:uiPriority w:val="99"/>
    <w:semiHidden/>
    <w:unhideWhenUsed/>
    <w:rsid w:val="00CD5259"/>
    <w:rPr>
      <w:sz w:val="16"/>
      <w:szCs w:val="16"/>
    </w:rPr>
  </w:style>
  <w:style w:type="paragraph" w:styleId="CommentText">
    <w:name w:val="annotation text"/>
    <w:basedOn w:val="Normal"/>
    <w:link w:val="CommentTextChar"/>
    <w:uiPriority w:val="99"/>
    <w:semiHidden/>
    <w:unhideWhenUsed/>
    <w:rsid w:val="00CD5259"/>
    <w:pPr>
      <w:spacing w:line="240" w:lineRule="auto"/>
    </w:pPr>
    <w:rPr>
      <w:sz w:val="20"/>
      <w:szCs w:val="20"/>
    </w:rPr>
  </w:style>
  <w:style w:type="character" w:customStyle="1" w:styleId="CommentTextChar">
    <w:name w:val="Comment Text Char"/>
    <w:basedOn w:val="DefaultParagraphFont"/>
    <w:link w:val="CommentText"/>
    <w:uiPriority w:val="99"/>
    <w:semiHidden/>
    <w:rsid w:val="00CD5259"/>
    <w:rPr>
      <w:sz w:val="20"/>
      <w:szCs w:val="20"/>
      <w:lang w:val="sk-SK"/>
    </w:rPr>
  </w:style>
  <w:style w:type="paragraph" w:styleId="CommentSubject">
    <w:name w:val="annotation subject"/>
    <w:basedOn w:val="CommentText"/>
    <w:next w:val="CommentText"/>
    <w:link w:val="CommentSubjectChar"/>
    <w:uiPriority w:val="99"/>
    <w:semiHidden/>
    <w:unhideWhenUsed/>
    <w:rsid w:val="00CD5259"/>
    <w:rPr>
      <w:b/>
      <w:bCs/>
    </w:rPr>
  </w:style>
  <w:style w:type="character" w:customStyle="1" w:styleId="CommentSubjectChar">
    <w:name w:val="Comment Subject Char"/>
    <w:basedOn w:val="CommentTextChar"/>
    <w:link w:val="CommentSubject"/>
    <w:uiPriority w:val="99"/>
    <w:semiHidden/>
    <w:rsid w:val="00CD5259"/>
    <w:rPr>
      <w:b/>
      <w:bCs/>
      <w:sz w:val="20"/>
      <w:szCs w:val="20"/>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header3.xml" Type="http://schemas.openxmlformats.org/officeDocument/2006/relationships/header"/><Relationship Id="rId11" Target="footer3.xml" Type="http://schemas.openxmlformats.org/officeDocument/2006/relationships/footer"/><Relationship Id="rId12" Target="fontTable.xml" Type="http://schemas.openxmlformats.org/officeDocument/2006/relationships/fontTable"/><Relationship Id="rId13" Target="theme/theme1.xml" Type="http://schemas.openxmlformats.org/officeDocument/2006/relationships/theme"/><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header2.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57</Words>
  <Characters>330</Characters>
  <Application>Microsoft Office Word</Application>
  <DocSecurity>0</DocSecurity>
  <Lines>2</Lines>
  <Paragraphs>1</Paragraphs>
  <ScaleCrop>false</ScaleCrop>
  <Company/>
  <LinksUpToDate>false</LinksUpToDate>
  <CharactersWithSpaces>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2025-01-21T11:18:00Z</dcterms:modified>
  <cp:revision>61</cp:revision>
</cp:coreProperties>
</file>