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F5F5E" w:rsidRDefault="00054C41" w:rsidP="00054C41">
      <w:pPr>
        <w:jc w:val="center"/>
        <w:rPr>
          <w:rFonts w:ascii="Times New Roman" w:eastAsia="Calibri" w:hAnsi="Times New Roman" w:cs="Times New Roman"/>
          <w:b/>
          <w:sz w:val="28"/>
          <w:szCs w:val="28"/>
        </w:rPr>
      </w:pPr>
      <w:r w:rsidRPr="008F5F5E">
        <w:rPr>
          <w:rFonts w:ascii="Times New Roman" w:eastAsia="Calibri" w:hAnsi="Times New Roman" w:cs="Times New Roman"/>
          <w:b/>
          <w:sz w:val="28"/>
          <w:szCs w:val="28"/>
        </w:rPr>
        <w:t>Analýza vplyvov na podnikateľské prostredie</w:t>
      </w:r>
    </w:p>
    <w:p w14:paraId="7AF84A90" w14:textId="77777777" w:rsidR="00054C41" w:rsidRPr="008F5F5E" w:rsidRDefault="00054C41" w:rsidP="00054C41">
      <w:pPr>
        <w:jc w:val="both"/>
        <w:rPr>
          <w:rFonts w:ascii="Times New Roman" w:eastAsia="Calibri" w:hAnsi="Times New Roman" w:cs="Times New Roman"/>
          <w:b/>
          <w:sz w:val="24"/>
          <w:szCs w:val="24"/>
        </w:rPr>
      </w:pPr>
    </w:p>
    <w:p w14:paraId="22516163" w14:textId="57D457B4" w:rsidR="00054C41" w:rsidRPr="008F5F5E" w:rsidRDefault="00054C41" w:rsidP="0058529E">
      <w:pPr>
        <w:ind w:left="1985" w:hanging="1985"/>
        <w:jc w:val="both"/>
        <w:rPr>
          <w:rFonts w:ascii="Cambria" w:eastAsia="Calibri" w:hAnsi="Cambria" w:cs="Times New Roman"/>
          <w:bCs/>
        </w:rPr>
      </w:pPr>
      <w:r w:rsidRPr="008F5F5E">
        <w:rPr>
          <w:rFonts w:ascii="Times New Roman" w:eastAsia="Calibri" w:hAnsi="Times New Roman" w:cs="Times New Roman"/>
          <w:b/>
          <w:sz w:val="24"/>
          <w:szCs w:val="24"/>
        </w:rPr>
        <w:t>Názov materiálu:</w:t>
      </w:r>
      <w:r w:rsidR="00377C2F" w:rsidRPr="008F5F5E">
        <w:rPr>
          <w:rFonts w:ascii="Times New Roman" w:eastAsia="Calibri" w:hAnsi="Times New Roman" w:cs="Times New Roman"/>
          <w:b/>
          <w:sz w:val="24"/>
          <w:szCs w:val="24"/>
        </w:rPr>
        <w:t xml:space="preserve"> </w:t>
      </w:r>
      <w:r w:rsidR="00377C2F" w:rsidRPr="008F5F5E">
        <w:rPr>
          <w:rFonts w:ascii="Times New Roman" w:eastAsia="Calibri" w:hAnsi="Times New Roman" w:cs="Times New Roman"/>
          <w:b/>
          <w:sz w:val="24"/>
          <w:szCs w:val="24"/>
        </w:rPr>
        <w:tab/>
      </w:r>
      <w:r w:rsidR="00377C2F" w:rsidRPr="008F5F5E">
        <w:rPr>
          <w:rFonts w:ascii="Cambria" w:eastAsia="Calibri" w:hAnsi="Cambria" w:cs="Times New Roman"/>
          <w:bCs/>
        </w:rPr>
        <w:t>Návrh opatrenia Národnej banky Slovenska z ... 202</w:t>
      </w:r>
      <w:r w:rsidR="00E123B3" w:rsidRPr="008F5F5E">
        <w:rPr>
          <w:rFonts w:ascii="Cambria" w:eastAsia="Calibri" w:hAnsi="Cambria" w:cs="Times New Roman"/>
          <w:bCs/>
        </w:rPr>
        <w:t>6</w:t>
      </w:r>
      <w:r w:rsidR="00377C2F" w:rsidRPr="008F5F5E">
        <w:rPr>
          <w:rFonts w:ascii="Cambria" w:eastAsia="Calibri" w:hAnsi="Cambria" w:cs="Times New Roman"/>
          <w:bCs/>
        </w:rPr>
        <w:t xml:space="preserve"> č. .../202</w:t>
      </w:r>
      <w:r w:rsidR="00E123B3" w:rsidRPr="008F5F5E">
        <w:rPr>
          <w:rFonts w:ascii="Cambria" w:eastAsia="Calibri" w:hAnsi="Cambria" w:cs="Times New Roman"/>
          <w:bCs/>
        </w:rPr>
        <w:t>6</w:t>
      </w:r>
      <w:r w:rsidR="00377C2F" w:rsidRPr="008F5F5E">
        <w:rPr>
          <w:rFonts w:ascii="Cambria" w:eastAsia="Calibri" w:hAnsi="Cambria" w:cs="Times New Roman"/>
          <w:bCs/>
        </w:rPr>
        <w:t xml:space="preserve">, ktorým sa mení a dopĺňa opatrenie Národnej banky Slovenska </w:t>
      </w:r>
      <w:r w:rsidR="00E123B3" w:rsidRPr="008F5F5E">
        <w:rPr>
          <w:rFonts w:ascii="Cambria" w:eastAsia="Calibri" w:hAnsi="Cambria" w:cs="Times New Roman"/>
          <w:bCs/>
        </w:rPr>
        <w:t xml:space="preserve">z 25. mája 2021 </w:t>
      </w:r>
      <w:r w:rsidR="00377C2F" w:rsidRPr="008F5F5E">
        <w:rPr>
          <w:rFonts w:ascii="Cambria" w:eastAsia="Calibri" w:hAnsi="Cambria" w:cs="Times New Roman"/>
          <w:bCs/>
        </w:rPr>
        <w:t>č.</w:t>
      </w:r>
      <w:r w:rsidR="0058529E" w:rsidRPr="008F5F5E">
        <w:rPr>
          <w:rFonts w:ascii="Cambria" w:eastAsia="Calibri" w:hAnsi="Cambria" w:cs="Times New Roman"/>
          <w:bCs/>
        </w:rPr>
        <w:t> </w:t>
      </w:r>
      <w:r w:rsidR="00377C2F" w:rsidRPr="008F5F5E">
        <w:rPr>
          <w:rFonts w:ascii="Cambria" w:eastAsia="Calibri" w:hAnsi="Cambria" w:cs="Times New Roman"/>
          <w:bCs/>
        </w:rPr>
        <w:t>5/2021 o poplatkoch za úkony Národnej banky Slovenska</w:t>
      </w:r>
      <w:r w:rsidR="00E123B3" w:rsidRPr="008F5F5E">
        <w:rPr>
          <w:rFonts w:ascii="Cambria" w:eastAsia="Calibri" w:hAnsi="Cambria" w:cs="Times New Roman"/>
          <w:bCs/>
        </w:rPr>
        <w:t xml:space="preserve"> v znení opatrenia z 3. decembra 2024 č. 8/2024</w:t>
      </w:r>
    </w:p>
    <w:p w14:paraId="2711DC2C" w14:textId="4EA7E420" w:rsidR="00054C41" w:rsidRPr="008F5F5E" w:rsidRDefault="00054C41" w:rsidP="0058529E">
      <w:pPr>
        <w:ind w:left="1985" w:hanging="1985"/>
        <w:jc w:val="both"/>
        <w:rPr>
          <w:rFonts w:ascii="Cambria" w:eastAsia="Calibri" w:hAnsi="Cambria" w:cs="Times New Roman"/>
          <w:bCs/>
        </w:rPr>
      </w:pPr>
      <w:r w:rsidRPr="008F5F5E">
        <w:rPr>
          <w:rFonts w:ascii="Times New Roman" w:eastAsia="Calibri" w:hAnsi="Times New Roman" w:cs="Times New Roman"/>
          <w:b/>
          <w:sz w:val="24"/>
          <w:szCs w:val="24"/>
        </w:rPr>
        <w:t>Predkladateľ:</w:t>
      </w:r>
      <w:r w:rsidR="00377C2F" w:rsidRPr="008F5F5E">
        <w:rPr>
          <w:rFonts w:ascii="Times New Roman" w:eastAsia="Calibri" w:hAnsi="Times New Roman" w:cs="Times New Roman"/>
          <w:b/>
          <w:sz w:val="24"/>
          <w:szCs w:val="24"/>
        </w:rPr>
        <w:tab/>
      </w:r>
      <w:r w:rsidR="00377C2F" w:rsidRPr="008F5F5E">
        <w:rPr>
          <w:rFonts w:ascii="Cambria" w:eastAsia="Calibri" w:hAnsi="Cambria" w:cs="Times New Roman"/>
          <w:bCs/>
        </w:rPr>
        <w:t>Národná banka Slovenska</w:t>
      </w:r>
    </w:p>
    <w:p w14:paraId="73384937" w14:textId="77777777" w:rsidR="00054C41" w:rsidRPr="008F5F5E" w:rsidRDefault="00054C41" w:rsidP="00054C41">
      <w:pPr>
        <w:jc w:val="both"/>
        <w:rPr>
          <w:rFonts w:ascii="Times New Roman" w:eastAsia="Calibri" w:hAnsi="Times New Roman" w:cs="Times New Roman"/>
          <w:b/>
          <w:sz w:val="24"/>
          <w:szCs w:val="24"/>
        </w:rPr>
      </w:pPr>
    </w:p>
    <w:p w14:paraId="515DBCE3" w14:textId="77777777" w:rsidR="00054C41" w:rsidRPr="008F5F5E" w:rsidRDefault="00054C41" w:rsidP="00054C41">
      <w:pPr>
        <w:jc w:val="both"/>
        <w:rPr>
          <w:rFonts w:ascii="Times New Roman" w:eastAsia="Calibri" w:hAnsi="Times New Roman" w:cs="Times New Roman"/>
          <w:b/>
          <w:sz w:val="24"/>
          <w:szCs w:val="24"/>
        </w:rPr>
      </w:pPr>
      <w:r w:rsidRPr="008F5F5E">
        <w:rPr>
          <w:rFonts w:ascii="Times New Roman" w:eastAsia="Calibri" w:hAnsi="Times New Roman" w:cs="Times New Roman"/>
          <w:b/>
          <w:sz w:val="24"/>
          <w:szCs w:val="24"/>
        </w:rPr>
        <w:t>3.1 Náklady regulácie</w:t>
      </w:r>
    </w:p>
    <w:p w14:paraId="14243EB0" w14:textId="77777777" w:rsidR="00054C41" w:rsidRPr="008F5F5E" w:rsidRDefault="00054C41" w:rsidP="00C21399">
      <w:pPr>
        <w:tabs>
          <w:tab w:val="left" w:pos="8025"/>
        </w:tabs>
        <w:rPr>
          <w:rFonts w:ascii="Times New Roman" w:eastAsia="Calibri" w:hAnsi="Times New Roman" w:cs="Times New Roman"/>
          <w:bCs/>
          <w:i/>
          <w:iCs/>
          <w:sz w:val="24"/>
          <w:szCs w:val="24"/>
        </w:rPr>
      </w:pPr>
      <w:r w:rsidRPr="008F5F5E">
        <w:rPr>
          <w:rFonts w:ascii="Times New Roman" w:eastAsia="Calibri" w:hAnsi="Times New Roman" w:cs="Times New Roman"/>
          <w:b/>
          <w:i/>
          <w:iCs/>
          <w:sz w:val="24"/>
          <w:szCs w:val="24"/>
        </w:rPr>
        <w:t xml:space="preserve">3.1.1 Súhrnná tabuľka nákladov regulácie </w:t>
      </w:r>
      <w:r w:rsidR="00C21399" w:rsidRPr="008F5F5E">
        <w:rPr>
          <w:rFonts w:ascii="Times New Roman" w:eastAsia="Calibri" w:hAnsi="Times New Roman" w:cs="Times New Roman"/>
          <w:b/>
          <w:i/>
          <w:iCs/>
          <w:sz w:val="24"/>
          <w:szCs w:val="24"/>
        </w:rPr>
        <w:tab/>
      </w:r>
    </w:p>
    <w:p w14:paraId="4D85A0D5" w14:textId="77777777" w:rsidR="00054C41" w:rsidRPr="008F5F5E" w:rsidRDefault="00054C41" w:rsidP="00054C41">
      <w:pPr>
        <w:jc w:val="both"/>
        <w:rPr>
          <w:rFonts w:ascii="Times New Roman" w:eastAsia="Calibri" w:hAnsi="Times New Roman" w:cs="Times New Roman"/>
          <w:i/>
          <w:sz w:val="24"/>
          <w:szCs w:val="24"/>
        </w:rPr>
      </w:pPr>
      <w:r w:rsidRPr="008F5F5E">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sidRPr="008F5F5E">
        <w:rPr>
          <w:rFonts w:ascii="Times New Roman" w:eastAsia="Calibri" w:hAnsi="Times New Roman" w:cs="Times New Roman"/>
          <w:i/>
          <w:sz w:val="24"/>
          <w:szCs w:val="24"/>
        </w:rPr>
        <w:t>v</w:t>
      </w:r>
      <w:r w:rsidR="00C929AE" w:rsidRPr="008F5F5E">
        <w:rPr>
          <w:rFonts w:ascii="Times New Roman" w:eastAsia="Calibri" w:hAnsi="Times New Roman" w:cs="Times New Roman"/>
          <w:i/>
          <w:sz w:val="24"/>
          <w:szCs w:val="24"/>
        </w:rPr>
        <w:t>, náklady goldplatingu</w:t>
      </w:r>
      <w:r w:rsidR="00C929AE" w:rsidRPr="008F5F5E">
        <w:rPr>
          <w:rStyle w:val="FootnoteReference"/>
          <w:rFonts w:ascii="Times New Roman" w:eastAsia="Calibri" w:hAnsi="Times New Roman" w:cs="Times New Roman"/>
          <w:i/>
          <w:sz w:val="24"/>
          <w:szCs w:val="24"/>
        </w:rPr>
        <w:footnoteReference w:id="1"/>
      </w:r>
      <w:r w:rsidR="000A6B7F" w:rsidRPr="008F5F5E">
        <w:rPr>
          <w:rFonts w:ascii="Times New Roman" w:eastAsia="Calibri" w:hAnsi="Times New Roman" w:cs="Times New Roman"/>
          <w:i/>
          <w:sz w:val="24"/>
          <w:szCs w:val="24"/>
        </w:rPr>
        <w:t xml:space="preserve"> </w:t>
      </w:r>
      <w:r w:rsidR="00C929AE" w:rsidRPr="008F5F5E">
        <w:rPr>
          <w:rFonts w:ascii="Times New Roman" w:eastAsia="Calibri" w:hAnsi="Times New Roman" w:cs="Times New Roman"/>
          <w:i/>
          <w:sz w:val="24"/>
          <w:szCs w:val="24"/>
        </w:rPr>
        <w:t>na podnikateľské prostredie</w:t>
      </w:r>
      <w:r w:rsidRPr="008F5F5E">
        <w:rPr>
          <w:rFonts w:ascii="Times New Roman" w:eastAsia="Calibri" w:hAnsi="Times New Roman" w:cs="Times New Roman"/>
          <w:i/>
          <w:sz w:val="24"/>
          <w:szCs w:val="24"/>
        </w:rPr>
        <w:t xml:space="preserve">. </w:t>
      </w:r>
    </w:p>
    <w:p w14:paraId="1A77DC61" w14:textId="77777777" w:rsidR="00054C41" w:rsidRPr="008F5F5E" w:rsidRDefault="00054C41" w:rsidP="00054C41">
      <w:pPr>
        <w:jc w:val="both"/>
        <w:rPr>
          <w:rFonts w:ascii="Times New Roman" w:eastAsia="Calibri" w:hAnsi="Times New Roman" w:cs="Times New Roman"/>
          <w:i/>
          <w:sz w:val="24"/>
          <w:szCs w:val="24"/>
        </w:rPr>
      </w:pPr>
      <w:r w:rsidRPr="008F5F5E">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8F5F5E">
          <w:rPr>
            <w:rFonts w:ascii="Times New Roman" w:eastAsia="Calibri" w:hAnsi="Times New Roman" w:cs="Times New Roman"/>
            <w:i/>
            <w:sz w:val="24"/>
            <w:szCs w:val="24"/>
            <w:u w:val="single"/>
          </w:rPr>
          <w:t>webovom sídle MH SR</w:t>
        </w:r>
      </w:hyperlink>
      <w:r w:rsidRPr="008F5F5E">
        <w:rPr>
          <w:rFonts w:ascii="Times New Roman" w:eastAsia="Calibri" w:hAnsi="Times New Roman" w:cs="Times New Roman"/>
          <w:i/>
          <w:sz w:val="24"/>
          <w:szCs w:val="24"/>
        </w:rPr>
        <w:t>, (ďalej len „Kalkulačka nákladov“):</w:t>
      </w:r>
    </w:p>
    <w:p w14:paraId="7D0E2EDD" w14:textId="77777777" w:rsidR="00054C41" w:rsidRDefault="00054C41" w:rsidP="00054C41">
      <w:pPr>
        <w:rPr>
          <w:rFonts w:ascii="Times New Roman" w:eastAsia="Calibri" w:hAnsi="Times New Roman" w:cs="Times New Roman"/>
          <w:b/>
          <w:sz w:val="24"/>
          <w:szCs w:val="24"/>
        </w:rPr>
      </w:pPr>
    </w:p>
    <w:tbl>
      <w:tblPr>
        <w:tblW w:w="8300" w:type="dxa"/>
        <w:tblCellMar>
          <w:left w:w="70" w:type="dxa"/>
          <w:right w:w="70" w:type="dxa"/>
        </w:tblCellMar>
        <w:tblLook w:val="04A0" w:firstRow="1" w:lastRow="0" w:firstColumn="1" w:lastColumn="0" w:noHBand="0" w:noVBand="1"/>
      </w:tblPr>
      <w:tblGrid>
        <w:gridCol w:w="4540"/>
        <w:gridCol w:w="1880"/>
        <w:gridCol w:w="1880"/>
      </w:tblGrid>
      <w:tr w:rsidR="00F3455B" w:rsidRPr="00F3455B" w14:paraId="7C4739AF" w14:textId="77777777" w:rsidTr="00F3455B">
        <w:trPr>
          <w:trHeight w:val="525"/>
        </w:trPr>
        <w:tc>
          <w:tcPr>
            <w:tcW w:w="4540" w:type="dxa"/>
            <w:tcBorders>
              <w:top w:val="single" w:sz="8" w:space="0" w:color="auto"/>
              <w:left w:val="single" w:sz="8" w:space="0" w:color="auto"/>
              <w:bottom w:val="single" w:sz="8" w:space="0" w:color="auto"/>
              <w:right w:val="single" w:sz="4" w:space="0" w:color="auto"/>
            </w:tcBorders>
            <w:vAlign w:val="center"/>
            <w:hideMark/>
          </w:tcPr>
          <w:p w14:paraId="77D0F771" w14:textId="77777777" w:rsidR="00F3455B" w:rsidRPr="00F3455B" w:rsidRDefault="00F3455B" w:rsidP="00F3455B">
            <w:pPr>
              <w:spacing w:after="0" w:line="240" w:lineRule="auto"/>
              <w:jc w:val="center"/>
              <w:rPr>
                <w:rFonts w:ascii="Times New Roman" w:eastAsia="Times New Roman" w:hAnsi="Times New Roman" w:cs="Times New Roman"/>
                <w:b/>
                <w:bCs/>
                <w:i/>
                <w:iCs/>
                <w:color w:val="000000"/>
                <w:sz w:val="20"/>
                <w:szCs w:val="20"/>
                <w:lang w:eastAsia="sk-SK"/>
              </w:rPr>
            </w:pPr>
            <w:r w:rsidRPr="00F3455B">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26B1AB01"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8FA1012"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Zníženie nákladov v € na PP</w:t>
            </w:r>
          </w:p>
        </w:tc>
      </w:tr>
      <w:tr w:rsidR="00F3455B" w:rsidRPr="00F3455B" w14:paraId="12C2A716" w14:textId="77777777" w:rsidTr="00F3455B">
        <w:trPr>
          <w:trHeight w:val="540"/>
        </w:trPr>
        <w:tc>
          <w:tcPr>
            <w:tcW w:w="4540" w:type="dxa"/>
            <w:tcBorders>
              <w:top w:val="nil"/>
              <w:left w:val="single" w:sz="8" w:space="0" w:color="auto"/>
              <w:bottom w:val="single" w:sz="4" w:space="0" w:color="auto"/>
              <w:right w:val="single" w:sz="4" w:space="0" w:color="auto"/>
            </w:tcBorders>
            <w:vAlign w:val="center"/>
            <w:hideMark/>
          </w:tcPr>
          <w:p w14:paraId="537CE2CA" w14:textId="77777777" w:rsidR="00F3455B" w:rsidRPr="00F3455B" w:rsidRDefault="00F3455B" w:rsidP="00F3455B">
            <w:pPr>
              <w:spacing w:after="0" w:line="240" w:lineRule="auto"/>
              <w:rPr>
                <w:rFonts w:ascii="Times New Roman" w:eastAsia="Times New Roman" w:hAnsi="Times New Roman" w:cs="Times New Roman"/>
                <w:b/>
                <w:bCs/>
                <w:i/>
                <w:iCs/>
                <w:color w:val="000000"/>
                <w:sz w:val="20"/>
                <w:szCs w:val="20"/>
                <w:lang w:eastAsia="sk-SK"/>
              </w:rPr>
            </w:pPr>
            <w:r w:rsidRPr="00F3455B">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1880" w:type="dxa"/>
            <w:tcBorders>
              <w:top w:val="nil"/>
              <w:left w:val="nil"/>
              <w:bottom w:val="single" w:sz="4" w:space="0" w:color="auto"/>
              <w:right w:val="single" w:sz="4" w:space="0" w:color="auto"/>
            </w:tcBorders>
            <w:shd w:val="clear" w:color="000000" w:fill="FFC000"/>
            <w:vAlign w:val="center"/>
            <w:hideMark/>
          </w:tcPr>
          <w:p w14:paraId="79152EBB"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3CAEA37C"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r>
      <w:tr w:rsidR="00F3455B" w:rsidRPr="00F3455B" w14:paraId="21E987EE" w14:textId="77777777" w:rsidTr="00F3455B">
        <w:trPr>
          <w:trHeight w:val="270"/>
        </w:trPr>
        <w:tc>
          <w:tcPr>
            <w:tcW w:w="4540" w:type="dxa"/>
            <w:tcBorders>
              <w:top w:val="nil"/>
              <w:left w:val="single" w:sz="8" w:space="0" w:color="auto"/>
              <w:bottom w:val="single" w:sz="4" w:space="0" w:color="auto"/>
              <w:right w:val="single" w:sz="4" w:space="0" w:color="auto"/>
            </w:tcBorders>
            <w:vAlign w:val="center"/>
            <w:hideMark/>
          </w:tcPr>
          <w:p w14:paraId="5090C511" w14:textId="77777777" w:rsidR="00F3455B" w:rsidRPr="00F3455B" w:rsidRDefault="00F3455B" w:rsidP="00F3455B">
            <w:pPr>
              <w:spacing w:after="0" w:line="240" w:lineRule="auto"/>
              <w:rPr>
                <w:rFonts w:ascii="Times New Roman" w:eastAsia="Times New Roman" w:hAnsi="Times New Roman" w:cs="Times New Roman"/>
                <w:b/>
                <w:bCs/>
                <w:i/>
                <w:iCs/>
                <w:color w:val="000000"/>
                <w:sz w:val="20"/>
                <w:szCs w:val="20"/>
                <w:lang w:eastAsia="sk-SK"/>
              </w:rPr>
            </w:pPr>
            <w:r w:rsidRPr="00F3455B">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5CE5015A"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27 993</w:t>
            </w:r>
          </w:p>
        </w:tc>
        <w:tc>
          <w:tcPr>
            <w:tcW w:w="1880" w:type="dxa"/>
            <w:tcBorders>
              <w:top w:val="nil"/>
              <w:left w:val="nil"/>
              <w:bottom w:val="single" w:sz="4" w:space="0" w:color="auto"/>
              <w:right w:val="single" w:sz="8" w:space="0" w:color="auto"/>
            </w:tcBorders>
            <w:shd w:val="clear" w:color="000000" w:fill="92D050"/>
            <w:vAlign w:val="center"/>
            <w:hideMark/>
          </w:tcPr>
          <w:p w14:paraId="5871D447"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11 883</w:t>
            </w:r>
          </w:p>
        </w:tc>
      </w:tr>
      <w:tr w:rsidR="00F3455B" w:rsidRPr="00F3455B" w14:paraId="2525FCF4" w14:textId="77777777" w:rsidTr="00F3455B">
        <w:trPr>
          <w:trHeight w:val="270"/>
        </w:trPr>
        <w:tc>
          <w:tcPr>
            <w:tcW w:w="4540" w:type="dxa"/>
            <w:tcBorders>
              <w:top w:val="nil"/>
              <w:left w:val="single" w:sz="8" w:space="0" w:color="auto"/>
              <w:bottom w:val="single" w:sz="4" w:space="0" w:color="auto"/>
              <w:right w:val="single" w:sz="4" w:space="0" w:color="auto"/>
            </w:tcBorders>
            <w:vAlign w:val="center"/>
            <w:hideMark/>
          </w:tcPr>
          <w:p w14:paraId="17106AAA" w14:textId="77777777" w:rsidR="00F3455B" w:rsidRPr="00F3455B" w:rsidRDefault="00F3455B" w:rsidP="00F3455B">
            <w:pPr>
              <w:spacing w:after="0" w:line="240" w:lineRule="auto"/>
              <w:rPr>
                <w:rFonts w:ascii="Times New Roman" w:eastAsia="Times New Roman" w:hAnsi="Times New Roman" w:cs="Times New Roman"/>
                <w:b/>
                <w:bCs/>
                <w:i/>
                <w:iCs/>
                <w:color w:val="000000"/>
                <w:sz w:val="20"/>
                <w:szCs w:val="20"/>
                <w:lang w:eastAsia="sk-SK"/>
              </w:rPr>
            </w:pPr>
            <w:r w:rsidRPr="00F3455B">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6BD8ADE2"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7293A4CB"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r>
      <w:tr w:rsidR="00F3455B" w:rsidRPr="00F3455B" w14:paraId="785FB286" w14:textId="77777777" w:rsidTr="00F3455B">
        <w:trPr>
          <w:trHeight w:val="270"/>
        </w:trPr>
        <w:tc>
          <w:tcPr>
            <w:tcW w:w="4540" w:type="dxa"/>
            <w:tcBorders>
              <w:top w:val="nil"/>
              <w:left w:val="single" w:sz="8" w:space="0" w:color="auto"/>
              <w:bottom w:val="single" w:sz="4" w:space="0" w:color="auto"/>
              <w:right w:val="single" w:sz="4" w:space="0" w:color="auto"/>
            </w:tcBorders>
            <w:vAlign w:val="center"/>
            <w:hideMark/>
          </w:tcPr>
          <w:p w14:paraId="3D65E433" w14:textId="77777777" w:rsidR="00F3455B" w:rsidRPr="00F3455B" w:rsidRDefault="00F3455B" w:rsidP="00F3455B">
            <w:pPr>
              <w:spacing w:after="0" w:line="240" w:lineRule="auto"/>
              <w:rPr>
                <w:rFonts w:ascii="Times New Roman" w:eastAsia="Times New Roman" w:hAnsi="Times New Roman" w:cs="Times New Roman"/>
                <w:b/>
                <w:bCs/>
                <w:i/>
                <w:iCs/>
                <w:color w:val="000000"/>
                <w:sz w:val="20"/>
                <w:szCs w:val="20"/>
                <w:lang w:eastAsia="sk-SK"/>
              </w:rPr>
            </w:pPr>
            <w:r w:rsidRPr="00F3455B">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08F03DEA"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0383F521"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r>
      <w:tr w:rsidR="00F3455B" w:rsidRPr="00F3455B" w14:paraId="2E32F327" w14:textId="77777777" w:rsidTr="00F3455B">
        <w:trPr>
          <w:trHeight w:val="285"/>
        </w:trPr>
        <w:tc>
          <w:tcPr>
            <w:tcW w:w="4540" w:type="dxa"/>
            <w:tcBorders>
              <w:top w:val="nil"/>
              <w:left w:val="single" w:sz="8" w:space="0" w:color="auto"/>
              <w:bottom w:val="nil"/>
              <w:right w:val="single" w:sz="4" w:space="0" w:color="auto"/>
            </w:tcBorders>
            <w:vAlign w:val="center"/>
            <w:hideMark/>
          </w:tcPr>
          <w:p w14:paraId="0A50C016" w14:textId="77777777" w:rsidR="00F3455B" w:rsidRPr="00F3455B" w:rsidRDefault="00F3455B" w:rsidP="00F3455B">
            <w:pPr>
              <w:spacing w:after="0" w:line="240" w:lineRule="auto"/>
              <w:rPr>
                <w:rFonts w:ascii="Times New Roman" w:eastAsia="Times New Roman" w:hAnsi="Times New Roman" w:cs="Times New Roman"/>
                <w:b/>
                <w:bCs/>
                <w:i/>
                <w:iCs/>
                <w:color w:val="000000"/>
                <w:sz w:val="20"/>
                <w:szCs w:val="20"/>
                <w:lang w:eastAsia="sk-SK"/>
              </w:rPr>
            </w:pPr>
            <w:r w:rsidRPr="00F3455B">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56E5B3C7"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452EC471"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r>
      <w:tr w:rsidR="00F3455B" w:rsidRPr="00F3455B" w14:paraId="6C8A02BD" w14:textId="77777777" w:rsidTr="00F3455B">
        <w:trPr>
          <w:trHeight w:val="285"/>
        </w:trPr>
        <w:tc>
          <w:tcPr>
            <w:tcW w:w="4540" w:type="dxa"/>
            <w:tcBorders>
              <w:top w:val="single" w:sz="8" w:space="0" w:color="auto"/>
              <w:left w:val="single" w:sz="8" w:space="0" w:color="auto"/>
              <w:bottom w:val="single" w:sz="8" w:space="0" w:color="auto"/>
              <w:right w:val="single" w:sz="4" w:space="0" w:color="auto"/>
            </w:tcBorders>
            <w:vAlign w:val="center"/>
            <w:hideMark/>
          </w:tcPr>
          <w:p w14:paraId="73A6D94F" w14:textId="77777777" w:rsidR="00F3455B" w:rsidRPr="00F3455B" w:rsidRDefault="00F3455B" w:rsidP="00F3455B">
            <w:pPr>
              <w:spacing w:after="0" w:line="240" w:lineRule="auto"/>
              <w:rPr>
                <w:rFonts w:ascii="Times New Roman" w:eastAsia="Times New Roman" w:hAnsi="Times New Roman" w:cs="Times New Roman"/>
                <w:b/>
                <w:bCs/>
                <w:i/>
                <w:iCs/>
                <w:color w:val="000000"/>
                <w:sz w:val="20"/>
                <w:szCs w:val="20"/>
                <w:lang w:eastAsia="sk-SK"/>
              </w:rPr>
            </w:pPr>
            <w:r w:rsidRPr="00F3455B">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62EBAA1A"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27 993</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5E991C6"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11 883</w:t>
            </w:r>
          </w:p>
        </w:tc>
      </w:tr>
      <w:tr w:rsidR="00F3455B" w:rsidRPr="00F3455B" w14:paraId="60402AE5" w14:textId="77777777" w:rsidTr="00F3455B">
        <w:trPr>
          <w:trHeight w:val="285"/>
        </w:trPr>
        <w:tc>
          <w:tcPr>
            <w:tcW w:w="4540" w:type="dxa"/>
            <w:tcBorders>
              <w:top w:val="nil"/>
              <w:left w:val="nil"/>
              <w:bottom w:val="nil"/>
              <w:right w:val="nil"/>
            </w:tcBorders>
            <w:vAlign w:val="center"/>
            <w:hideMark/>
          </w:tcPr>
          <w:p w14:paraId="0597F424"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vAlign w:val="center"/>
            <w:hideMark/>
          </w:tcPr>
          <w:p w14:paraId="317DB6B6" w14:textId="77777777" w:rsidR="00F3455B" w:rsidRPr="00F3455B" w:rsidRDefault="00F3455B" w:rsidP="00F3455B">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3ED72F58" w14:textId="77777777" w:rsidR="00F3455B" w:rsidRPr="00F3455B" w:rsidRDefault="00F3455B" w:rsidP="00F3455B">
            <w:pPr>
              <w:spacing w:after="0" w:line="240" w:lineRule="auto"/>
              <w:rPr>
                <w:rFonts w:ascii="Times New Roman" w:eastAsia="Times New Roman" w:hAnsi="Times New Roman" w:cs="Times New Roman"/>
                <w:sz w:val="20"/>
                <w:szCs w:val="20"/>
                <w:lang w:eastAsia="sk-SK"/>
              </w:rPr>
            </w:pPr>
          </w:p>
        </w:tc>
      </w:tr>
      <w:tr w:rsidR="00F3455B" w:rsidRPr="00F3455B" w14:paraId="47C14611" w14:textId="77777777" w:rsidTr="00F3455B">
        <w:trPr>
          <w:trHeight w:val="525"/>
        </w:trPr>
        <w:tc>
          <w:tcPr>
            <w:tcW w:w="4540" w:type="dxa"/>
            <w:tcBorders>
              <w:top w:val="single" w:sz="8" w:space="0" w:color="auto"/>
              <w:left w:val="single" w:sz="8" w:space="0" w:color="auto"/>
              <w:bottom w:val="single" w:sz="8" w:space="0" w:color="auto"/>
              <w:right w:val="single" w:sz="4" w:space="0" w:color="auto"/>
            </w:tcBorders>
            <w:vAlign w:val="center"/>
            <w:hideMark/>
          </w:tcPr>
          <w:p w14:paraId="18BA6A8F" w14:textId="77777777" w:rsidR="00F3455B" w:rsidRPr="00F3455B" w:rsidRDefault="00F3455B" w:rsidP="00F3455B">
            <w:pPr>
              <w:spacing w:after="0" w:line="240" w:lineRule="auto"/>
              <w:rPr>
                <w:rFonts w:ascii="Times New Roman" w:eastAsia="Times New Roman" w:hAnsi="Times New Roman" w:cs="Times New Roman"/>
                <w:b/>
                <w:bCs/>
                <w:i/>
                <w:iCs/>
                <w:color w:val="000000"/>
                <w:sz w:val="20"/>
                <w:szCs w:val="20"/>
                <w:lang w:eastAsia="sk-SK"/>
              </w:rPr>
            </w:pPr>
            <w:r w:rsidRPr="00F3455B">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296C1D9"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2C9769C4"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Zníženie nákladov v € na PP</w:t>
            </w:r>
          </w:p>
        </w:tc>
      </w:tr>
      <w:tr w:rsidR="00F3455B" w:rsidRPr="00F3455B" w14:paraId="07DB4C9A" w14:textId="77777777" w:rsidTr="00F3455B">
        <w:trPr>
          <w:trHeight w:val="735"/>
        </w:trPr>
        <w:tc>
          <w:tcPr>
            <w:tcW w:w="4540" w:type="dxa"/>
            <w:tcBorders>
              <w:top w:val="nil"/>
              <w:left w:val="single" w:sz="8" w:space="0" w:color="auto"/>
              <w:bottom w:val="nil"/>
              <w:right w:val="single" w:sz="4" w:space="0" w:color="auto"/>
            </w:tcBorders>
            <w:vAlign w:val="center"/>
            <w:hideMark/>
          </w:tcPr>
          <w:p w14:paraId="5CA9C70D" w14:textId="77777777" w:rsidR="00F3455B" w:rsidRPr="00F3455B" w:rsidRDefault="00F3455B" w:rsidP="00F3455B">
            <w:pPr>
              <w:spacing w:after="0" w:line="240" w:lineRule="auto"/>
              <w:rPr>
                <w:rFonts w:ascii="Times New Roman" w:eastAsia="Times New Roman" w:hAnsi="Times New Roman" w:cs="Times New Roman"/>
                <w:b/>
                <w:bCs/>
                <w:i/>
                <w:iCs/>
                <w:color w:val="000000"/>
                <w:sz w:val="20"/>
                <w:szCs w:val="20"/>
                <w:lang w:eastAsia="sk-SK"/>
              </w:rPr>
            </w:pPr>
            <w:r w:rsidRPr="00F3455B">
              <w:rPr>
                <w:rFonts w:ascii="Times New Roman" w:eastAsia="Times New Roman" w:hAnsi="Times New Roman" w:cs="Times New Roman"/>
                <w:b/>
                <w:bCs/>
                <w:i/>
                <w:iCs/>
                <w:color w:val="000000"/>
                <w:sz w:val="20"/>
                <w:szCs w:val="20"/>
                <w:lang w:eastAsia="sk-SK"/>
              </w:rPr>
              <w:t>F. Úplná harmonizácia práva EÚ</w:t>
            </w:r>
            <w:r w:rsidRPr="00F3455B">
              <w:rPr>
                <w:rFonts w:ascii="Times New Roman" w:eastAsia="Times New Roman" w:hAnsi="Times New Roman" w:cs="Times New Roman"/>
                <w:b/>
                <w:bCs/>
                <w:i/>
                <w:iCs/>
                <w:color w:val="000000"/>
                <w:sz w:val="20"/>
                <w:szCs w:val="20"/>
                <w:lang w:eastAsia="sk-SK"/>
              </w:rPr>
              <w:br/>
            </w:r>
            <w:r w:rsidRPr="00F3455B">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1880" w:type="dxa"/>
            <w:tcBorders>
              <w:top w:val="nil"/>
              <w:left w:val="nil"/>
              <w:bottom w:val="nil"/>
              <w:right w:val="single" w:sz="4" w:space="0" w:color="auto"/>
            </w:tcBorders>
            <w:shd w:val="clear" w:color="000000" w:fill="FFC000"/>
            <w:vAlign w:val="center"/>
            <w:hideMark/>
          </w:tcPr>
          <w:p w14:paraId="7846257F"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361968EE"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r>
      <w:tr w:rsidR="00F3455B" w:rsidRPr="00F3455B" w14:paraId="48B4090A" w14:textId="77777777" w:rsidTr="00F3455B">
        <w:trPr>
          <w:trHeight w:val="285"/>
        </w:trPr>
        <w:tc>
          <w:tcPr>
            <w:tcW w:w="4540" w:type="dxa"/>
            <w:tcBorders>
              <w:top w:val="single" w:sz="8" w:space="0" w:color="auto"/>
              <w:left w:val="single" w:sz="8" w:space="0" w:color="auto"/>
              <w:bottom w:val="single" w:sz="8" w:space="0" w:color="auto"/>
              <w:right w:val="single" w:sz="4" w:space="0" w:color="auto"/>
            </w:tcBorders>
            <w:vAlign w:val="center"/>
            <w:hideMark/>
          </w:tcPr>
          <w:p w14:paraId="03167722" w14:textId="77777777" w:rsidR="00F3455B" w:rsidRPr="00F3455B" w:rsidRDefault="00F3455B" w:rsidP="00F3455B">
            <w:pPr>
              <w:spacing w:after="0" w:line="240" w:lineRule="auto"/>
              <w:rPr>
                <w:rFonts w:ascii="Times New Roman" w:eastAsia="Times New Roman" w:hAnsi="Times New Roman" w:cs="Times New Roman"/>
                <w:b/>
                <w:bCs/>
                <w:i/>
                <w:iCs/>
                <w:color w:val="000000"/>
                <w:sz w:val="20"/>
                <w:szCs w:val="20"/>
                <w:lang w:eastAsia="sk-SK"/>
              </w:rPr>
            </w:pPr>
            <w:r w:rsidRPr="00F3455B">
              <w:rPr>
                <w:rFonts w:ascii="Times New Roman" w:eastAsia="Times New Roman" w:hAnsi="Times New Roman" w:cs="Times New Roman"/>
                <w:b/>
                <w:bCs/>
                <w:i/>
                <w:iCs/>
                <w:color w:val="000000"/>
                <w:sz w:val="20"/>
                <w:szCs w:val="20"/>
                <w:lang w:eastAsia="sk-SK"/>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0FE4F5E6"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DBA21EA"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0</w:t>
            </w:r>
          </w:p>
        </w:tc>
      </w:tr>
      <w:tr w:rsidR="00F3455B" w:rsidRPr="00F3455B" w14:paraId="15719653" w14:textId="77777777" w:rsidTr="00F3455B">
        <w:trPr>
          <w:trHeight w:val="255"/>
        </w:trPr>
        <w:tc>
          <w:tcPr>
            <w:tcW w:w="4540" w:type="dxa"/>
            <w:tcBorders>
              <w:top w:val="nil"/>
              <w:left w:val="nil"/>
              <w:bottom w:val="nil"/>
              <w:right w:val="nil"/>
            </w:tcBorders>
            <w:noWrap/>
            <w:vAlign w:val="bottom"/>
            <w:hideMark/>
          </w:tcPr>
          <w:p w14:paraId="3DCBA837"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vAlign w:val="center"/>
            <w:hideMark/>
          </w:tcPr>
          <w:p w14:paraId="490108D1" w14:textId="77777777" w:rsidR="00F3455B" w:rsidRPr="00F3455B" w:rsidRDefault="00F3455B" w:rsidP="00F3455B">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47BC14AA" w14:textId="77777777" w:rsidR="00F3455B" w:rsidRPr="00F3455B" w:rsidRDefault="00F3455B" w:rsidP="00F3455B">
            <w:pPr>
              <w:spacing w:after="0" w:line="240" w:lineRule="auto"/>
              <w:rPr>
                <w:rFonts w:ascii="Times New Roman" w:eastAsia="Times New Roman" w:hAnsi="Times New Roman" w:cs="Times New Roman"/>
                <w:sz w:val="20"/>
                <w:szCs w:val="20"/>
                <w:lang w:eastAsia="sk-SK"/>
              </w:rPr>
            </w:pPr>
          </w:p>
        </w:tc>
      </w:tr>
      <w:tr w:rsidR="00F3455B" w:rsidRPr="00F3455B" w14:paraId="7D015455" w14:textId="77777777" w:rsidTr="00F3455B">
        <w:trPr>
          <w:trHeight w:val="270"/>
        </w:trPr>
        <w:tc>
          <w:tcPr>
            <w:tcW w:w="4540" w:type="dxa"/>
            <w:tcBorders>
              <w:top w:val="nil"/>
              <w:left w:val="nil"/>
              <w:bottom w:val="nil"/>
              <w:right w:val="nil"/>
            </w:tcBorders>
            <w:noWrap/>
            <w:vAlign w:val="bottom"/>
            <w:hideMark/>
          </w:tcPr>
          <w:p w14:paraId="41A0BC74" w14:textId="77777777" w:rsidR="00F3455B" w:rsidRPr="00F3455B" w:rsidRDefault="00F3455B" w:rsidP="00F3455B">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4E6A80DC" w14:textId="77777777" w:rsidR="00F3455B" w:rsidRPr="00F3455B" w:rsidRDefault="00F3455B" w:rsidP="00F3455B">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66DE6624" w14:textId="77777777" w:rsidR="00F3455B" w:rsidRPr="00F3455B" w:rsidRDefault="00F3455B" w:rsidP="00F3455B">
            <w:pPr>
              <w:spacing w:after="0" w:line="240" w:lineRule="auto"/>
              <w:rPr>
                <w:rFonts w:ascii="Times New Roman" w:eastAsia="Times New Roman" w:hAnsi="Times New Roman" w:cs="Times New Roman"/>
                <w:sz w:val="20"/>
                <w:szCs w:val="20"/>
                <w:lang w:eastAsia="sk-SK"/>
              </w:rPr>
            </w:pPr>
          </w:p>
        </w:tc>
      </w:tr>
      <w:tr w:rsidR="00F3455B" w:rsidRPr="00F3455B" w14:paraId="4DB05AF9" w14:textId="77777777" w:rsidTr="00F3455B">
        <w:trPr>
          <w:trHeight w:val="255"/>
        </w:trPr>
        <w:tc>
          <w:tcPr>
            <w:tcW w:w="4540" w:type="dxa"/>
            <w:tcBorders>
              <w:top w:val="single" w:sz="8" w:space="0" w:color="auto"/>
              <w:left w:val="single" w:sz="8" w:space="0" w:color="auto"/>
              <w:bottom w:val="single" w:sz="4" w:space="0" w:color="auto"/>
              <w:right w:val="single" w:sz="4" w:space="0" w:color="auto"/>
            </w:tcBorders>
            <w:vAlign w:val="center"/>
            <w:hideMark/>
          </w:tcPr>
          <w:p w14:paraId="370D383E" w14:textId="77777777" w:rsidR="00F3455B" w:rsidRPr="00F3455B" w:rsidRDefault="00F3455B" w:rsidP="00F3455B">
            <w:pPr>
              <w:spacing w:after="0" w:line="240" w:lineRule="auto"/>
              <w:rPr>
                <w:rFonts w:ascii="Times New Roman" w:eastAsia="Times New Roman" w:hAnsi="Times New Roman" w:cs="Times New Roman"/>
                <w:i/>
                <w:iCs/>
                <w:color w:val="000000"/>
                <w:sz w:val="20"/>
                <w:szCs w:val="20"/>
                <w:lang w:eastAsia="sk-SK"/>
              </w:rPr>
            </w:pPr>
            <w:r w:rsidRPr="00F3455B">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113363A4"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7B823822"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OUT</w:t>
            </w:r>
          </w:p>
        </w:tc>
      </w:tr>
      <w:tr w:rsidR="00F3455B" w:rsidRPr="00F3455B" w14:paraId="41C36606" w14:textId="77777777" w:rsidTr="00F3455B">
        <w:trPr>
          <w:trHeight w:val="285"/>
        </w:trPr>
        <w:tc>
          <w:tcPr>
            <w:tcW w:w="4540" w:type="dxa"/>
            <w:tcBorders>
              <w:top w:val="nil"/>
              <w:left w:val="single" w:sz="8" w:space="0" w:color="auto"/>
              <w:bottom w:val="single" w:sz="8" w:space="0" w:color="auto"/>
              <w:right w:val="single" w:sz="4" w:space="0" w:color="auto"/>
            </w:tcBorders>
            <w:vAlign w:val="center"/>
            <w:hideMark/>
          </w:tcPr>
          <w:p w14:paraId="019EEE95" w14:textId="77777777" w:rsidR="00F3455B" w:rsidRPr="00F3455B" w:rsidRDefault="00F3455B" w:rsidP="00F3455B">
            <w:pPr>
              <w:spacing w:after="0" w:line="240" w:lineRule="auto"/>
              <w:rPr>
                <w:rFonts w:ascii="Times New Roman" w:eastAsia="Times New Roman" w:hAnsi="Times New Roman" w:cs="Times New Roman"/>
                <w:i/>
                <w:iCs/>
                <w:color w:val="000000"/>
                <w:sz w:val="20"/>
                <w:szCs w:val="20"/>
                <w:lang w:eastAsia="sk-SK"/>
              </w:rPr>
            </w:pPr>
            <w:r w:rsidRPr="00F3455B">
              <w:rPr>
                <w:rFonts w:ascii="Times New Roman" w:eastAsia="Times New Roman" w:hAnsi="Times New Roman" w:cs="Times New Roman"/>
                <w:i/>
                <w:iCs/>
                <w:color w:val="000000"/>
                <w:sz w:val="20"/>
                <w:szCs w:val="20"/>
                <w:lang w:eastAsia="sk-SK"/>
              </w:rPr>
              <w:t>H</w:t>
            </w:r>
            <w:r w:rsidRPr="00F3455B">
              <w:rPr>
                <w:rFonts w:ascii="Times New Roman" w:eastAsia="Times New Roman" w:hAnsi="Times New Roman" w:cs="Times New Roman"/>
                <w:b/>
                <w:bCs/>
                <w:i/>
                <w:iCs/>
                <w:color w:val="000000"/>
                <w:sz w:val="20"/>
                <w:szCs w:val="20"/>
                <w:lang w:eastAsia="sk-SK"/>
              </w:rPr>
              <w:t>.</w:t>
            </w:r>
            <w:r w:rsidRPr="00F3455B">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493381BA"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27 993</w:t>
            </w:r>
          </w:p>
        </w:tc>
        <w:tc>
          <w:tcPr>
            <w:tcW w:w="1880" w:type="dxa"/>
            <w:tcBorders>
              <w:top w:val="nil"/>
              <w:left w:val="nil"/>
              <w:bottom w:val="single" w:sz="8" w:space="0" w:color="auto"/>
              <w:right w:val="single" w:sz="8" w:space="0" w:color="auto"/>
            </w:tcBorders>
            <w:shd w:val="clear" w:color="000000" w:fill="92D050"/>
            <w:vAlign w:val="center"/>
            <w:hideMark/>
          </w:tcPr>
          <w:p w14:paraId="58048DDE" w14:textId="77777777" w:rsidR="00F3455B" w:rsidRPr="00F3455B" w:rsidRDefault="00F3455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11 883</w:t>
            </w:r>
          </w:p>
        </w:tc>
      </w:tr>
    </w:tbl>
    <w:p w14:paraId="0C4E1024" w14:textId="77777777" w:rsidR="008E4834" w:rsidRPr="008F5F5E" w:rsidRDefault="008E4834" w:rsidP="00054C41">
      <w:pPr>
        <w:rPr>
          <w:rFonts w:ascii="Times New Roman" w:eastAsia="Calibri" w:hAnsi="Times New Roman" w:cs="Times New Roman"/>
          <w:b/>
          <w:sz w:val="24"/>
          <w:szCs w:val="24"/>
        </w:rPr>
        <w:sectPr w:rsidR="008E4834" w:rsidRPr="008F5F5E"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8F5F5E" w:rsidRDefault="00054C41" w:rsidP="00054C41">
      <w:pPr>
        <w:rPr>
          <w:rFonts w:ascii="Times New Roman" w:eastAsia="Calibri" w:hAnsi="Times New Roman" w:cs="Times New Roman"/>
          <w:b/>
          <w:i/>
          <w:iCs/>
          <w:sz w:val="24"/>
          <w:szCs w:val="24"/>
        </w:rPr>
      </w:pPr>
      <w:r w:rsidRPr="008F5F5E">
        <w:rPr>
          <w:rFonts w:ascii="Times New Roman" w:eastAsia="Calibri" w:hAnsi="Times New Roman" w:cs="Times New Roman"/>
          <w:b/>
          <w:i/>
          <w:iCs/>
          <w:sz w:val="24"/>
          <w:szCs w:val="24"/>
        </w:rPr>
        <w:lastRenderedPageBreak/>
        <w:t>3.1.2 Výpočty vplyvov jednotlivých regulácií na zmeny v nákladoch podnikateľov</w:t>
      </w:r>
      <w:r w:rsidRPr="008F5F5E">
        <w:rPr>
          <w:rFonts w:ascii="Times New Roman" w:eastAsia="Calibri" w:hAnsi="Times New Roman" w:cs="Times New Roman"/>
          <w:i/>
          <w:sz w:val="24"/>
          <w:szCs w:val="24"/>
        </w:rPr>
        <w:tab/>
      </w:r>
      <w:r w:rsidRPr="008F5F5E">
        <w:rPr>
          <w:rFonts w:ascii="Times New Roman" w:eastAsia="Calibri" w:hAnsi="Times New Roman" w:cs="Times New Roman"/>
          <w:i/>
          <w:sz w:val="24"/>
          <w:szCs w:val="24"/>
        </w:rPr>
        <w:tab/>
      </w:r>
      <w:r w:rsidRPr="008F5F5E">
        <w:rPr>
          <w:rFonts w:ascii="Times New Roman" w:eastAsia="Calibri" w:hAnsi="Times New Roman" w:cs="Times New Roman"/>
          <w:i/>
          <w:sz w:val="24"/>
          <w:szCs w:val="24"/>
        </w:rPr>
        <w:tab/>
      </w:r>
      <w:r w:rsidRPr="008F5F5E">
        <w:rPr>
          <w:rFonts w:ascii="Times New Roman" w:eastAsia="Calibri" w:hAnsi="Times New Roman" w:cs="Times New Roman"/>
          <w:i/>
          <w:sz w:val="24"/>
          <w:szCs w:val="24"/>
        </w:rPr>
        <w:tab/>
      </w:r>
      <w:r w:rsidRPr="008F5F5E">
        <w:rPr>
          <w:rFonts w:ascii="Times New Roman" w:eastAsia="Calibri" w:hAnsi="Times New Roman" w:cs="Times New Roman"/>
          <w:i/>
          <w:sz w:val="24"/>
          <w:szCs w:val="24"/>
        </w:rPr>
        <w:tab/>
      </w:r>
      <w:r w:rsidRPr="008F5F5E">
        <w:rPr>
          <w:rFonts w:ascii="Times New Roman" w:eastAsia="Calibri" w:hAnsi="Times New Roman" w:cs="Times New Roman"/>
          <w:i/>
          <w:sz w:val="24"/>
          <w:szCs w:val="24"/>
        </w:rPr>
        <w:tab/>
      </w:r>
      <w:r w:rsidRPr="008F5F5E">
        <w:rPr>
          <w:rFonts w:ascii="Times New Roman" w:eastAsia="Calibri" w:hAnsi="Times New Roman" w:cs="Times New Roman"/>
          <w:i/>
          <w:sz w:val="24"/>
          <w:szCs w:val="24"/>
        </w:rPr>
        <w:tab/>
      </w:r>
      <w:r w:rsidRPr="008F5F5E">
        <w:rPr>
          <w:rFonts w:ascii="Times New Roman" w:eastAsia="Calibri" w:hAnsi="Times New Roman" w:cs="Times New Roman"/>
          <w:i/>
          <w:sz w:val="24"/>
          <w:szCs w:val="24"/>
        </w:rPr>
        <w:tab/>
      </w:r>
    </w:p>
    <w:p w14:paraId="5E02E2DD" w14:textId="77777777" w:rsidR="00054C41" w:rsidRPr="008F5F5E" w:rsidRDefault="00054C41" w:rsidP="00054C41">
      <w:pPr>
        <w:jc w:val="both"/>
        <w:rPr>
          <w:rFonts w:ascii="Times New Roman" w:eastAsia="Calibri" w:hAnsi="Times New Roman" w:cs="Times New Roman"/>
          <w:i/>
          <w:sz w:val="24"/>
          <w:szCs w:val="24"/>
        </w:rPr>
      </w:pPr>
      <w:r w:rsidRPr="008F5F5E">
        <w:rPr>
          <w:rFonts w:ascii="Times New Roman" w:eastAsia="Calibri" w:hAnsi="Times New Roman" w:cs="Times New Roman"/>
          <w:i/>
          <w:sz w:val="24"/>
          <w:szCs w:val="24"/>
        </w:rPr>
        <w:t>Tabuľka č. 2: Výpočet vplyvov jednotlivých regulácií (nahraďte rovnakou tabuľkou po vyplnení Kalkulačky nákladov):</w:t>
      </w:r>
    </w:p>
    <w:p w14:paraId="14F51219" w14:textId="36AC7C47" w:rsidR="00F6591E" w:rsidRPr="00621447" w:rsidRDefault="00F6591E" w:rsidP="00621447">
      <w:pPr>
        <w:ind w:left="1276" w:hanging="1276"/>
        <w:jc w:val="both"/>
        <w:rPr>
          <w:rFonts w:ascii="Times New Roman" w:eastAsia="Calibri" w:hAnsi="Times New Roman" w:cs="Times New Roman"/>
          <w:i/>
          <w:color w:val="FF0000"/>
          <w:sz w:val="24"/>
          <w:szCs w:val="24"/>
        </w:rPr>
      </w:pPr>
    </w:p>
    <w:tbl>
      <w:tblPr>
        <w:tblW w:w="0" w:type="auto"/>
        <w:tblCellMar>
          <w:left w:w="70" w:type="dxa"/>
          <w:right w:w="70" w:type="dxa"/>
        </w:tblCellMar>
        <w:tblLook w:val="04A0" w:firstRow="1" w:lastRow="0" w:firstColumn="1" w:lastColumn="0" w:noHBand="0" w:noVBand="1"/>
      </w:tblPr>
      <w:tblGrid>
        <w:gridCol w:w="451"/>
        <w:gridCol w:w="2065"/>
        <w:gridCol w:w="1051"/>
        <w:gridCol w:w="1179"/>
        <w:gridCol w:w="1063"/>
        <w:gridCol w:w="946"/>
        <w:gridCol w:w="1594"/>
        <w:gridCol w:w="996"/>
        <w:gridCol w:w="810"/>
        <w:gridCol w:w="1011"/>
        <w:gridCol w:w="870"/>
        <w:gridCol w:w="785"/>
        <w:gridCol w:w="1173"/>
      </w:tblGrid>
      <w:tr w:rsidR="00B1197B" w:rsidRPr="00F3455B" w14:paraId="51D580CA" w14:textId="77777777" w:rsidTr="00F3455B">
        <w:trPr>
          <w:cantSplit/>
          <w:trHeight w:val="450"/>
        </w:trPr>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126AE9"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P.č.</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9C4B47"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 xml:space="preserve">Zrozumiteľný a stručný opis regulácie </w:t>
            </w:r>
            <w:r w:rsidRPr="00F3455B">
              <w:rPr>
                <w:rFonts w:ascii="Times New Roman" w:eastAsia="Times New Roman" w:hAnsi="Times New Roman" w:cs="Times New Roman"/>
                <w:b/>
                <w:bCs/>
                <w:color w:val="000000"/>
                <w:sz w:val="20"/>
                <w:szCs w:val="20"/>
                <w:lang w:eastAsia="sk-SK"/>
              </w:rPr>
              <w:br/>
              <w:t>(dôvod zvýšenia/zníženia nákladov na PP a dôvod ponechania nákladov na PP, ktoré su goldplatingom)</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7D00CC70"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Číslo normy</w:t>
            </w:r>
            <w:r w:rsidRPr="00F3455B">
              <w:rPr>
                <w:rFonts w:ascii="Times New Roman" w:eastAsia="Times New Roman" w:hAnsi="Times New Roman" w:cs="Times New Roman"/>
                <w:b/>
                <w:bCs/>
                <w:color w:val="000000"/>
                <w:sz w:val="20"/>
                <w:szCs w:val="20"/>
                <w:lang w:eastAsia="sk-SK"/>
              </w:rPr>
              <w:br/>
            </w:r>
            <w:r w:rsidRPr="00F3455B">
              <w:rPr>
                <w:rFonts w:ascii="Times New Roman" w:eastAsia="Times New Roman" w:hAnsi="Times New Roman" w:cs="Times New Roman"/>
                <w:color w:val="000000"/>
                <w:sz w:val="20"/>
                <w:szCs w:val="20"/>
                <w:lang w:eastAsia="sk-SK"/>
              </w:rPr>
              <w:t>(zákona, vyhlášky a pod.)</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22AFE963"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Lokalizácia</w:t>
            </w:r>
            <w:r w:rsidRPr="00F3455B">
              <w:rPr>
                <w:rFonts w:ascii="Times New Roman" w:eastAsia="Times New Roman" w:hAnsi="Times New Roman" w:cs="Times New Roman"/>
                <w:b/>
                <w:bCs/>
                <w:color w:val="000000"/>
                <w:sz w:val="20"/>
                <w:szCs w:val="20"/>
                <w:lang w:eastAsia="sk-SK"/>
              </w:rPr>
              <w:br/>
              <w:t>(§, ods., čl.,...)</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9948D1"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 xml:space="preserve">Pôvod regulácie: </w:t>
            </w:r>
            <w:r w:rsidRPr="00F3455B">
              <w:rPr>
                <w:rFonts w:ascii="Times New Roman" w:eastAsia="Times New Roman" w:hAnsi="Times New Roman" w:cs="Times New Roman"/>
                <w:b/>
                <w:bCs/>
                <w:color w:val="000000"/>
                <w:sz w:val="20"/>
                <w:szCs w:val="20"/>
                <w:lang w:eastAsia="sk-SK"/>
              </w:rPr>
              <w:br/>
            </w:r>
            <w:r w:rsidRPr="00F3455B">
              <w:rPr>
                <w:rFonts w:ascii="Times New Roman" w:eastAsia="Times New Roman" w:hAnsi="Times New Roman" w:cs="Times New Roman"/>
                <w:color w:val="000000"/>
                <w:sz w:val="20"/>
                <w:szCs w:val="20"/>
                <w:lang w:eastAsia="sk-SK"/>
              </w:rPr>
              <w:t>SK/EÚ úplná harm./</w:t>
            </w:r>
            <w:r w:rsidRPr="00F3455B">
              <w:rPr>
                <w:rFonts w:ascii="Times New Roman" w:eastAsia="Times New Roman" w:hAnsi="Times New Roman" w:cs="Times New Roman"/>
                <w:color w:val="000000"/>
                <w:sz w:val="20"/>
                <w:szCs w:val="20"/>
                <w:lang w:eastAsia="sk-SK"/>
              </w:rPr>
              <w:br/>
              <w:t>goldplating</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8B4934"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Účinnosť regulácie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840A1B"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Kategória dotk. subjektov</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84B32F"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 xml:space="preserve">Počet dotk. subjektov spolu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DADD61"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Vplyv na 1 podnik. v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6B9AC5"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Vplyv na kategóriu dotk. subjektov v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1D4ACF"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Druh vplyvu</w:t>
            </w:r>
            <w:r w:rsidRPr="00F3455B">
              <w:rPr>
                <w:rFonts w:ascii="Times New Roman" w:eastAsia="Times New Roman" w:hAnsi="Times New Roman" w:cs="Times New Roman"/>
                <w:b/>
                <w:bCs/>
                <w:color w:val="000000"/>
                <w:sz w:val="20"/>
                <w:szCs w:val="20"/>
                <w:lang w:eastAsia="sk-SK"/>
              </w:rPr>
              <w:br/>
            </w:r>
            <w:r w:rsidRPr="00F3455B">
              <w:rPr>
                <w:rFonts w:ascii="Times New Roman" w:eastAsia="Times New Roman" w:hAnsi="Times New Roman" w:cs="Times New Roman"/>
                <w:color w:val="000000"/>
                <w:sz w:val="20"/>
                <w:szCs w:val="20"/>
                <w:lang w:eastAsia="sk-SK"/>
              </w:rPr>
              <w:t xml:space="preserve">In (zvyšuje náklady) / </w:t>
            </w:r>
            <w:r w:rsidRPr="00F3455B">
              <w:rPr>
                <w:rFonts w:ascii="Times New Roman" w:eastAsia="Times New Roman" w:hAnsi="Times New Roman" w:cs="Times New Roman"/>
                <w:color w:val="000000"/>
                <w:sz w:val="20"/>
                <w:szCs w:val="20"/>
                <w:lang w:eastAsia="sk-SK"/>
              </w:rPr>
              <w:br/>
              <w:t>Out (znižuje náklady) / Nemení sa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CBDFD5"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 xml:space="preserve">1in2out </w:t>
            </w:r>
            <w:r w:rsidRPr="00F3455B">
              <w:rPr>
                <w:rFonts w:ascii="Times New Roman" w:eastAsia="Times New Roman" w:hAnsi="Times New Roman" w:cs="Times New Roman"/>
                <w:b/>
                <w:bCs/>
                <w:color w:val="000000"/>
                <w:sz w:val="20"/>
                <w:szCs w:val="20"/>
                <w:lang w:eastAsia="sk-SK"/>
              </w:rPr>
              <w:br/>
              <w:t>celkom</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56D927" w14:textId="77777777" w:rsidR="00B1197B" w:rsidRPr="00F3455B" w:rsidRDefault="00B1197B" w:rsidP="00F3455B">
            <w:pPr>
              <w:spacing w:after="0" w:line="240" w:lineRule="auto"/>
              <w:jc w:val="center"/>
              <w:rPr>
                <w:rFonts w:ascii="Times New Roman" w:eastAsia="Times New Roman" w:hAnsi="Times New Roman" w:cs="Times New Roman"/>
                <w:b/>
                <w:bCs/>
                <w:color w:val="000000"/>
                <w:sz w:val="20"/>
                <w:szCs w:val="20"/>
                <w:lang w:eastAsia="sk-SK"/>
              </w:rPr>
            </w:pPr>
            <w:r w:rsidRPr="00F3455B">
              <w:rPr>
                <w:rFonts w:ascii="Times New Roman" w:eastAsia="Times New Roman" w:hAnsi="Times New Roman" w:cs="Times New Roman"/>
                <w:b/>
                <w:bCs/>
                <w:color w:val="000000"/>
                <w:sz w:val="20"/>
                <w:szCs w:val="20"/>
                <w:lang w:eastAsia="sk-SK"/>
              </w:rPr>
              <w:t>Goldplating celkom</w:t>
            </w:r>
          </w:p>
        </w:tc>
      </w:tr>
      <w:tr w:rsidR="00B1197B" w:rsidRPr="00F3455B" w14:paraId="18C401BF" w14:textId="77777777" w:rsidTr="00F3455B">
        <w:trPr>
          <w:cantSplit/>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BA9423"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D1B285"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0DBA6DD0"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41381B4"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63B89F"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AE8A9E"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08CDF3"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D1DB89"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E00523"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31FEE8"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0CF966"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C8A647"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9FE508"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r>
      <w:tr w:rsidR="00B1197B" w:rsidRPr="00F3455B" w14:paraId="1031C3B3" w14:textId="77777777" w:rsidTr="00F3455B">
        <w:trPr>
          <w:cantSplit/>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83CE49"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8D8E74"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229EBA01"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3E52853D"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CE5CEF"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02C9E"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4C838A"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5F0C52"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84854"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ABB49B"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3C6A5D"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C93345"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C0D4D4"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r>
      <w:tr w:rsidR="00B1197B" w:rsidRPr="00F3455B" w14:paraId="6D6E1A1B" w14:textId="77777777" w:rsidTr="00F3455B">
        <w:trPr>
          <w:cantSplit/>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2D6B4A"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79D7BD"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6256500A"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24497C6E"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3757E9"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345838"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291643"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47F1D7"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15955A"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0F8C24"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8010E0"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144C60"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C2C10A"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r>
      <w:tr w:rsidR="00B1197B" w:rsidRPr="00F3455B" w14:paraId="7F37235E" w14:textId="77777777" w:rsidTr="00F3455B">
        <w:trPr>
          <w:cantSplit/>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EC7A91"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26D0CA"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76248D20"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73470A38"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600174"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248367"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1CC1A"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8FD871"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6F161B"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FE659"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24A451"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C0BC46"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03B0C2"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r>
      <w:tr w:rsidR="00B1197B" w:rsidRPr="00F3455B" w14:paraId="3D68E001" w14:textId="77777777" w:rsidTr="00F3455B">
        <w:trPr>
          <w:cantSplit/>
          <w:trHeight w:val="450"/>
        </w:trPr>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54B873"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34CB73"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66DD30B"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7E463149"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DDAF69"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9F2C96"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7E1702"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45A17D"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50F240"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6A8A24"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4281E2"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7DB038"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DE0439" w14:textId="77777777" w:rsidR="00B1197B" w:rsidRPr="00F3455B" w:rsidRDefault="00B1197B" w:rsidP="00F3455B">
            <w:pPr>
              <w:spacing w:after="0" w:line="240" w:lineRule="auto"/>
              <w:rPr>
                <w:rFonts w:ascii="Times New Roman" w:eastAsia="Times New Roman" w:hAnsi="Times New Roman" w:cs="Times New Roman"/>
                <w:b/>
                <w:bCs/>
                <w:color w:val="000000"/>
                <w:sz w:val="20"/>
                <w:szCs w:val="20"/>
                <w:lang w:eastAsia="sk-SK"/>
              </w:rPr>
            </w:pPr>
          </w:p>
        </w:tc>
      </w:tr>
      <w:tr w:rsidR="00B1197B" w:rsidRPr="00F3455B" w14:paraId="432990A3" w14:textId="77777777" w:rsidTr="00F3455B">
        <w:trPr>
          <w:cantSplit/>
          <w:trHeight w:val="1785"/>
        </w:trPr>
        <w:tc>
          <w:tcPr>
            <w:tcW w:w="0" w:type="auto"/>
            <w:tcBorders>
              <w:top w:val="nil"/>
              <w:left w:val="single" w:sz="4" w:space="0" w:color="auto"/>
              <w:bottom w:val="single" w:sz="4" w:space="0" w:color="auto"/>
              <w:right w:val="single" w:sz="4" w:space="0" w:color="auto"/>
            </w:tcBorders>
            <w:vAlign w:val="center"/>
            <w:hideMark/>
          </w:tcPr>
          <w:p w14:paraId="7B6668F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w:t>
            </w:r>
          </w:p>
        </w:tc>
        <w:tc>
          <w:tcPr>
            <w:tcW w:w="0" w:type="auto"/>
            <w:tcBorders>
              <w:top w:val="nil"/>
              <w:left w:val="nil"/>
              <w:bottom w:val="single" w:sz="4" w:space="0" w:color="auto"/>
              <w:right w:val="single" w:sz="4" w:space="0" w:color="auto"/>
            </w:tcBorders>
            <w:vAlign w:val="center"/>
            <w:hideMark/>
          </w:tcPr>
          <w:p w14:paraId="22D5CD6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udelenie predchádzajúceho súhlasu na nadobudnutie významného podielu bankou, finančnou holdingovou spoločnosťou alebo zmiešanou finančnou holdingovou spoločnosťou (špecifický symbol 1333)</w:t>
            </w:r>
          </w:p>
        </w:tc>
        <w:tc>
          <w:tcPr>
            <w:tcW w:w="0" w:type="auto"/>
            <w:tcBorders>
              <w:top w:val="nil"/>
              <w:left w:val="nil"/>
              <w:bottom w:val="single" w:sz="4" w:space="0" w:color="auto"/>
              <w:right w:val="single" w:sz="4" w:space="0" w:color="auto"/>
            </w:tcBorders>
            <w:vAlign w:val="center"/>
            <w:hideMark/>
          </w:tcPr>
          <w:p w14:paraId="7F36DEF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483/2001 Z. z. v znení zákona č. 30/2026 Z. z.</w:t>
            </w:r>
          </w:p>
        </w:tc>
        <w:tc>
          <w:tcPr>
            <w:tcW w:w="0" w:type="auto"/>
            <w:tcBorders>
              <w:top w:val="nil"/>
              <w:left w:val="nil"/>
              <w:bottom w:val="single" w:sz="4" w:space="0" w:color="auto"/>
              <w:right w:val="single" w:sz="4" w:space="0" w:color="auto"/>
            </w:tcBorders>
            <w:vAlign w:val="center"/>
            <w:hideMark/>
          </w:tcPr>
          <w:p w14:paraId="7715443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28a ods. 1</w:t>
            </w:r>
          </w:p>
        </w:tc>
        <w:tc>
          <w:tcPr>
            <w:tcW w:w="0" w:type="auto"/>
            <w:tcBorders>
              <w:top w:val="nil"/>
              <w:left w:val="nil"/>
              <w:bottom w:val="single" w:sz="4" w:space="0" w:color="auto"/>
              <w:right w:val="single" w:sz="4" w:space="0" w:color="auto"/>
            </w:tcBorders>
            <w:vAlign w:val="center"/>
            <w:hideMark/>
          </w:tcPr>
          <w:p w14:paraId="05E69D5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7B2FD93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75AD0A6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banky, finančné holdingové spoločnosti a zmiešané finančné holdingové spoločnosti</w:t>
            </w:r>
          </w:p>
        </w:tc>
        <w:tc>
          <w:tcPr>
            <w:tcW w:w="0" w:type="auto"/>
            <w:tcBorders>
              <w:top w:val="nil"/>
              <w:left w:val="nil"/>
              <w:bottom w:val="single" w:sz="4" w:space="0" w:color="auto"/>
              <w:right w:val="single" w:sz="4" w:space="0" w:color="auto"/>
            </w:tcBorders>
            <w:vAlign w:val="center"/>
            <w:hideMark/>
          </w:tcPr>
          <w:p w14:paraId="0A757308"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 </w:t>
            </w:r>
          </w:p>
        </w:tc>
        <w:tc>
          <w:tcPr>
            <w:tcW w:w="0" w:type="auto"/>
            <w:tcBorders>
              <w:top w:val="nil"/>
              <w:left w:val="nil"/>
              <w:bottom w:val="single" w:sz="4" w:space="0" w:color="auto"/>
              <w:right w:val="single" w:sz="4" w:space="0" w:color="auto"/>
            </w:tcBorders>
            <w:shd w:val="clear" w:color="000000" w:fill="FFFFFF"/>
            <w:vAlign w:val="center"/>
            <w:hideMark/>
          </w:tcPr>
          <w:p w14:paraId="56CAAA6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425</w:t>
            </w:r>
          </w:p>
        </w:tc>
        <w:tc>
          <w:tcPr>
            <w:tcW w:w="0" w:type="auto"/>
            <w:tcBorders>
              <w:top w:val="nil"/>
              <w:left w:val="nil"/>
              <w:bottom w:val="single" w:sz="4" w:space="0" w:color="auto"/>
              <w:right w:val="single" w:sz="4" w:space="0" w:color="auto"/>
            </w:tcBorders>
            <w:vAlign w:val="center"/>
            <w:hideMark/>
          </w:tcPr>
          <w:p w14:paraId="37F75F7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425</w:t>
            </w:r>
          </w:p>
        </w:tc>
        <w:tc>
          <w:tcPr>
            <w:tcW w:w="0" w:type="auto"/>
            <w:tcBorders>
              <w:top w:val="nil"/>
              <w:left w:val="nil"/>
              <w:bottom w:val="single" w:sz="4" w:space="0" w:color="auto"/>
              <w:right w:val="single" w:sz="4" w:space="0" w:color="auto"/>
            </w:tcBorders>
            <w:vAlign w:val="center"/>
            <w:hideMark/>
          </w:tcPr>
          <w:p w14:paraId="28157D3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5B70A66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425</w:t>
            </w:r>
          </w:p>
        </w:tc>
        <w:tc>
          <w:tcPr>
            <w:tcW w:w="0" w:type="auto"/>
            <w:tcBorders>
              <w:top w:val="nil"/>
              <w:left w:val="nil"/>
              <w:bottom w:val="single" w:sz="4" w:space="0" w:color="auto"/>
              <w:right w:val="single" w:sz="4" w:space="0" w:color="auto"/>
            </w:tcBorders>
            <w:vAlign w:val="center"/>
            <w:hideMark/>
          </w:tcPr>
          <w:p w14:paraId="0BACA2F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834D452" w14:textId="77777777" w:rsidTr="00AD56A0">
        <w:trPr>
          <w:cantSplit/>
          <w:trHeight w:val="1785"/>
        </w:trPr>
        <w:tc>
          <w:tcPr>
            <w:tcW w:w="0" w:type="auto"/>
            <w:tcBorders>
              <w:top w:val="single" w:sz="4" w:space="0" w:color="auto"/>
              <w:left w:val="single" w:sz="4" w:space="0" w:color="auto"/>
              <w:bottom w:val="single" w:sz="4" w:space="0" w:color="auto"/>
              <w:right w:val="single" w:sz="4" w:space="0" w:color="auto"/>
            </w:tcBorders>
            <w:vAlign w:val="center"/>
            <w:hideMark/>
          </w:tcPr>
          <w:p w14:paraId="2C9E9F9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2</w:t>
            </w:r>
          </w:p>
        </w:tc>
        <w:tc>
          <w:tcPr>
            <w:tcW w:w="0" w:type="auto"/>
            <w:tcBorders>
              <w:top w:val="single" w:sz="4" w:space="0" w:color="auto"/>
              <w:left w:val="nil"/>
              <w:bottom w:val="single" w:sz="4" w:space="0" w:color="auto"/>
              <w:right w:val="single" w:sz="4" w:space="0" w:color="auto"/>
            </w:tcBorders>
            <w:vAlign w:val="center"/>
            <w:hideMark/>
          </w:tcPr>
          <w:p w14:paraId="5C5D770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udelenie predchádzajúceho súhlasu na zlúčenie alebo splynutie banky, finančnej holdingovej spoločnosti alebo zmiešanej finančnej holdingovej spoločnosti alebo na rozdelenie banky, finančnej holdingovej spoločnosti alebo zmiešanej finančnej holdingovej spoločnosti (špecifický symbol 1334)</w:t>
            </w:r>
          </w:p>
        </w:tc>
        <w:tc>
          <w:tcPr>
            <w:tcW w:w="0" w:type="auto"/>
            <w:tcBorders>
              <w:top w:val="single" w:sz="4" w:space="0" w:color="auto"/>
              <w:left w:val="nil"/>
              <w:bottom w:val="single" w:sz="4" w:space="0" w:color="auto"/>
              <w:right w:val="single" w:sz="4" w:space="0" w:color="auto"/>
            </w:tcBorders>
            <w:vAlign w:val="center"/>
            <w:hideMark/>
          </w:tcPr>
          <w:p w14:paraId="08ABA46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483/2001 Z. z. v znení zákona č. 30/2026 Z. z.</w:t>
            </w:r>
          </w:p>
        </w:tc>
        <w:tc>
          <w:tcPr>
            <w:tcW w:w="0" w:type="auto"/>
            <w:tcBorders>
              <w:top w:val="single" w:sz="4" w:space="0" w:color="auto"/>
              <w:left w:val="nil"/>
              <w:bottom w:val="single" w:sz="4" w:space="0" w:color="auto"/>
              <w:right w:val="single" w:sz="4" w:space="0" w:color="auto"/>
            </w:tcBorders>
            <w:vAlign w:val="center"/>
            <w:hideMark/>
          </w:tcPr>
          <w:p w14:paraId="3BCED5F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28g</w:t>
            </w:r>
          </w:p>
        </w:tc>
        <w:tc>
          <w:tcPr>
            <w:tcW w:w="0" w:type="auto"/>
            <w:tcBorders>
              <w:top w:val="single" w:sz="4" w:space="0" w:color="auto"/>
              <w:left w:val="nil"/>
              <w:bottom w:val="single" w:sz="4" w:space="0" w:color="auto"/>
              <w:right w:val="single" w:sz="4" w:space="0" w:color="auto"/>
            </w:tcBorders>
            <w:vAlign w:val="center"/>
            <w:hideMark/>
          </w:tcPr>
          <w:p w14:paraId="08F42B3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1A29E04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538EBA3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banky, finančné holdingové spoločnosti a zmiešané finančné holdingové spoločnosti</w:t>
            </w:r>
          </w:p>
        </w:tc>
        <w:tc>
          <w:tcPr>
            <w:tcW w:w="0" w:type="auto"/>
            <w:tcBorders>
              <w:top w:val="single" w:sz="4" w:space="0" w:color="auto"/>
              <w:left w:val="nil"/>
              <w:bottom w:val="single" w:sz="4" w:space="0" w:color="auto"/>
              <w:right w:val="single" w:sz="4" w:space="0" w:color="auto"/>
            </w:tcBorders>
            <w:vAlign w:val="center"/>
            <w:hideMark/>
          </w:tcPr>
          <w:p w14:paraId="258AE4CA"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5C77E92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7F3974B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A3F2C4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4492889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48FF3A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18426ED4" w14:textId="77777777" w:rsidTr="00F3455B">
        <w:trPr>
          <w:cantSplit/>
          <w:trHeight w:val="765"/>
        </w:trPr>
        <w:tc>
          <w:tcPr>
            <w:tcW w:w="0" w:type="auto"/>
            <w:tcBorders>
              <w:top w:val="nil"/>
              <w:left w:val="single" w:sz="4" w:space="0" w:color="auto"/>
              <w:bottom w:val="single" w:sz="4" w:space="0" w:color="auto"/>
              <w:right w:val="single" w:sz="4" w:space="0" w:color="auto"/>
            </w:tcBorders>
            <w:vAlign w:val="center"/>
            <w:hideMark/>
          </w:tcPr>
          <w:p w14:paraId="6DC20BC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w:t>
            </w:r>
          </w:p>
        </w:tc>
        <w:tc>
          <w:tcPr>
            <w:tcW w:w="0" w:type="auto"/>
            <w:tcBorders>
              <w:top w:val="nil"/>
              <w:left w:val="nil"/>
              <w:bottom w:val="single" w:sz="4" w:space="0" w:color="auto"/>
              <w:right w:val="single" w:sz="4" w:space="0" w:color="auto"/>
            </w:tcBorders>
            <w:vAlign w:val="center"/>
            <w:hideMark/>
          </w:tcPr>
          <w:p w14:paraId="4849CD4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zvýšenie poplatku za udelenie predchádzajúceho súhlasu na zmenu člena alebo zvolenie nového člena  štatutárneho orgánu (špecifický symbol 1316)</w:t>
            </w:r>
          </w:p>
        </w:tc>
        <w:tc>
          <w:tcPr>
            <w:tcW w:w="0" w:type="auto"/>
            <w:tcBorders>
              <w:top w:val="nil"/>
              <w:left w:val="nil"/>
              <w:bottom w:val="single" w:sz="4" w:space="0" w:color="auto"/>
              <w:right w:val="single" w:sz="4" w:space="0" w:color="auto"/>
            </w:tcBorders>
            <w:vAlign w:val="center"/>
            <w:hideMark/>
          </w:tcPr>
          <w:p w14:paraId="5254A81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483/2001 Z. z. v znení neskorších predpisov</w:t>
            </w:r>
          </w:p>
        </w:tc>
        <w:tc>
          <w:tcPr>
            <w:tcW w:w="0" w:type="auto"/>
            <w:tcBorders>
              <w:top w:val="nil"/>
              <w:left w:val="nil"/>
              <w:bottom w:val="single" w:sz="4" w:space="0" w:color="auto"/>
              <w:right w:val="single" w:sz="4" w:space="0" w:color="auto"/>
            </w:tcBorders>
            <w:vAlign w:val="center"/>
            <w:hideMark/>
          </w:tcPr>
          <w:p w14:paraId="14C1FE0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9 ods. 4</w:t>
            </w:r>
          </w:p>
        </w:tc>
        <w:tc>
          <w:tcPr>
            <w:tcW w:w="0" w:type="auto"/>
            <w:tcBorders>
              <w:top w:val="nil"/>
              <w:left w:val="nil"/>
              <w:bottom w:val="single" w:sz="4" w:space="0" w:color="auto"/>
              <w:right w:val="single" w:sz="4" w:space="0" w:color="auto"/>
            </w:tcBorders>
            <w:vAlign w:val="center"/>
            <w:hideMark/>
          </w:tcPr>
          <w:p w14:paraId="713C4EA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31A2484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39BB2C4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banky</w:t>
            </w:r>
          </w:p>
        </w:tc>
        <w:tc>
          <w:tcPr>
            <w:tcW w:w="0" w:type="auto"/>
            <w:tcBorders>
              <w:top w:val="nil"/>
              <w:left w:val="nil"/>
              <w:bottom w:val="single" w:sz="4" w:space="0" w:color="auto"/>
              <w:right w:val="single" w:sz="4" w:space="0" w:color="auto"/>
            </w:tcBorders>
            <w:vAlign w:val="center"/>
            <w:hideMark/>
          </w:tcPr>
          <w:p w14:paraId="5C9D5B08"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15 </w:t>
            </w:r>
          </w:p>
        </w:tc>
        <w:tc>
          <w:tcPr>
            <w:tcW w:w="0" w:type="auto"/>
            <w:tcBorders>
              <w:top w:val="nil"/>
              <w:left w:val="nil"/>
              <w:bottom w:val="single" w:sz="4" w:space="0" w:color="auto"/>
              <w:right w:val="single" w:sz="4" w:space="0" w:color="auto"/>
            </w:tcBorders>
            <w:vAlign w:val="center"/>
            <w:hideMark/>
          </w:tcPr>
          <w:p w14:paraId="1BBA1C3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28</w:t>
            </w:r>
          </w:p>
        </w:tc>
        <w:tc>
          <w:tcPr>
            <w:tcW w:w="0" w:type="auto"/>
            <w:tcBorders>
              <w:top w:val="nil"/>
              <w:left w:val="nil"/>
              <w:bottom w:val="single" w:sz="4" w:space="0" w:color="auto"/>
              <w:right w:val="single" w:sz="4" w:space="0" w:color="auto"/>
            </w:tcBorders>
            <w:vAlign w:val="center"/>
            <w:hideMark/>
          </w:tcPr>
          <w:p w14:paraId="4DD87F4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413</w:t>
            </w:r>
          </w:p>
        </w:tc>
        <w:tc>
          <w:tcPr>
            <w:tcW w:w="0" w:type="auto"/>
            <w:tcBorders>
              <w:top w:val="nil"/>
              <w:left w:val="nil"/>
              <w:bottom w:val="single" w:sz="4" w:space="0" w:color="auto"/>
              <w:right w:val="single" w:sz="4" w:space="0" w:color="auto"/>
            </w:tcBorders>
            <w:vAlign w:val="center"/>
            <w:hideMark/>
          </w:tcPr>
          <w:p w14:paraId="0597D43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2CB3DF8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413</w:t>
            </w:r>
          </w:p>
        </w:tc>
        <w:tc>
          <w:tcPr>
            <w:tcW w:w="0" w:type="auto"/>
            <w:tcBorders>
              <w:top w:val="nil"/>
              <w:left w:val="nil"/>
              <w:bottom w:val="single" w:sz="4" w:space="0" w:color="auto"/>
              <w:right w:val="single" w:sz="4" w:space="0" w:color="auto"/>
            </w:tcBorders>
            <w:vAlign w:val="center"/>
            <w:hideMark/>
          </w:tcPr>
          <w:p w14:paraId="0B93DAD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2F0AA3C" w14:textId="77777777" w:rsidTr="00F3455B">
        <w:trPr>
          <w:cantSplit/>
          <w:trHeight w:val="765"/>
        </w:trPr>
        <w:tc>
          <w:tcPr>
            <w:tcW w:w="0" w:type="auto"/>
            <w:tcBorders>
              <w:top w:val="nil"/>
              <w:left w:val="single" w:sz="4" w:space="0" w:color="auto"/>
              <w:bottom w:val="single" w:sz="4" w:space="0" w:color="auto"/>
              <w:right w:val="single" w:sz="4" w:space="0" w:color="auto"/>
            </w:tcBorders>
            <w:vAlign w:val="center"/>
            <w:hideMark/>
          </w:tcPr>
          <w:p w14:paraId="47A2729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w:t>
            </w:r>
          </w:p>
        </w:tc>
        <w:tc>
          <w:tcPr>
            <w:tcW w:w="0" w:type="auto"/>
            <w:tcBorders>
              <w:top w:val="nil"/>
              <w:left w:val="nil"/>
              <w:bottom w:val="single" w:sz="4" w:space="0" w:color="auto"/>
              <w:right w:val="single" w:sz="4" w:space="0" w:color="auto"/>
            </w:tcBorders>
            <w:vAlign w:val="center"/>
            <w:hideMark/>
          </w:tcPr>
          <w:p w14:paraId="3E13C25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zvýšenie poplatku za predchádzajúci súhlas na zmenu člena alebo zvolenie nového člena dozornej rady (špecifický symbol 1317)</w:t>
            </w:r>
          </w:p>
        </w:tc>
        <w:tc>
          <w:tcPr>
            <w:tcW w:w="0" w:type="auto"/>
            <w:tcBorders>
              <w:top w:val="nil"/>
              <w:left w:val="nil"/>
              <w:bottom w:val="single" w:sz="4" w:space="0" w:color="auto"/>
              <w:right w:val="single" w:sz="4" w:space="0" w:color="auto"/>
            </w:tcBorders>
            <w:vAlign w:val="center"/>
            <w:hideMark/>
          </w:tcPr>
          <w:p w14:paraId="171313C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483/2001 Z. z. v znení neskorších predpisov</w:t>
            </w:r>
          </w:p>
        </w:tc>
        <w:tc>
          <w:tcPr>
            <w:tcW w:w="0" w:type="auto"/>
            <w:tcBorders>
              <w:top w:val="nil"/>
              <w:left w:val="nil"/>
              <w:bottom w:val="single" w:sz="4" w:space="0" w:color="auto"/>
              <w:right w:val="single" w:sz="4" w:space="0" w:color="auto"/>
            </w:tcBorders>
            <w:vAlign w:val="center"/>
            <w:hideMark/>
          </w:tcPr>
          <w:p w14:paraId="51EB0F3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9 ods. 4</w:t>
            </w:r>
          </w:p>
        </w:tc>
        <w:tc>
          <w:tcPr>
            <w:tcW w:w="0" w:type="auto"/>
            <w:tcBorders>
              <w:top w:val="nil"/>
              <w:left w:val="nil"/>
              <w:bottom w:val="single" w:sz="4" w:space="0" w:color="auto"/>
              <w:right w:val="single" w:sz="4" w:space="0" w:color="auto"/>
            </w:tcBorders>
            <w:vAlign w:val="center"/>
            <w:hideMark/>
          </w:tcPr>
          <w:p w14:paraId="41B37AD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1D7D278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65617B0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banky</w:t>
            </w:r>
          </w:p>
        </w:tc>
        <w:tc>
          <w:tcPr>
            <w:tcW w:w="0" w:type="auto"/>
            <w:tcBorders>
              <w:top w:val="nil"/>
              <w:left w:val="nil"/>
              <w:bottom w:val="single" w:sz="4" w:space="0" w:color="auto"/>
              <w:right w:val="single" w:sz="4" w:space="0" w:color="auto"/>
            </w:tcBorders>
            <w:vAlign w:val="center"/>
            <w:hideMark/>
          </w:tcPr>
          <w:p w14:paraId="67BA4683"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20 </w:t>
            </w:r>
          </w:p>
        </w:tc>
        <w:tc>
          <w:tcPr>
            <w:tcW w:w="0" w:type="auto"/>
            <w:tcBorders>
              <w:top w:val="nil"/>
              <w:left w:val="nil"/>
              <w:bottom w:val="single" w:sz="4" w:space="0" w:color="auto"/>
              <w:right w:val="single" w:sz="4" w:space="0" w:color="auto"/>
            </w:tcBorders>
            <w:vAlign w:val="center"/>
            <w:hideMark/>
          </w:tcPr>
          <w:p w14:paraId="702FF08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28</w:t>
            </w:r>
          </w:p>
        </w:tc>
        <w:tc>
          <w:tcPr>
            <w:tcW w:w="0" w:type="auto"/>
            <w:tcBorders>
              <w:top w:val="nil"/>
              <w:left w:val="nil"/>
              <w:bottom w:val="single" w:sz="4" w:space="0" w:color="auto"/>
              <w:right w:val="single" w:sz="4" w:space="0" w:color="auto"/>
            </w:tcBorders>
            <w:vAlign w:val="center"/>
            <w:hideMark/>
          </w:tcPr>
          <w:p w14:paraId="7A2C065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550</w:t>
            </w:r>
          </w:p>
        </w:tc>
        <w:tc>
          <w:tcPr>
            <w:tcW w:w="0" w:type="auto"/>
            <w:tcBorders>
              <w:top w:val="nil"/>
              <w:left w:val="nil"/>
              <w:bottom w:val="single" w:sz="4" w:space="0" w:color="auto"/>
              <w:right w:val="single" w:sz="4" w:space="0" w:color="auto"/>
            </w:tcBorders>
            <w:vAlign w:val="center"/>
            <w:hideMark/>
          </w:tcPr>
          <w:p w14:paraId="05FC55E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3C795DF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550</w:t>
            </w:r>
          </w:p>
        </w:tc>
        <w:tc>
          <w:tcPr>
            <w:tcW w:w="0" w:type="auto"/>
            <w:tcBorders>
              <w:top w:val="nil"/>
              <w:left w:val="nil"/>
              <w:bottom w:val="single" w:sz="4" w:space="0" w:color="auto"/>
              <w:right w:val="single" w:sz="4" w:space="0" w:color="auto"/>
            </w:tcBorders>
            <w:vAlign w:val="center"/>
            <w:hideMark/>
          </w:tcPr>
          <w:p w14:paraId="1716595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F4F7FBD" w14:textId="77777777" w:rsidTr="00AD56A0">
        <w:trPr>
          <w:cantSplit/>
          <w:trHeight w:val="1530"/>
        </w:trPr>
        <w:tc>
          <w:tcPr>
            <w:tcW w:w="0" w:type="auto"/>
            <w:tcBorders>
              <w:top w:val="single" w:sz="4" w:space="0" w:color="auto"/>
              <w:left w:val="single" w:sz="4" w:space="0" w:color="auto"/>
              <w:bottom w:val="single" w:sz="4" w:space="0" w:color="auto"/>
              <w:right w:val="single" w:sz="4" w:space="0" w:color="auto"/>
            </w:tcBorders>
            <w:vAlign w:val="center"/>
            <w:hideMark/>
          </w:tcPr>
          <w:p w14:paraId="55BF8B6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5</w:t>
            </w:r>
          </w:p>
        </w:tc>
        <w:tc>
          <w:tcPr>
            <w:tcW w:w="0" w:type="auto"/>
            <w:tcBorders>
              <w:top w:val="single" w:sz="4" w:space="0" w:color="auto"/>
              <w:left w:val="nil"/>
              <w:bottom w:val="single" w:sz="4" w:space="0" w:color="auto"/>
              <w:right w:val="single" w:sz="4" w:space="0" w:color="auto"/>
            </w:tcBorders>
            <w:vAlign w:val="center"/>
            <w:hideMark/>
          </w:tcPr>
          <w:p w14:paraId="3053AC7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stanovenie poplatku za udelenie predchádzajúceho súhlasu na ustanovenie osoby zastávajúcej kľúčovú funkciu podľa § 5 písm. an) zákona o bankách (špecifický symbol 1335) </w:t>
            </w:r>
          </w:p>
        </w:tc>
        <w:tc>
          <w:tcPr>
            <w:tcW w:w="0" w:type="auto"/>
            <w:tcBorders>
              <w:top w:val="single" w:sz="4" w:space="0" w:color="auto"/>
              <w:left w:val="nil"/>
              <w:bottom w:val="single" w:sz="4" w:space="0" w:color="auto"/>
              <w:right w:val="single" w:sz="4" w:space="0" w:color="auto"/>
            </w:tcBorders>
            <w:vAlign w:val="center"/>
            <w:hideMark/>
          </w:tcPr>
          <w:p w14:paraId="150BEDA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483/2001 Z. z. v znení neskorších predpisov</w:t>
            </w:r>
          </w:p>
        </w:tc>
        <w:tc>
          <w:tcPr>
            <w:tcW w:w="0" w:type="auto"/>
            <w:tcBorders>
              <w:top w:val="single" w:sz="4" w:space="0" w:color="auto"/>
              <w:left w:val="nil"/>
              <w:bottom w:val="single" w:sz="4" w:space="0" w:color="auto"/>
              <w:right w:val="single" w:sz="4" w:space="0" w:color="auto"/>
            </w:tcBorders>
            <w:vAlign w:val="center"/>
            <w:hideMark/>
          </w:tcPr>
          <w:p w14:paraId="05A80D4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9 ods. 4 a 5 </w:t>
            </w:r>
          </w:p>
        </w:tc>
        <w:tc>
          <w:tcPr>
            <w:tcW w:w="0" w:type="auto"/>
            <w:tcBorders>
              <w:top w:val="single" w:sz="4" w:space="0" w:color="auto"/>
              <w:left w:val="nil"/>
              <w:bottom w:val="single" w:sz="4" w:space="0" w:color="auto"/>
              <w:right w:val="single" w:sz="4" w:space="0" w:color="auto"/>
            </w:tcBorders>
            <w:vAlign w:val="center"/>
            <w:hideMark/>
          </w:tcPr>
          <w:p w14:paraId="1B1179A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08753CB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4A5DBD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banky, pobočky zahraničných bánk so sídlom mimo územia členského štátu</w:t>
            </w:r>
          </w:p>
        </w:tc>
        <w:tc>
          <w:tcPr>
            <w:tcW w:w="0" w:type="auto"/>
            <w:tcBorders>
              <w:top w:val="single" w:sz="4" w:space="0" w:color="auto"/>
              <w:left w:val="nil"/>
              <w:bottom w:val="single" w:sz="4" w:space="0" w:color="auto"/>
              <w:right w:val="single" w:sz="4" w:space="0" w:color="auto"/>
            </w:tcBorders>
            <w:vAlign w:val="center"/>
            <w:hideMark/>
          </w:tcPr>
          <w:p w14:paraId="39EEBD63"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20 </w:t>
            </w:r>
          </w:p>
        </w:tc>
        <w:tc>
          <w:tcPr>
            <w:tcW w:w="0" w:type="auto"/>
            <w:tcBorders>
              <w:top w:val="single" w:sz="4" w:space="0" w:color="auto"/>
              <w:left w:val="nil"/>
              <w:bottom w:val="single" w:sz="4" w:space="0" w:color="auto"/>
              <w:right w:val="single" w:sz="4" w:space="0" w:color="auto"/>
            </w:tcBorders>
            <w:vAlign w:val="center"/>
            <w:hideMark/>
          </w:tcPr>
          <w:p w14:paraId="16E45E5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28</w:t>
            </w:r>
          </w:p>
        </w:tc>
        <w:tc>
          <w:tcPr>
            <w:tcW w:w="0" w:type="auto"/>
            <w:tcBorders>
              <w:top w:val="single" w:sz="4" w:space="0" w:color="auto"/>
              <w:left w:val="nil"/>
              <w:bottom w:val="single" w:sz="4" w:space="0" w:color="auto"/>
              <w:right w:val="single" w:sz="4" w:space="0" w:color="auto"/>
            </w:tcBorders>
            <w:vAlign w:val="center"/>
            <w:hideMark/>
          </w:tcPr>
          <w:p w14:paraId="52045EF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550</w:t>
            </w:r>
          </w:p>
        </w:tc>
        <w:tc>
          <w:tcPr>
            <w:tcW w:w="0" w:type="auto"/>
            <w:tcBorders>
              <w:top w:val="single" w:sz="4" w:space="0" w:color="auto"/>
              <w:left w:val="nil"/>
              <w:bottom w:val="single" w:sz="4" w:space="0" w:color="auto"/>
              <w:right w:val="single" w:sz="4" w:space="0" w:color="auto"/>
            </w:tcBorders>
            <w:vAlign w:val="center"/>
            <w:hideMark/>
          </w:tcPr>
          <w:p w14:paraId="0CBAF88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7BDD16A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550</w:t>
            </w:r>
          </w:p>
        </w:tc>
        <w:tc>
          <w:tcPr>
            <w:tcW w:w="0" w:type="auto"/>
            <w:tcBorders>
              <w:top w:val="single" w:sz="4" w:space="0" w:color="auto"/>
              <w:left w:val="nil"/>
              <w:bottom w:val="single" w:sz="4" w:space="0" w:color="auto"/>
              <w:right w:val="single" w:sz="4" w:space="0" w:color="auto"/>
            </w:tcBorders>
            <w:vAlign w:val="center"/>
            <w:hideMark/>
          </w:tcPr>
          <w:p w14:paraId="6BB9F22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5D96FACA"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37E44E6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6</w:t>
            </w:r>
          </w:p>
        </w:tc>
        <w:tc>
          <w:tcPr>
            <w:tcW w:w="0" w:type="auto"/>
            <w:tcBorders>
              <w:top w:val="nil"/>
              <w:left w:val="nil"/>
              <w:bottom w:val="single" w:sz="4" w:space="0" w:color="auto"/>
              <w:right w:val="single" w:sz="4" w:space="0" w:color="auto"/>
            </w:tcBorders>
            <w:vAlign w:val="center"/>
            <w:hideMark/>
          </w:tcPr>
          <w:p w14:paraId="4C9F951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udelenie predchádzajúceho súhlasu na ustanovenie osoby podľa § 8e ods. 1 zákona o bankách alebo člena riadiaceho výboru podľa § 8e ods. 3 zákona o bankách (špecifický symbol 1336)</w:t>
            </w:r>
          </w:p>
        </w:tc>
        <w:tc>
          <w:tcPr>
            <w:tcW w:w="0" w:type="auto"/>
            <w:tcBorders>
              <w:top w:val="nil"/>
              <w:left w:val="nil"/>
              <w:bottom w:val="single" w:sz="4" w:space="0" w:color="auto"/>
              <w:right w:val="single" w:sz="4" w:space="0" w:color="auto"/>
            </w:tcBorders>
            <w:vAlign w:val="center"/>
            <w:hideMark/>
          </w:tcPr>
          <w:p w14:paraId="2128440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483/2001 Z. z. v znení neskorších predpisov</w:t>
            </w:r>
          </w:p>
        </w:tc>
        <w:tc>
          <w:tcPr>
            <w:tcW w:w="0" w:type="auto"/>
            <w:tcBorders>
              <w:top w:val="nil"/>
              <w:left w:val="nil"/>
              <w:bottom w:val="single" w:sz="4" w:space="0" w:color="auto"/>
              <w:right w:val="single" w:sz="4" w:space="0" w:color="auto"/>
            </w:tcBorders>
            <w:vAlign w:val="center"/>
            <w:hideMark/>
          </w:tcPr>
          <w:p w14:paraId="20C6161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9 ods. 5</w:t>
            </w:r>
          </w:p>
        </w:tc>
        <w:tc>
          <w:tcPr>
            <w:tcW w:w="0" w:type="auto"/>
            <w:tcBorders>
              <w:top w:val="nil"/>
              <w:left w:val="nil"/>
              <w:bottom w:val="single" w:sz="4" w:space="0" w:color="auto"/>
              <w:right w:val="single" w:sz="4" w:space="0" w:color="auto"/>
            </w:tcBorders>
            <w:vAlign w:val="center"/>
            <w:hideMark/>
          </w:tcPr>
          <w:p w14:paraId="6A4917A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111DA2E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11.01.27</w:t>
            </w:r>
          </w:p>
        </w:tc>
        <w:tc>
          <w:tcPr>
            <w:tcW w:w="0" w:type="auto"/>
            <w:tcBorders>
              <w:top w:val="nil"/>
              <w:left w:val="nil"/>
              <w:bottom w:val="single" w:sz="4" w:space="0" w:color="auto"/>
              <w:right w:val="single" w:sz="4" w:space="0" w:color="auto"/>
            </w:tcBorders>
            <w:vAlign w:val="center"/>
            <w:hideMark/>
          </w:tcPr>
          <w:p w14:paraId="38FF896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pobočky zahraničných bánk so sídlom mimo územia členského štátu</w:t>
            </w:r>
          </w:p>
        </w:tc>
        <w:tc>
          <w:tcPr>
            <w:tcW w:w="0" w:type="auto"/>
            <w:tcBorders>
              <w:top w:val="nil"/>
              <w:left w:val="nil"/>
              <w:bottom w:val="single" w:sz="4" w:space="0" w:color="auto"/>
              <w:right w:val="single" w:sz="4" w:space="0" w:color="auto"/>
            </w:tcBorders>
            <w:vAlign w:val="center"/>
            <w:hideMark/>
          </w:tcPr>
          <w:p w14:paraId="3E48110F"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6DC34CF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786C2B0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68BC2F5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16702D0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687CA0B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742A863" w14:textId="77777777" w:rsidTr="00F3455B">
        <w:trPr>
          <w:cantSplit/>
          <w:trHeight w:val="765"/>
        </w:trPr>
        <w:tc>
          <w:tcPr>
            <w:tcW w:w="0" w:type="auto"/>
            <w:tcBorders>
              <w:top w:val="nil"/>
              <w:left w:val="single" w:sz="4" w:space="0" w:color="auto"/>
              <w:bottom w:val="single" w:sz="4" w:space="0" w:color="auto"/>
              <w:right w:val="single" w:sz="4" w:space="0" w:color="auto"/>
            </w:tcBorders>
            <w:vAlign w:val="center"/>
            <w:hideMark/>
          </w:tcPr>
          <w:p w14:paraId="041FFFE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7</w:t>
            </w:r>
          </w:p>
        </w:tc>
        <w:tc>
          <w:tcPr>
            <w:tcW w:w="0" w:type="auto"/>
            <w:tcBorders>
              <w:top w:val="nil"/>
              <w:left w:val="nil"/>
              <w:bottom w:val="single" w:sz="4" w:space="0" w:color="auto"/>
              <w:right w:val="single" w:sz="4" w:space="0" w:color="auto"/>
            </w:tcBorders>
            <w:vAlign w:val="center"/>
            <w:hideMark/>
          </w:tcPr>
          <w:p w14:paraId="5AA9500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udelenie predchádzajúceho súhlasu na zmenu vedúceho pobočky zahraničnej banky (špecifický symbol 1320)</w:t>
            </w:r>
          </w:p>
        </w:tc>
        <w:tc>
          <w:tcPr>
            <w:tcW w:w="0" w:type="auto"/>
            <w:tcBorders>
              <w:top w:val="nil"/>
              <w:left w:val="nil"/>
              <w:bottom w:val="single" w:sz="4" w:space="0" w:color="auto"/>
              <w:right w:val="single" w:sz="4" w:space="0" w:color="auto"/>
            </w:tcBorders>
            <w:vAlign w:val="center"/>
            <w:hideMark/>
          </w:tcPr>
          <w:p w14:paraId="2C701A3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483/2001 Z. z. v znení neskorších predpisov</w:t>
            </w:r>
          </w:p>
        </w:tc>
        <w:tc>
          <w:tcPr>
            <w:tcW w:w="0" w:type="auto"/>
            <w:tcBorders>
              <w:top w:val="nil"/>
              <w:left w:val="nil"/>
              <w:bottom w:val="single" w:sz="4" w:space="0" w:color="auto"/>
              <w:right w:val="single" w:sz="4" w:space="0" w:color="auto"/>
            </w:tcBorders>
            <w:vAlign w:val="center"/>
            <w:hideMark/>
          </w:tcPr>
          <w:p w14:paraId="63A9E17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9 ods. 5</w:t>
            </w:r>
          </w:p>
        </w:tc>
        <w:tc>
          <w:tcPr>
            <w:tcW w:w="0" w:type="auto"/>
            <w:tcBorders>
              <w:top w:val="nil"/>
              <w:left w:val="nil"/>
              <w:bottom w:val="single" w:sz="4" w:space="0" w:color="auto"/>
              <w:right w:val="single" w:sz="4" w:space="0" w:color="auto"/>
            </w:tcBorders>
            <w:vAlign w:val="center"/>
            <w:hideMark/>
          </w:tcPr>
          <w:p w14:paraId="073B118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001D5C7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0170051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pobočky zahraničných bánk</w:t>
            </w:r>
          </w:p>
        </w:tc>
        <w:tc>
          <w:tcPr>
            <w:tcW w:w="0" w:type="auto"/>
            <w:tcBorders>
              <w:top w:val="nil"/>
              <w:left w:val="nil"/>
              <w:bottom w:val="single" w:sz="4" w:space="0" w:color="auto"/>
              <w:right w:val="single" w:sz="4" w:space="0" w:color="auto"/>
            </w:tcBorders>
            <w:vAlign w:val="center"/>
            <w:hideMark/>
          </w:tcPr>
          <w:p w14:paraId="417FF303"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649A900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1893EB6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7DB9C0B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5A238D4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0EF408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1D6022CC" w14:textId="77777777" w:rsidTr="00F3455B">
        <w:trPr>
          <w:cantSplit/>
          <w:trHeight w:val="765"/>
        </w:trPr>
        <w:tc>
          <w:tcPr>
            <w:tcW w:w="0" w:type="auto"/>
            <w:tcBorders>
              <w:top w:val="nil"/>
              <w:left w:val="single" w:sz="4" w:space="0" w:color="auto"/>
              <w:bottom w:val="single" w:sz="4" w:space="0" w:color="auto"/>
              <w:right w:val="single" w:sz="4" w:space="0" w:color="auto"/>
            </w:tcBorders>
            <w:vAlign w:val="center"/>
            <w:hideMark/>
          </w:tcPr>
          <w:p w14:paraId="13429D3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8</w:t>
            </w:r>
          </w:p>
        </w:tc>
        <w:tc>
          <w:tcPr>
            <w:tcW w:w="0" w:type="auto"/>
            <w:tcBorders>
              <w:top w:val="nil"/>
              <w:left w:val="nil"/>
              <w:bottom w:val="single" w:sz="4" w:space="0" w:color="auto"/>
              <w:right w:val="single" w:sz="4" w:space="0" w:color="auto"/>
            </w:tcBorders>
            <w:vAlign w:val="center"/>
            <w:hideMark/>
          </w:tcPr>
          <w:p w14:paraId="7D95B96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udelenie povolenia na zahrnutie predbežných alebo koncoročných ziskov do vlastného kapitálu Tier 1 (špecifický symbol 2128)</w:t>
            </w:r>
          </w:p>
        </w:tc>
        <w:tc>
          <w:tcPr>
            <w:tcW w:w="0" w:type="auto"/>
            <w:tcBorders>
              <w:top w:val="nil"/>
              <w:left w:val="nil"/>
              <w:bottom w:val="single" w:sz="4" w:space="0" w:color="auto"/>
              <w:right w:val="single" w:sz="4" w:space="0" w:color="auto"/>
            </w:tcBorders>
            <w:vAlign w:val="center"/>
            <w:hideMark/>
          </w:tcPr>
          <w:p w14:paraId="73F71C6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č. 575/2013 v platnom znení</w:t>
            </w:r>
          </w:p>
        </w:tc>
        <w:tc>
          <w:tcPr>
            <w:tcW w:w="0" w:type="auto"/>
            <w:tcBorders>
              <w:top w:val="nil"/>
              <w:left w:val="nil"/>
              <w:bottom w:val="single" w:sz="4" w:space="0" w:color="auto"/>
              <w:right w:val="single" w:sz="4" w:space="0" w:color="auto"/>
            </w:tcBorders>
            <w:vAlign w:val="center"/>
            <w:hideMark/>
          </w:tcPr>
          <w:p w14:paraId="6A0A8AC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26 ods. 2</w:t>
            </w:r>
          </w:p>
        </w:tc>
        <w:tc>
          <w:tcPr>
            <w:tcW w:w="0" w:type="auto"/>
            <w:tcBorders>
              <w:top w:val="nil"/>
              <w:left w:val="nil"/>
              <w:bottom w:val="single" w:sz="4" w:space="0" w:color="auto"/>
              <w:right w:val="single" w:sz="4" w:space="0" w:color="auto"/>
            </w:tcBorders>
            <w:vAlign w:val="center"/>
            <w:hideMark/>
          </w:tcPr>
          <w:p w14:paraId="317B57B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63E0529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2FCCEED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obchodníci s cennými papiermi</w:t>
            </w:r>
          </w:p>
        </w:tc>
        <w:tc>
          <w:tcPr>
            <w:tcW w:w="0" w:type="auto"/>
            <w:tcBorders>
              <w:top w:val="nil"/>
              <w:left w:val="nil"/>
              <w:bottom w:val="single" w:sz="4" w:space="0" w:color="auto"/>
              <w:right w:val="single" w:sz="4" w:space="0" w:color="auto"/>
            </w:tcBorders>
            <w:vAlign w:val="center"/>
            <w:hideMark/>
          </w:tcPr>
          <w:p w14:paraId="63F3068B"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 </w:t>
            </w:r>
          </w:p>
        </w:tc>
        <w:tc>
          <w:tcPr>
            <w:tcW w:w="0" w:type="auto"/>
            <w:tcBorders>
              <w:top w:val="nil"/>
              <w:left w:val="nil"/>
              <w:bottom w:val="single" w:sz="4" w:space="0" w:color="auto"/>
              <w:right w:val="single" w:sz="4" w:space="0" w:color="auto"/>
            </w:tcBorders>
            <w:vAlign w:val="center"/>
            <w:hideMark/>
          </w:tcPr>
          <w:p w14:paraId="7D4EDFE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425</w:t>
            </w:r>
          </w:p>
        </w:tc>
        <w:tc>
          <w:tcPr>
            <w:tcW w:w="0" w:type="auto"/>
            <w:tcBorders>
              <w:top w:val="nil"/>
              <w:left w:val="nil"/>
              <w:bottom w:val="single" w:sz="4" w:space="0" w:color="auto"/>
              <w:right w:val="single" w:sz="4" w:space="0" w:color="auto"/>
            </w:tcBorders>
            <w:vAlign w:val="center"/>
            <w:hideMark/>
          </w:tcPr>
          <w:p w14:paraId="55F19AB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425</w:t>
            </w:r>
          </w:p>
        </w:tc>
        <w:tc>
          <w:tcPr>
            <w:tcW w:w="0" w:type="auto"/>
            <w:tcBorders>
              <w:top w:val="nil"/>
              <w:left w:val="nil"/>
              <w:bottom w:val="single" w:sz="4" w:space="0" w:color="auto"/>
              <w:right w:val="single" w:sz="4" w:space="0" w:color="auto"/>
            </w:tcBorders>
            <w:vAlign w:val="center"/>
            <w:hideMark/>
          </w:tcPr>
          <w:p w14:paraId="30C8E54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261182C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425</w:t>
            </w:r>
          </w:p>
        </w:tc>
        <w:tc>
          <w:tcPr>
            <w:tcW w:w="0" w:type="auto"/>
            <w:tcBorders>
              <w:top w:val="nil"/>
              <w:left w:val="nil"/>
              <w:bottom w:val="single" w:sz="4" w:space="0" w:color="auto"/>
              <w:right w:val="single" w:sz="4" w:space="0" w:color="auto"/>
            </w:tcBorders>
            <w:vAlign w:val="center"/>
            <w:hideMark/>
          </w:tcPr>
          <w:p w14:paraId="08D2006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747A690F" w14:textId="77777777" w:rsidTr="00AD56A0">
        <w:trPr>
          <w:cantSplit/>
          <w:trHeight w:val="1020"/>
        </w:trPr>
        <w:tc>
          <w:tcPr>
            <w:tcW w:w="0" w:type="auto"/>
            <w:tcBorders>
              <w:top w:val="single" w:sz="4" w:space="0" w:color="auto"/>
              <w:left w:val="single" w:sz="4" w:space="0" w:color="auto"/>
              <w:bottom w:val="single" w:sz="4" w:space="0" w:color="auto"/>
              <w:right w:val="single" w:sz="4" w:space="0" w:color="auto"/>
            </w:tcBorders>
            <w:vAlign w:val="center"/>
            <w:hideMark/>
          </w:tcPr>
          <w:p w14:paraId="0C23BCA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9</w:t>
            </w:r>
          </w:p>
        </w:tc>
        <w:tc>
          <w:tcPr>
            <w:tcW w:w="0" w:type="auto"/>
            <w:tcBorders>
              <w:top w:val="single" w:sz="4" w:space="0" w:color="auto"/>
              <w:left w:val="nil"/>
              <w:bottom w:val="single" w:sz="4" w:space="0" w:color="auto"/>
              <w:right w:val="single" w:sz="4" w:space="0" w:color="auto"/>
            </w:tcBorders>
            <w:vAlign w:val="center"/>
            <w:hideMark/>
          </w:tcPr>
          <w:p w14:paraId="52095CF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udelenie povolenia na používanie alternatívnych interných modelov na výpočet požiadaviek na vlastné zdroje (špecifický symbol 2129)</w:t>
            </w:r>
          </w:p>
        </w:tc>
        <w:tc>
          <w:tcPr>
            <w:tcW w:w="0" w:type="auto"/>
            <w:tcBorders>
              <w:top w:val="single" w:sz="4" w:space="0" w:color="auto"/>
              <w:left w:val="nil"/>
              <w:bottom w:val="single" w:sz="4" w:space="0" w:color="auto"/>
              <w:right w:val="single" w:sz="4" w:space="0" w:color="auto"/>
            </w:tcBorders>
            <w:vAlign w:val="center"/>
            <w:hideMark/>
          </w:tcPr>
          <w:p w14:paraId="4C41153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č. 575/2013 v platnom znení</w:t>
            </w:r>
          </w:p>
        </w:tc>
        <w:tc>
          <w:tcPr>
            <w:tcW w:w="0" w:type="auto"/>
            <w:tcBorders>
              <w:top w:val="single" w:sz="4" w:space="0" w:color="auto"/>
              <w:left w:val="nil"/>
              <w:bottom w:val="single" w:sz="4" w:space="0" w:color="auto"/>
              <w:right w:val="single" w:sz="4" w:space="0" w:color="auto"/>
            </w:tcBorders>
            <w:vAlign w:val="center"/>
            <w:hideMark/>
          </w:tcPr>
          <w:p w14:paraId="77D8183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Čl. 325az </w:t>
            </w:r>
          </w:p>
        </w:tc>
        <w:tc>
          <w:tcPr>
            <w:tcW w:w="0" w:type="auto"/>
            <w:tcBorders>
              <w:top w:val="single" w:sz="4" w:space="0" w:color="auto"/>
              <w:left w:val="nil"/>
              <w:bottom w:val="single" w:sz="4" w:space="0" w:color="auto"/>
              <w:right w:val="single" w:sz="4" w:space="0" w:color="auto"/>
            </w:tcBorders>
            <w:vAlign w:val="center"/>
            <w:hideMark/>
          </w:tcPr>
          <w:p w14:paraId="38255D5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0C7A42A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495B99B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obchodníci s cennými papiermi</w:t>
            </w:r>
          </w:p>
        </w:tc>
        <w:tc>
          <w:tcPr>
            <w:tcW w:w="0" w:type="auto"/>
            <w:tcBorders>
              <w:top w:val="single" w:sz="4" w:space="0" w:color="auto"/>
              <w:left w:val="nil"/>
              <w:bottom w:val="single" w:sz="4" w:space="0" w:color="auto"/>
              <w:right w:val="single" w:sz="4" w:space="0" w:color="auto"/>
            </w:tcBorders>
            <w:vAlign w:val="center"/>
            <w:hideMark/>
          </w:tcPr>
          <w:p w14:paraId="5A240EC4"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34574B8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3F910C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5044AA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20B0A54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3C1B95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1BEE1F9"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171D4EE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10</w:t>
            </w:r>
          </w:p>
        </w:tc>
        <w:tc>
          <w:tcPr>
            <w:tcW w:w="0" w:type="auto"/>
            <w:tcBorders>
              <w:top w:val="nil"/>
              <w:left w:val="nil"/>
              <w:bottom w:val="single" w:sz="4" w:space="0" w:color="auto"/>
              <w:right w:val="single" w:sz="4" w:space="0" w:color="auto"/>
            </w:tcBorders>
            <w:vAlign w:val="center"/>
            <w:hideMark/>
          </w:tcPr>
          <w:p w14:paraId="5A6991E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udelenie predchádzajúceho súhlasu na predĺženie časového obdobia podľa § 37e ods. 10 písm. a) zákona č. 203/2011 Z. z. v znení neskorších predpisov najviac o  ďalších 12 mesiacov (špecifický symbol 2371)</w:t>
            </w:r>
          </w:p>
        </w:tc>
        <w:tc>
          <w:tcPr>
            <w:tcW w:w="0" w:type="auto"/>
            <w:tcBorders>
              <w:top w:val="nil"/>
              <w:left w:val="nil"/>
              <w:bottom w:val="single" w:sz="4" w:space="0" w:color="auto"/>
              <w:right w:val="single" w:sz="4" w:space="0" w:color="auto"/>
            </w:tcBorders>
            <w:vAlign w:val="center"/>
            <w:hideMark/>
          </w:tcPr>
          <w:p w14:paraId="1F0FCA9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203/2011 Z. z. v znení zákona č. 85/2026 Z. z.</w:t>
            </w:r>
          </w:p>
        </w:tc>
        <w:tc>
          <w:tcPr>
            <w:tcW w:w="0" w:type="auto"/>
            <w:tcBorders>
              <w:top w:val="nil"/>
              <w:left w:val="nil"/>
              <w:bottom w:val="single" w:sz="4" w:space="0" w:color="auto"/>
              <w:right w:val="single" w:sz="4" w:space="0" w:color="auto"/>
            </w:tcBorders>
            <w:vAlign w:val="center"/>
            <w:hideMark/>
          </w:tcPr>
          <w:p w14:paraId="3BDB39F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163 ods. 1 písm. x)</w:t>
            </w:r>
          </w:p>
        </w:tc>
        <w:tc>
          <w:tcPr>
            <w:tcW w:w="0" w:type="auto"/>
            <w:tcBorders>
              <w:top w:val="nil"/>
              <w:left w:val="nil"/>
              <w:bottom w:val="single" w:sz="4" w:space="0" w:color="auto"/>
              <w:right w:val="single" w:sz="4" w:space="0" w:color="auto"/>
            </w:tcBorders>
            <w:vAlign w:val="center"/>
            <w:hideMark/>
          </w:tcPr>
          <w:p w14:paraId="644B033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2CC7D41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092122A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správcovské spoločnosti</w:t>
            </w:r>
          </w:p>
        </w:tc>
        <w:tc>
          <w:tcPr>
            <w:tcW w:w="0" w:type="auto"/>
            <w:tcBorders>
              <w:top w:val="nil"/>
              <w:left w:val="nil"/>
              <w:bottom w:val="single" w:sz="4" w:space="0" w:color="auto"/>
              <w:right w:val="single" w:sz="4" w:space="0" w:color="auto"/>
            </w:tcBorders>
            <w:vAlign w:val="center"/>
            <w:hideMark/>
          </w:tcPr>
          <w:p w14:paraId="573BD48F"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2D56550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6407E62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1E15110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293B0F7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59CDEEF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0270086"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02EFD08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11</w:t>
            </w:r>
          </w:p>
        </w:tc>
        <w:tc>
          <w:tcPr>
            <w:tcW w:w="0" w:type="auto"/>
            <w:tcBorders>
              <w:top w:val="nil"/>
              <w:left w:val="nil"/>
              <w:bottom w:val="single" w:sz="4" w:space="0" w:color="auto"/>
              <w:right w:val="single" w:sz="4" w:space="0" w:color="auto"/>
            </w:tcBorders>
            <w:vAlign w:val="center"/>
            <w:hideMark/>
          </w:tcPr>
          <w:p w14:paraId="451F479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udelenie predchádzajúceho súhlasu na vydanie Všeobecných podmienok vyplácania náhrad za nedostupný klientsky majetok Garančným fondom investícií (špecifický symbol 2372)</w:t>
            </w:r>
          </w:p>
        </w:tc>
        <w:tc>
          <w:tcPr>
            <w:tcW w:w="0" w:type="auto"/>
            <w:tcBorders>
              <w:top w:val="nil"/>
              <w:left w:val="nil"/>
              <w:bottom w:val="single" w:sz="4" w:space="0" w:color="auto"/>
              <w:right w:val="single" w:sz="4" w:space="0" w:color="auto"/>
            </w:tcBorders>
            <w:vAlign w:val="center"/>
            <w:hideMark/>
          </w:tcPr>
          <w:p w14:paraId="5C0A84C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566/2001 Z. z. v znení neskorších predpisov</w:t>
            </w:r>
          </w:p>
        </w:tc>
        <w:tc>
          <w:tcPr>
            <w:tcW w:w="0" w:type="auto"/>
            <w:tcBorders>
              <w:top w:val="nil"/>
              <w:left w:val="nil"/>
              <w:bottom w:val="single" w:sz="4" w:space="0" w:color="auto"/>
              <w:right w:val="single" w:sz="4" w:space="0" w:color="auto"/>
            </w:tcBorders>
            <w:vAlign w:val="center"/>
            <w:hideMark/>
          </w:tcPr>
          <w:p w14:paraId="1A94F97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90 ods. 3</w:t>
            </w:r>
          </w:p>
        </w:tc>
        <w:tc>
          <w:tcPr>
            <w:tcW w:w="0" w:type="auto"/>
            <w:tcBorders>
              <w:top w:val="nil"/>
              <w:left w:val="nil"/>
              <w:bottom w:val="single" w:sz="4" w:space="0" w:color="auto"/>
              <w:right w:val="single" w:sz="4" w:space="0" w:color="auto"/>
            </w:tcBorders>
            <w:vAlign w:val="center"/>
            <w:hideMark/>
          </w:tcPr>
          <w:p w14:paraId="60326FD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09FA6F3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678A5DF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Garančný fond investícií</w:t>
            </w:r>
          </w:p>
        </w:tc>
        <w:tc>
          <w:tcPr>
            <w:tcW w:w="0" w:type="auto"/>
            <w:tcBorders>
              <w:top w:val="nil"/>
              <w:left w:val="nil"/>
              <w:bottom w:val="single" w:sz="4" w:space="0" w:color="auto"/>
              <w:right w:val="single" w:sz="4" w:space="0" w:color="auto"/>
            </w:tcBorders>
            <w:vAlign w:val="center"/>
            <w:hideMark/>
          </w:tcPr>
          <w:p w14:paraId="4243884C"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33D0B4F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68BB03A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6988FA8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470028D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6C2ACBF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EDEBBC6" w14:textId="77777777" w:rsidTr="00AD56A0">
        <w:trPr>
          <w:cantSplit/>
          <w:trHeight w:val="1275"/>
        </w:trPr>
        <w:tc>
          <w:tcPr>
            <w:tcW w:w="0" w:type="auto"/>
            <w:tcBorders>
              <w:top w:val="single" w:sz="4" w:space="0" w:color="auto"/>
              <w:left w:val="single" w:sz="4" w:space="0" w:color="auto"/>
              <w:bottom w:val="single" w:sz="4" w:space="0" w:color="auto"/>
              <w:right w:val="single" w:sz="4" w:space="0" w:color="auto"/>
            </w:tcBorders>
            <w:vAlign w:val="center"/>
            <w:hideMark/>
          </w:tcPr>
          <w:p w14:paraId="534BEFC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12</w:t>
            </w:r>
          </w:p>
        </w:tc>
        <w:tc>
          <w:tcPr>
            <w:tcW w:w="0" w:type="auto"/>
            <w:tcBorders>
              <w:top w:val="single" w:sz="4" w:space="0" w:color="auto"/>
              <w:left w:val="nil"/>
              <w:bottom w:val="single" w:sz="4" w:space="0" w:color="auto"/>
              <w:right w:val="single" w:sz="4" w:space="0" w:color="auto"/>
            </w:tcBorders>
            <w:vAlign w:val="center"/>
            <w:hideMark/>
          </w:tcPr>
          <w:p w14:paraId="233B13C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udelenie predchádzajúceho súhlasu na zmenu Všeobecných podmienok vyplácania náhrad za nedostupný klientsky majetok Garančným fondom investícií (špecifický symbol 2373)</w:t>
            </w:r>
          </w:p>
        </w:tc>
        <w:tc>
          <w:tcPr>
            <w:tcW w:w="0" w:type="auto"/>
            <w:tcBorders>
              <w:top w:val="single" w:sz="4" w:space="0" w:color="auto"/>
              <w:left w:val="nil"/>
              <w:bottom w:val="single" w:sz="4" w:space="0" w:color="auto"/>
              <w:right w:val="single" w:sz="4" w:space="0" w:color="auto"/>
            </w:tcBorders>
            <w:vAlign w:val="center"/>
            <w:hideMark/>
          </w:tcPr>
          <w:p w14:paraId="2C730C7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566/2001 Z. z. v znení neskorších predpisov</w:t>
            </w:r>
          </w:p>
        </w:tc>
        <w:tc>
          <w:tcPr>
            <w:tcW w:w="0" w:type="auto"/>
            <w:tcBorders>
              <w:top w:val="single" w:sz="4" w:space="0" w:color="auto"/>
              <w:left w:val="nil"/>
              <w:bottom w:val="single" w:sz="4" w:space="0" w:color="auto"/>
              <w:right w:val="single" w:sz="4" w:space="0" w:color="auto"/>
            </w:tcBorders>
            <w:vAlign w:val="center"/>
            <w:hideMark/>
          </w:tcPr>
          <w:p w14:paraId="54B11FA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90 ods. 3</w:t>
            </w:r>
          </w:p>
        </w:tc>
        <w:tc>
          <w:tcPr>
            <w:tcW w:w="0" w:type="auto"/>
            <w:tcBorders>
              <w:top w:val="single" w:sz="4" w:space="0" w:color="auto"/>
              <w:left w:val="nil"/>
              <w:bottom w:val="single" w:sz="4" w:space="0" w:color="auto"/>
              <w:right w:val="single" w:sz="4" w:space="0" w:color="auto"/>
            </w:tcBorders>
            <w:vAlign w:val="center"/>
            <w:hideMark/>
          </w:tcPr>
          <w:p w14:paraId="2A17D98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7001E38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38325D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Garančný fond investícií</w:t>
            </w:r>
          </w:p>
        </w:tc>
        <w:tc>
          <w:tcPr>
            <w:tcW w:w="0" w:type="auto"/>
            <w:tcBorders>
              <w:top w:val="single" w:sz="4" w:space="0" w:color="auto"/>
              <w:left w:val="nil"/>
              <w:bottom w:val="single" w:sz="4" w:space="0" w:color="auto"/>
              <w:right w:val="single" w:sz="4" w:space="0" w:color="auto"/>
            </w:tcBorders>
            <w:vAlign w:val="center"/>
            <w:hideMark/>
          </w:tcPr>
          <w:p w14:paraId="29504529"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 </w:t>
            </w:r>
          </w:p>
        </w:tc>
        <w:tc>
          <w:tcPr>
            <w:tcW w:w="0" w:type="auto"/>
            <w:tcBorders>
              <w:top w:val="single" w:sz="4" w:space="0" w:color="auto"/>
              <w:left w:val="nil"/>
              <w:bottom w:val="single" w:sz="4" w:space="0" w:color="auto"/>
              <w:right w:val="single" w:sz="4" w:space="0" w:color="auto"/>
            </w:tcBorders>
            <w:vAlign w:val="center"/>
            <w:hideMark/>
          </w:tcPr>
          <w:p w14:paraId="077A006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88</w:t>
            </w:r>
          </w:p>
        </w:tc>
        <w:tc>
          <w:tcPr>
            <w:tcW w:w="0" w:type="auto"/>
            <w:tcBorders>
              <w:top w:val="single" w:sz="4" w:space="0" w:color="auto"/>
              <w:left w:val="nil"/>
              <w:bottom w:val="single" w:sz="4" w:space="0" w:color="auto"/>
              <w:right w:val="single" w:sz="4" w:space="0" w:color="auto"/>
            </w:tcBorders>
            <w:vAlign w:val="center"/>
            <w:hideMark/>
          </w:tcPr>
          <w:p w14:paraId="6E6D2B7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88</w:t>
            </w:r>
          </w:p>
        </w:tc>
        <w:tc>
          <w:tcPr>
            <w:tcW w:w="0" w:type="auto"/>
            <w:tcBorders>
              <w:top w:val="single" w:sz="4" w:space="0" w:color="auto"/>
              <w:left w:val="nil"/>
              <w:bottom w:val="single" w:sz="4" w:space="0" w:color="auto"/>
              <w:right w:val="single" w:sz="4" w:space="0" w:color="auto"/>
            </w:tcBorders>
            <w:vAlign w:val="center"/>
            <w:hideMark/>
          </w:tcPr>
          <w:p w14:paraId="6D29E7E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7BB230B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88</w:t>
            </w:r>
          </w:p>
        </w:tc>
        <w:tc>
          <w:tcPr>
            <w:tcW w:w="0" w:type="auto"/>
            <w:tcBorders>
              <w:top w:val="single" w:sz="4" w:space="0" w:color="auto"/>
              <w:left w:val="nil"/>
              <w:bottom w:val="single" w:sz="4" w:space="0" w:color="auto"/>
              <w:right w:val="single" w:sz="4" w:space="0" w:color="auto"/>
            </w:tcBorders>
            <w:vAlign w:val="center"/>
            <w:hideMark/>
          </w:tcPr>
          <w:p w14:paraId="7E03549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2F1312FE"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71D69C8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13</w:t>
            </w:r>
          </w:p>
        </w:tc>
        <w:tc>
          <w:tcPr>
            <w:tcW w:w="0" w:type="auto"/>
            <w:tcBorders>
              <w:top w:val="nil"/>
              <w:left w:val="nil"/>
              <w:bottom w:val="single" w:sz="4" w:space="0" w:color="auto"/>
              <w:right w:val="single" w:sz="4" w:space="0" w:color="auto"/>
            </w:tcBorders>
            <w:vAlign w:val="center"/>
            <w:hideMark/>
          </w:tcPr>
          <w:p w14:paraId="5140D6B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základného prospektu cenného papiera vypracovaného ako jeden dokument, ak je žiadateľom emitent (špecifický symbol 2427 - iba v opatrení č. 5/2021 v znení opatrenia č. 8/2024)</w:t>
            </w:r>
          </w:p>
        </w:tc>
        <w:tc>
          <w:tcPr>
            <w:tcW w:w="0" w:type="auto"/>
            <w:tcBorders>
              <w:top w:val="nil"/>
              <w:left w:val="nil"/>
              <w:bottom w:val="single" w:sz="4" w:space="0" w:color="auto"/>
              <w:right w:val="single" w:sz="4" w:space="0" w:color="auto"/>
            </w:tcBorders>
            <w:vAlign w:val="center"/>
            <w:hideMark/>
          </w:tcPr>
          <w:p w14:paraId="3F7A104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48D07AC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20</w:t>
            </w:r>
          </w:p>
        </w:tc>
        <w:tc>
          <w:tcPr>
            <w:tcW w:w="0" w:type="auto"/>
            <w:tcBorders>
              <w:top w:val="nil"/>
              <w:left w:val="nil"/>
              <w:bottom w:val="single" w:sz="4" w:space="0" w:color="auto"/>
              <w:right w:val="single" w:sz="4" w:space="0" w:color="auto"/>
            </w:tcBorders>
            <w:vAlign w:val="center"/>
            <w:hideMark/>
          </w:tcPr>
          <w:p w14:paraId="0102A9C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5E3781A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12756EB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3E24096A"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19 </w:t>
            </w:r>
          </w:p>
        </w:tc>
        <w:tc>
          <w:tcPr>
            <w:tcW w:w="0" w:type="auto"/>
            <w:tcBorders>
              <w:top w:val="nil"/>
              <w:left w:val="nil"/>
              <w:bottom w:val="single" w:sz="4" w:space="0" w:color="auto"/>
              <w:right w:val="single" w:sz="4" w:space="0" w:color="auto"/>
            </w:tcBorders>
            <w:vAlign w:val="center"/>
            <w:hideMark/>
          </w:tcPr>
          <w:p w14:paraId="0789F92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250</w:t>
            </w:r>
          </w:p>
        </w:tc>
        <w:tc>
          <w:tcPr>
            <w:tcW w:w="0" w:type="auto"/>
            <w:tcBorders>
              <w:top w:val="nil"/>
              <w:left w:val="nil"/>
              <w:bottom w:val="single" w:sz="4" w:space="0" w:color="auto"/>
              <w:right w:val="single" w:sz="4" w:space="0" w:color="auto"/>
            </w:tcBorders>
            <w:vAlign w:val="center"/>
            <w:hideMark/>
          </w:tcPr>
          <w:p w14:paraId="5329331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4 750</w:t>
            </w:r>
          </w:p>
        </w:tc>
        <w:tc>
          <w:tcPr>
            <w:tcW w:w="0" w:type="auto"/>
            <w:tcBorders>
              <w:top w:val="nil"/>
              <w:left w:val="nil"/>
              <w:bottom w:val="single" w:sz="4" w:space="0" w:color="auto"/>
              <w:right w:val="single" w:sz="4" w:space="0" w:color="auto"/>
            </w:tcBorders>
            <w:vAlign w:val="center"/>
            <w:hideMark/>
          </w:tcPr>
          <w:p w14:paraId="6E9A3AA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2DC9A43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4 750</w:t>
            </w:r>
          </w:p>
        </w:tc>
        <w:tc>
          <w:tcPr>
            <w:tcW w:w="0" w:type="auto"/>
            <w:tcBorders>
              <w:top w:val="nil"/>
              <w:left w:val="nil"/>
              <w:bottom w:val="single" w:sz="4" w:space="0" w:color="auto"/>
              <w:right w:val="single" w:sz="4" w:space="0" w:color="auto"/>
            </w:tcBorders>
            <w:vAlign w:val="center"/>
            <w:hideMark/>
          </w:tcPr>
          <w:p w14:paraId="2BAE843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6F7BB17"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09CC704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14</w:t>
            </w:r>
          </w:p>
        </w:tc>
        <w:tc>
          <w:tcPr>
            <w:tcW w:w="0" w:type="auto"/>
            <w:tcBorders>
              <w:top w:val="nil"/>
              <w:left w:val="nil"/>
              <w:bottom w:val="single" w:sz="4" w:space="0" w:color="auto"/>
              <w:right w:val="single" w:sz="4" w:space="0" w:color="auto"/>
            </w:tcBorders>
            <w:vAlign w:val="center"/>
            <w:hideMark/>
          </w:tcPr>
          <w:p w14:paraId="02FCB4C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základného prospektu cenného papiera skladajúceho sa zo samostatných dokumentov, ak je žiadateľom emitent (špecifický symbol 2428 - iba v opatrení č. 5/2021 v znení opatrenia č. 8/2024)</w:t>
            </w:r>
          </w:p>
        </w:tc>
        <w:tc>
          <w:tcPr>
            <w:tcW w:w="0" w:type="auto"/>
            <w:tcBorders>
              <w:top w:val="nil"/>
              <w:left w:val="nil"/>
              <w:bottom w:val="single" w:sz="4" w:space="0" w:color="auto"/>
              <w:right w:val="single" w:sz="4" w:space="0" w:color="auto"/>
            </w:tcBorders>
            <w:vAlign w:val="center"/>
            <w:hideMark/>
          </w:tcPr>
          <w:p w14:paraId="33B1083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29952DD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20</w:t>
            </w:r>
          </w:p>
        </w:tc>
        <w:tc>
          <w:tcPr>
            <w:tcW w:w="0" w:type="auto"/>
            <w:tcBorders>
              <w:top w:val="nil"/>
              <w:left w:val="nil"/>
              <w:bottom w:val="single" w:sz="4" w:space="0" w:color="auto"/>
              <w:right w:val="single" w:sz="4" w:space="0" w:color="auto"/>
            </w:tcBorders>
            <w:vAlign w:val="center"/>
            <w:hideMark/>
          </w:tcPr>
          <w:p w14:paraId="5B0BF48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74B1E3E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6781A3A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736F6207"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1310A12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000228C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6DE2760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23D7362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12443ED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420B017" w14:textId="77777777" w:rsidTr="00AD56A0">
        <w:trPr>
          <w:cantSplit/>
          <w:trHeight w:val="1275"/>
        </w:trPr>
        <w:tc>
          <w:tcPr>
            <w:tcW w:w="0" w:type="auto"/>
            <w:tcBorders>
              <w:top w:val="single" w:sz="4" w:space="0" w:color="auto"/>
              <w:left w:val="single" w:sz="4" w:space="0" w:color="auto"/>
              <w:bottom w:val="single" w:sz="4" w:space="0" w:color="auto"/>
              <w:right w:val="single" w:sz="4" w:space="0" w:color="auto"/>
            </w:tcBorders>
            <w:vAlign w:val="center"/>
            <w:hideMark/>
          </w:tcPr>
          <w:p w14:paraId="68D1185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15</w:t>
            </w:r>
          </w:p>
        </w:tc>
        <w:tc>
          <w:tcPr>
            <w:tcW w:w="0" w:type="auto"/>
            <w:tcBorders>
              <w:top w:val="single" w:sz="4" w:space="0" w:color="auto"/>
              <w:left w:val="nil"/>
              <w:bottom w:val="single" w:sz="4" w:space="0" w:color="auto"/>
              <w:right w:val="single" w:sz="4" w:space="0" w:color="auto"/>
            </w:tcBorders>
            <w:vAlign w:val="center"/>
            <w:hideMark/>
          </w:tcPr>
          <w:p w14:paraId="38A01AF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základného prospektu cenného papiera skladajúceho sa zo samostatných dokumentov, ak je žiadateľom emitent (špecifický symbol 2429 -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713799F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7D1AC54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20</w:t>
            </w:r>
          </w:p>
        </w:tc>
        <w:tc>
          <w:tcPr>
            <w:tcW w:w="0" w:type="auto"/>
            <w:tcBorders>
              <w:top w:val="single" w:sz="4" w:space="0" w:color="auto"/>
              <w:left w:val="nil"/>
              <w:bottom w:val="single" w:sz="4" w:space="0" w:color="auto"/>
              <w:right w:val="single" w:sz="4" w:space="0" w:color="auto"/>
            </w:tcBorders>
            <w:vAlign w:val="center"/>
            <w:hideMark/>
          </w:tcPr>
          <w:p w14:paraId="070F8E0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7AC7D2B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5EECB21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single" w:sz="4" w:space="0" w:color="auto"/>
              <w:left w:val="nil"/>
              <w:bottom w:val="single" w:sz="4" w:space="0" w:color="auto"/>
              <w:right w:val="single" w:sz="4" w:space="0" w:color="auto"/>
            </w:tcBorders>
            <w:vAlign w:val="center"/>
            <w:hideMark/>
          </w:tcPr>
          <w:p w14:paraId="39781782"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4F2AAE3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369711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F23FFF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531F1ED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BEFDB6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858C173"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75100AB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16</w:t>
            </w:r>
          </w:p>
        </w:tc>
        <w:tc>
          <w:tcPr>
            <w:tcW w:w="0" w:type="auto"/>
            <w:tcBorders>
              <w:top w:val="nil"/>
              <w:left w:val="nil"/>
              <w:bottom w:val="single" w:sz="4" w:space="0" w:color="auto"/>
              <w:right w:val="single" w:sz="4" w:space="0" w:color="auto"/>
            </w:tcBorders>
            <w:vAlign w:val="center"/>
            <w:hideMark/>
          </w:tcPr>
          <w:p w14:paraId="0378F13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základného prospektu cenného papiera skladajúceho sa zo samostatných dokumentov, ak je žiadateľom emitent (špecifický symbol 2430 - iba v opatrení č. 5/2021 v znení opatrenia č. 8/2024)</w:t>
            </w:r>
          </w:p>
        </w:tc>
        <w:tc>
          <w:tcPr>
            <w:tcW w:w="0" w:type="auto"/>
            <w:tcBorders>
              <w:top w:val="nil"/>
              <w:left w:val="nil"/>
              <w:bottom w:val="single" w:sz="4" w:space="0" w:color="auto"/>
              <w:right w:val="single" w:sz="4" w:space="0" w:color="auto"/>
            </w:tcBorders>
            <w:vAlign w:val="center"/>
            <w:hideMark/>
          </w:tcPr>
          <w:p w14:paraId="51C9BA7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4302727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20</w:t>
            </w:r>
          </w:p>
        </w:tc>
        <w:tc>
          <w:tcPr>
            <w:tcW w:w="0" w:type="auto"/>
            <w:tcBorders>
              <w:top w:val="nil"/>
              <w:left w:val="nil"/>
              <w:bottom w:val="single" w:sz="4" w:space="0" w:color="auto"/>
              <w:right w:val="single" w:sz="4" w:space="0" w:color="auto"/>
            </w:tcBorders>
            <w:vAlign w:val="center"/>
            <w:hideMark/>
          </w:tcPr>
          <w:p w14:paraId="4FEF25C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2488897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250DD1E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1E3B4013"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6215DD9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7BE3992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6577C4E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3EC9103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427F8FA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F746205"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5002140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17</w:t>
            </w:r>
          </w:p>
        </w:tc>
        <w:tc>
          <w:tcPr>
            <w:tcW w:w="0" w:type="auto"/>
            <w:tcBorders>
              <w:top w:val="single" w:sz="4" w:space="0" w:color="auto"/>
              <w:left w:val="nil"/>
              <w:bottom w:val="single" w:sz="4" w:space="0" w:color="auto"/>
              <w:right w:val="single" w:sz="4" w:space="0" w:color="auto"/>
            </w:tcBorders>
            <w:vAlign w:val="center"/>
            <w:hideMark/>
          </w:tcPr>
          <w:p w14:paraId="7AC7DDD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základného prospektu cenného papiera vypracovaného ako jeden dokument,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2431 -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60962D8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7C5DD60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20</w:t>
            </w:r>
          </w:p>
        </w:tc>
        <w:tc>
          <w:tcPr>
            <w:tcW w:w="0" w:type="auto"/>
            <w:tcBorders>
              <w:top w:val="single" w:sz="4" w:space="0" w:color="auto"/>
              <w:left w:val="nil"/>
              <w:bottom w:val="single" w:sz="4" w:space="0" w:color="auto"/>
              <w:right w:val="single" w:sz="4" w:space="0" w:color="auto"/>
            </w:tcBorders>
            <w:vAlign w:val="center"/>
            <w:hideMark/>
          </w:tcPr>
          <w:p w14:paraId="36E8D50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1D40A15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537A6AD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1A62551D"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4967EF2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34FBA0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49FDA1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537D4A8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08A168D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1808DB2"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6EE1226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18</w:t>
            </w:r>
          </w:p>
        </w:tc>
        <w:tc>
          <w:tcPr>
            <w:tcW w:w="0" w:type="auto"/>
            <w:tcBorders>
              <w:top w:val="single" w:sz="4" w:space="0" w:color="auto"/>
              <w:left w:val="nil"/>
              <w:bottom w:val="single" w:sz="4" w:space="0" w:color="auto"/>
              <w:right w:val="single" w:sz="4" w:space="0" w:color="auto"/>
            </w:tcBorders>
            <w:vAlign w:val="center"/>
            <w:hideMark/>
          </w:tcPr>
          <w:p w14:paraId="4DF2637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základného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2432 -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66DE00E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6DD66F3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21</w:t>
            </w:r>
          </w:p>
        </w:tc>
        <w:tc>
          <w:tcPr>
            <w:tcW w:w="0" w:type="auto"/>
            <w:tcBorders>
              <w:top w:val="single" w:sz="4" w:space="0" w:color="auto"/>
              <w:left w:val="nil"/>
              <w:bottom w:val="single" w:sz="4" w:space="0" w:color="auto"/>
              <w:right w:val="single" w:sz="4" w:space="0" w:color="auto"/>
            </w:tcBorders>
            <w:vAlign w:val="center"/>
            <w:hideMark/>
          </w:tcPr>
          <w:p w14:paraId="567693F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1E180B2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B6FD00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2B8B4FC4"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1A7FDBC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61F6FB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F0E3E3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107673D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2B45E1A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06080D6"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2BC8AB3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19</w:t>
            </w:r>
          </w:p>
        </w:tc>
        <w:tc>
          <w:tcPr>
            <w:tcW w:w="0" w:type="auto"/>
            <w:tcBorders>
              <w:top w:val="single" w:sz="4" w:space="0" w:color="auto"/>
              <w:left w:val="nil"/>
              <w:bottom w:val="single" w:sz="4" w:space="0" w:color="auto"/>
              <w:right w:val="single" w:sz="4" w:space="0" w:color="auto"/>
            </w:tcBorders>
            <w:vAlign w:val="center"/>
            <w:hideMark/>
          </w:tcPr>
          <w:p w14:paraId="4C5C8C9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základného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2433 -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158A0DC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6C3FDA2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22</w:t>
            </w:r>
          </w:p>
        </w:tc>
        <w:tc>
          <w:tcPr>
            <w:tcW w:w="0" w:type="auto"/>
            <w:tcBorders>
              <w:top w:val="single" w:sz="4" w:space="0" w:color="auto"/>
              <w:left w:val="nil"/>
              <w:bottom w:val="single" w:sz="4" w:space="0" w:color="auto"/>
              <w:right w:val="single" w:sz="4" w:space="0" w:color="auto"/>
            </w:tcBorders>
            <w:vAlign w:val="center"/>
            <w:hideMark/>
          </w:tcPr>
          <w:p w14:paraId="68A1910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194527C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0D1421F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5868A3D3"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4161C95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F75F9D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BFE111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6CE22F0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C3284D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BCB5692"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713B7F5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20</w:t>
            </w:r>
          </w:p>
        </w:tc>
        <w:tc>
          <w:tcPr>
            <w:tcW w:w="0" w:type="auto"/>
            <w:tcBorders>
              <w:top w:val="single" w:sz="4" w:space="0" w:color="auto"/>
              <w:left w:val="nil"/>
              <w:bottom w:val="single" w:sz="4" w:space="0" w:color="auto"/>
              <w:right w:val="single" w:sz="4" w:space="0" w:color="auto"/>
            </w:tcBorders>
            <w:vAlign w:val="center"/>
            <w:hideMark/>
          </w:tcPr>
          <w:p w14:paraId="1291E2A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základného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2434 -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01B1392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06EA32C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23</w:t>
            </w:r>
          </w:p>
        </w:tc>
        <w:tc>
          <w:tcPr>
            <w:tcW w:w="0" w:type="auto"/>
            <w:tcBorders>
              <w:top w:val="single" w:sz="4" w:space="0" w:color="auto"/>
              <w:left w:val="nil"/>
              <w:bottom w:val="single" w:sz="4" w:space="0" w:color="auto"/>
              <w:right w:val="single" w:sz="4" w:space="0" w:color="auto"/>
            </w:tcBorders>
            <w:vAlign w:val="center"/>
            <w:hideMark/>
          </w:tcPr>
          <w:p w14:paraId="61AB038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78B3B0A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208C8D9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4B20F089"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49B89C5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A51ECD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3F832B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23BEC0A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7F140D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58454AF4"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12C4DB3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21</w:t>
            </w:r>
          </w:p>
        </w:tc>
        <w:tc>
          <w:tcPr>
            <w:tcW w:w="0" w:type="auto"/>
            <w:tcBorders>
              <w:top w:val="nil"/>
              <w:left w:val="nil"/>
              <w:bottom w:val="single" w:sz="4" w:space="0" w:color="auto"/>
              <w:right w:val="single" w:sz="4" w:space="0" w:color="auto"/>
            </w:tcBorders>
            <w:vAlign w:val="center"/>
            <w:hideMark/>
          </w:tcPr>
          <w:p w14:paraId="251A54A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prospektu cenného papiera vypracovaného ako jeden dokument, ak je žiadateľom emitent (špecifický symbol 2411 - iba v opatrení č. 5/2021 v znení opatrenia č. 8/2024)</w:t>
            </w:r>
          </w:p>
        </w:tc>
        <w:tc>
          <w:tcPr>
            <w:tcW w:w="0" w:type="auto"/>
            <w:tcBorders>
              <w:top w:val="nil"/>
              <w:left w:val="nil"/>
              <w:bottom w:val="single" w:sz="4" w:space="0" w:color="auto"/>
              <w:right w:val="single" w:sz="4" w:space="0" w:color="auto"/>
            </w:tcBorders>
            <w:vAlign w:val="center"/>
            <w:hideMark/>
          </w:tcPr>
          <w:p w14:paraId="7E2D45D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29DCCFB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6 a 20</w:t>
            </w:r>
          </w:p>
        </w:tc>
        <w:tc>
          <w:tcPr>
            <w:tcW w:w="0" w:type="auto"/>
            <w:tcBorders>
              <w:top w:val="nil"/>
              <w:left w:val="nil"/>
              <w:bottom w:val="single" w:sz="4" w:space="0" w:color="auto"/>
              <w:right w:val="single" w:sz="4" w:space="0" w:color="auto"/>
            </w:tcBorders>
            <w:vAlign w:val="center"/>
            <w:hideMark/>
          </w:tcPr>
          <w:p w14:paraId="1718DF4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303A1A5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4011E90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0A268951"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29 </w:t>
            </w:r>
          </w:p>
        </w:tc>
        <w:tc>
          <w:tcPr>
            <w:tcW w:w="0" w:type="auto"/>
            <w:tcBorders>
              <w:top w:val="nil"/>
              <w:left w:val="nil"/>
              <w:bottom w:val="single" w:sz="4" w:space="0" w:color="auto"/>
              <w:right w:val="single" w:sz="4" w:space="0" w:color="auto"/>
            </w:tcBorders>
            <w:vAlign w:val="center"/>
            <w:hideMark/>
          </w:tcPr>
          <w:p w14:paraId="036EA9F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163</w:t>
            </w:r>
          </w:p>
        </w:tc>
        <w:tc>
          <w:tcPr>
            <w:tcW w:w="0" w:type="auto"/>
            <w:tcBorders>
              <w:top w:val="nil"/>
              <w:left w:val="nil"/>
              <w:bottom w:val="single" w:sz="4" w:space="0" w:color="auto"/>
              <w:right w:val="single" w:sz="4" w:space="0" w:color="auto"/>
            </w:tcBorders>
            <w:vAlign w:val="center"/>
            <w:hideMark/>
          </w:tcPr>
          <w:p w14:paraId="477C264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4 713</w:t>
            </w:r>
          </w:p>
        </w:tc>
        <w:tc>
          <w:tcPr>
            <w:tcW w:w="0" w:type="auto"/>
            <w:tcBorders>
              <w:top w:val="nil"/>
              <w:left w:val="nil"/>
              <w:bottom w:val="single" w:sz="4" w:space="0" w:color="auto"/>
              <w:right w:val="single" w:sz="4" w:space="0" w:color="auto"/>
            </w:tcBorders>
            <w:vAlign w:val="center"/>
            <w:hideMark/>
          </w:tcPr>
          <w:p w14:paraId="00D543B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1092A53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4 713</w:t>
            </w:r>
          </w:p>
        </w:tc>
        <w:tc>
          <w:tcPr>
            <w:tcW w:w="0" w:type="auto"/>
            <w:tcBorders>
              <w:top w:val="nil"/>
              <w:left w:val="nil"/>
              <w:bottom w:val="single" w:sz="4" w:space="0" w:color="auto"/>
              <w:right w:val="single" w:sz="4" w:space="0" w:color="auto"/>
            </w:tcBorders>
            <w:vAlign w:val="center"/>
            <w:hideMark/>
          </w:tcPr>
          <w:p w14:paraId="64D9B0A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6337101" w14:textId="77777777" w:rsidTr="00AD56A0">
        <w:trPr>
          <w:cantSplit/>
          <w:trHeight w:val="1275"/>
        </w:trPr>
        <w:tc>
          <w:tcPr>
            <w:tcW w:w="0" w:type="auto"/>
            <w:tcBorders>
              <w:top w:val="single" w:sz="4" w:space="0" w:color="auto"/>
              <w:left w:val="single" w:sz="4" w:space="0" w:color="auto"/>
              <w:bottom w:val="single" w:sz="4" w:space="0" w:color="auto"/>
              <w:right w:val="single" w:sz="4" w:space="0" w:color="auto"/>
            </w:tcBorders>
            <w:vAlign w:val="center"/>
            <w:hideMark/>
          </w:tcPr>
          <w:p w14:paraId="75594C2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22</w:t>
            </w:r>
          </w:p>
        </w:tc>
        <w:tc>
          <w:tcPr>
            <w:tcW w:w="0" w:type="auto"/>
            <w:tcBorders>
              <w:top w:val="single" w:sz="4" w:space="0" w:color="auto"/>
              <w:left w:val="nil"/>
              <w:bottom w:val="single" w:sz="4" w:space="0" w:color="auto"/>
              <w:right w:val="single" w:sz="4" w:space="0" w:color="auto"/>
            </w:tcBorders>
            <w:vAlign w:val="center"/>
            <w:hideMark/>
          </w:tcPr>
          <w:p w14:paraId="7DCC5CD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prospektu cenného papiera skladajúceho sa zo samostatných dokumentov, ak je žiadateľom emitent (špecifický symbol 2412 -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2413C10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24E1510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10 a 20</w:t>
            </w:r>
          </w:p>
        </w:tc>
        <w:tc>
          <w:tcPr>
            <w:tcW w:w="0" w:type="auto"/>
            <w:tcBorders>
              <w:top w:val="single" w:sz="4" w:space="0" w:color="auto"/>
              <w:left w:val="nil"/>
              <w:bottom w:val="single" w:sz="4" w:space="0" w:color="auto"/>
              <w:right w:val="single" w:sz="4" w:space="0" w:color="auto"/>
            </w:tcBorders>
            <w:vAlign w:val="center"/>
            <w:hideMark/>
          </w:tcPr>
          <w:p w14:paraId="72ED924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1F12158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3D16EA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single" w:sz="4" w:space="0" w:color="auto"/>
              <w:left w:val="nil"/>
              <w:bottom w:val="single" w:sz="4" w:space="0" w:color="auto"/>
              <w:right w:val="single" w:sz="4" w:space="0" w:color="auto"/>
            </w:tcBorders>
            <w:vAlign w:val="center"/>
            <w:hideMark/>
          </w:tcPr>
          <w:p w14:paraId="648EF1DB"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5AE13BB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0DBBED0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7D81562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65D2CE8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349683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0B31A35"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3E83006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23</w:t>
            </w:r>
          </w:p>
        </w:tc>
        <w:tc>
          <w:tcPr>
            <w:tcW w:w="0" w:type="auto"/>
            <w:tcBorders>
              <w:top w:val="nil"/>
              <w:left w:val="nil"/>
              <w:bottom w:val="single" w:sz="4" w:space="0" w:color="auto"/>
              <w:right w:val="single" w:sz="4" w:space="0" w:color="auto"/>
            </w:tcBorders>
            <w:vAlign w:val="center"/>
            <w:hideMark/>
          </w:tcPr>
          <w:p w14:paraId="42B2CBA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prospektu cenného papiera skladajúceho sa zo samostatných dokumentov, ak je žiadateľom emitent (špecifický symbol 2413 - iba v opatrení č. 5/2021 v znení opatrenia č. 8/2024)</w:t>
            </w:r>
          </w:p>
        </w:tc>
        <w:tc>
          <w:tcPr>
            <w:tcW w:w="0" w:type="auto"/>
            <w:tcBorders>
              <w:top w:val="nil"/>
              <w:left w:val="nil"/>
              <w:bottom w:val="single" w:sz="4" w:space="0" w:color="auto"/>
              <w:right w:val="single" w:sz="4" w:space="0" w:color="auto"/>
            </w:tcBorders>
            <w:vAlign w:val="center"/>
            <w:hideMark/>
          </w:tcPr>
          <w:p w14:paraId="603C936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0EEF8AF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10 a 20</w:t>
            </w:r>
          </w:p>
        </w:tc>
        <w:tc>
          <w:tcPr>
            <w:tcW w:w="0" w:type="auto"/>
            <w:tcBorders>
              <w:top w:val="nil"/>
              <w:left w:val="nil"/>
              <w:bottom w:val="single" w:sz="4" w:space="0" w:color="auto"/>
              <w:right w:val="single" w:sz="4" w:space="0" w:color="auto"/>
            </w:tcBorders>
            <w:vAlign w:val="center"/>
            <w:hideMark/>
          </w:tcPr>
          <w:p w14:paraId="16B2260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4B6AAD2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568137E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364ACCD2"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6EA072B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1C5D11C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397F9D3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6FBE267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6CD73A0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8E7D6EE"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6201261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24</w:t>
            </w:r>
          </w:p>
        </w:tc>
        <w:tc>
          <w:tcPr>
            <w:tcW w:w="0" w:type="auto"/>
            <w:tcBorders>
              <w:top w:val="nil"/>
              <w:left w:val="nil"/>
              <w:bottom w:val="single" w:sz="4" w:space="0" w:color="auto"/>
              <w:right w:val="single" w:sz="4" w:space="0" w:color="auto"/>
            </w:tcBorders>
            <w:vAlign w:val="center"/>
            <w:hideMark/>
          </w:tcPr>
          <w:p w14:paraId="611F1B1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prospektu cenného papiera skladajúceho sa zo samostatných dokumentov, ak je žiadateľom emitent (špecifický symbol 2414 - iba v opatrení č. 5/2021 v znení opatrenia č. 8/2024)</w:t>
            </w:r>
          </w:p>
        </w:tc>
        <w:tc>
          <w:tcPr>
            <w:tcW w:w="0" w:type="auto"/>
            <w:tcBorders>
              <w:top w:val="nil"/>
              <w:left w:val="nil"/>
              <w:bottom w:val="single" w:sz="4" w:space="0" w:color="auto"/>
              <w:right w:val="single" w:sz="4" w:space="0" w:color="auto"/>
            </w:tcBorders>
            <w:vAlign w:val="center"/>
            <w:hideMark/>
          </w:tcPr>
          <w:p w14:paraId="015F404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3E31FED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10 a 20</w:t>
            </w:r>
          </w:p>
        </w:tc>
        <w:tc>
          <w:tcPr>
            <w:tcW w:w="0" w:type="auto"/>
            <w:tcBorders>
              <w:top w:val="nil"/>
              <w:left w:val="nil"/>
              <w:bottom w:val="single" w:sz="4" w:space="0" w:color="auto"/>
              <w:right w:val="single" w:sz="4" w:space="0" w:color="auto"/>
            </w:tcBorders>
            <w:vAlign w:val="center"/>
            <w:hideMark/>
          </w:tcPr>
          <w:p w14:paraId="1F09910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4D0CF36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04E2DC6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0E2D8242"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02EACB9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0491EAE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6CED617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69C19A0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433F77F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D4815BE"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212D557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25</w:t>
            </w:r>
          </w:p>
        </w:tc>
        <w:tc>
          <w:tcPr>
            <w:tcW w:w="0" w:type="auto"/>
            <w:tcBorders>
              <w:top w:val="single" w:sz="4" w:space="0" w:color="auto"/>
              <w:left w:val="nil"/>
              <w:bottom w:val="single" w:sz="4" w:space="0" w:color="auto"/>
              <w:right w:val="single" w:sz="4" w:space="0" w:color="auto"/>
            </w:tcBorders>
            <w:vAlign w:val="center"/>
            <w:hideMark/>
          </w:tcPr>
          <w:p w14:paraId="6335348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prospektu cenného papiera vypracovaného ako jeden dokument,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2418 -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0B2D585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65A2E30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6 a 20</w:t>
            </w:r>
          </w:p>
        </w:tc>
        <w:tc>
          <w:tcPr>
            <w:tcW w:w="0" w:type="auto"/>
            <w:tcBorders>
              <w:top w:val="single" w:sz="4" w:space="0" w:color="auto"/>
              <w:left w:val="nil"/>
              <w:bottom w:val="single" w:sz="4" w:space="0" w:color="auto"/>
              <w:right w:val="single" w:sz="4" w:space="0" w:color="auto"/>
            </w:tcBorders>
            <w:vAlign w:val="center"/>
            <w:hideMark/>
          </w:tcPr>
          <w:p w14:paraId="34EBC90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548BCA5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1DE394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15494D0A"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 </w:t>
            </w:r>
          </w:p>
        </w:tc>
        <w:tc>
          <w:tcPr>
            <w:tcW w:w="0" w:type="auto"/>
            <w:tcBorders>
              <w:top w:val="single" w:sz="4" w:space="0" w:color="auto"/>
              <w:left w:val="nil"/>
              <w:bottom w:val="single" w:sz="4" w:space="0" w:color="auto"/>
              <w:right w:val="single" w:sz="4" w:space="0" w:color="auto"/>
            </w:tcBorders>
            <w:vAlign w:val="center"/>
            <w:hideMark/>
          </w:tcPr>
          <w:p w14:paraId="381D3B1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25</w:t>
            </w:r>
          </w:p>
        </w:tc>
        <w:tc>
          <w:tcPr>
            <w:tcW w:w="0" w:type="auto"/>
            <w:tcBorders>
              <w:top w:val="single" w:sz="4" w:space="0" w:color="auto"/>
              <w:left w:val="nil"/>
              <w:bottom w:val="single" w:sz="4" w:space="0" w:color="auto"/>
              <w:right w:val="single" w:sz="4" w:space="0" w:color="auto"/>
            </w:tcBorders>
            <w:vAlign w:val="center"/>
            <w:hideMark/>
          </w:tcPr>
          <w:p w14:paraId="5470E5F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25</w:t>
            </w:r>
          </w:p>
        </w:tc>
        <w:tc>
          <w:tcPr>
            <w:tcW w:w="0" w:type="auto"/>
            <w:tcBorders>
              <w:top w:val="single" w:sz="4" w:space="0" w:color="auto"/>
              <w:left w:val="nil"/>
              <w:bottom w:val="single" w:sz="4" w:space="0" w:color="auto"/>
              <w:right w:val="single" w:sz="4" w:space="0" w:color="auto"/>
            </w:tcBorders>
            <w:vAlign w:val="center"/>
            <w:hideMark/>
          </w:tcPr>
          <w:p w14:paraId="0A3394F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77E7A0B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25</w:t>
            </w:r>
          </w:p>
        </w:tc>
        <w:tc>
          <w:tcPr>
            <w:tcW w:w="0" w:type="auto"/>
            <w:tcBorders>
              <w:top w:val="single" w:sz="4" w:space="0" w:color="auto"/>
              <w:left w:val="nil"/>
              <w:bottom w:val="single" w:sz="4" w:space="0" w:color="auto"/>
              <w:right w:val="single" w:sz="4" w:space="0" w:color="auto"/>
            </w:tcBorders>
            <w:vAlign w:val="center"/>
            <w:hideMark/>
          </w:tcPr>
          <w:p w14:paraId="0C0CD75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54ED4FD6"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1176F23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26</w:t>
            </w:r>
          </w:p>
        </w:tc>
        <w:tc>
          <w:tcPr>
            <w:tcW w:w="0" w:type="auto"/>
            <w:tcBorders>
              <w:top w:val="single" w:sz="4" w:space="0" w:color="auto"/>
              <w:left w:val="nil"/>
              <w:bottom w:val="single" w:sz="4" w:space="0" w:color="auto"/>
              <w:right w:val="single" w:sz="4" w:space="0" w:color="auto"/>
            </w:tcBorders>
            <w:vAlign w:val="center"/>
            <w:hideMark/>
          </w:tcPr>
          <w:p w14:paraId="1B36F9C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2419 -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271A14C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2E9CC27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10 a 20</w:t>
            </w:r>
          </w:p>
        </w:tc>
        <w:tc>
          <w:tcPr>
            <w:tcW w:w="0" w:type="auto"/>
            <w:tcBorders>
              <w:top w:val="single" w:sz="4" w:space="0" w:color="auto"/>
              <w:left w:val="nil"/>
              <w:bottom w:val="single" w:sz="4" w:space="0" w:color="auto"/>
              <w:right w:val="single" w:sz="4" w:space="0" w:color="auto"/>
            </w:tcBorders>
            <w:vAlign w:val="center"/>
            <w:hideMark/>
          </w:tcPr>
          <w:p w14:paraId="4EDCCF0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07FE44A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409CE56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5E1A853A"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3A75DAD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65A0D2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7B6715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0D272C5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2DBCFC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51E45A0A"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2F1CA99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27</w:t>
            </w:r>
          </w:p>
        </w:tc>
        <w:tc>
          <w:tcPr>
            <w:tcW w:w="0" w:type="auto"/>
            <w:tcBorders>
              <w:top w:val="single" w:sz="4" w:space="0" w:color="auto"/>
              <w:left w:val="nil"/>
              <w:bottom w:val="single" w:sz="4" w:space="0" w:color="auto"/>
              <w:right w:val="single" w:sz="4" w:space="0" w:color="auto"/>
            </w:tcBorders>
            <w:vAlign w:val="center"/>
            <w:hideMark/>
          </w:tcPr>
          <w:p w14:paraId="79A318C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2420 -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00FADEC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3341CA5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10 a 20</w:t>
            </w:r>
          </w:p>
        </w:tc>
        <w:tc>
          <w:tcPr>
            <w:tcW w:w="0" w:type="auto"/>
            <w:tcBorders>
              <w:top w:val="single" w:sz="4" w:space="0" w:color="auto"/>
              <w:left w:val="nil"/>
              <w:bottom w:val="single" w:sz="4" w:space="0" w:color="auto"/>
              <w:right w:val="single" w:sz="4" w:space="0" w:color="auto"/>
            </w:tcBorders>
            <w:vAlign w:val="center"/>
            <w:hideMark/>
          </w:tcPr>
          <w:p w14:paraId="7DFB649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304EA7B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548427C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6CF64458"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3EA8E26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700140D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7B2121E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411EF5A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BC229C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E9E6C4D"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405F01F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28</w:t>
            </w:r>
          </w:p>
        </w:tc>
        <w:tc>
          <w:tcPr>
            <w:tcW w:w="0" w:type="auto"/>
            <w:tcBorders>
              <w:top w:val="single" w:sz="4" w:space="0" w:color="auto"/>
              <w:left w:val="nil"/>
              <w:bottom w:val="single" w:sz="4" w:space="0" w:color="auto"/>
              <w:right w:val="single" w:sz="4" w:space="0" w:color="auto"/>
            </w:tcBorders>
            <w:vAlign w:val="center"/>
            <w:hideMark/>
          </w:tcPr>
          <w:p w14:paraId="17DAE30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2421 -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43455BC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56DE333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10 a 20</w:t>
            </w:r>
          </w:p>
        </w:tc>
        <w:tc>
          <w:tcPr>
            <w:tcW w:w="0" w:type="auto"/>
            <w:tcBorders>
              <w:top w:val="single" w:sz="4" w:space="0" w:color="auto"/>
              <w:left w:val="nil"/>
              <w:bottom w:val="single" w:sz="4" w:space="0" w:color="auto"/>
              <w:right w:val="single" w:sz="4" w:space="0" w:color="auto"/>
            </w:tcBorders>
            <w:vAlign w:val="center"/>
            <w:hideMark/>
          </w:tcPr>
          <w:p w14:paraId="255F839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5C493EE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00FF237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56FFAC19"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297A133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B3F61D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9997EE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70A618D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2F12ECE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77745633"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6EAD710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29</w:t>
            </w:r>
          </w:p>
        </w:tc>
        <w:tc>
          <w:tcPr>
            <w:tcW w:w="0" w:type="auto"/>
            <w:tcBorders>
              <w:top w:val="single" w:sz="4" w:space="0" w:color="auto"/>
              <w:left w:val="nil"/>
              <w:bottom w:val="single" w:sz="4" w:space="0" w:color="auto"/>
              <w:right w:val="single" w:sz="4" w:space="0" w:color="auto"/>
            </w:tcBorders>
            <w:vAlign w:val="center"/>
            <w:hideMark/>
          </w:tcPr>
          <w:p w14:paraId="0ED710F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univerzálneho registračného dokumentu (špecifický symbol 2435 -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6BB17B8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12DE1BE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9 a 20</w:t>
            </w:r>
          </w:p>
        </w:tc>
        <w:tc>
          <w:tcPr>
            <w:tcW w:w="0" w:type="auto"/>
            <w:tcBorders>
              <w:top w:val="single" w:sz="4" w:space="0" w:color="auto"/>
              <w:left w:val="nil"/>
              <w:bottom w:val="single" w:sz="4" w:space="0" w:color="auto"/>
              <w:right w:val="single" w:sz="4" w:space="0" w:color="auto"/>
            </w:tcBorders>
            <w:vAlign w:val="center"/>
            <w:hideMark/>
          </w:tcPr>
          <w:p w14:paraId="6DE0553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5230F31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3AEAC5D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5BB4DF69"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44EBA73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F7AF4A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B084DF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18A39F0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819708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7F2C6817"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451BD57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30</w:t>
            </w:r>
          </w:p>
        </w:tc>
        <w:tc>
          <w:tcPr>
            <w:tcW w:w="0" w:type="auto"/>
            <w:tcBorders>
              <w:top w:val="nil"/>
              <w:left w:val="nil"/>
              <w:bottom w:val="single" w:sz="4" w:space="0" w:color="auto"/>
              <w:right w:val="single" w:sz="4" w:space="0" w:color="auto"/>
            </w:tcBorders>
            <w:vAlign w:val="center"/>
            <w:hideMark/>
          </w:tcPr>
          <w:p w14:paraId="57D928A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zjednodušeného prospektu cenného papiera vypracovaného ako jeden dokument, ak je žiadateľom emitent (špecifický symbol 2436 - iba v opatrení č. 5/2021 v znení opatrenia č. 8/2024)</w:t>
            </w:r>
          </w:p>
        </w:tc>
        <w:tc>
          <w:tcPr>
            <w:tcW w:w="0" w:type="auto"/>
            <w:tcBorders>
              <w:top w:val="nil"/>
              <w:left w:val="nil"/>
              <w:bottom w:val="single" w:sz="4" w:space="0" w:color="auto"/>
              <w:right w:val="single" w:sz="4" w:space="0" w:color="auto"/>
            </w:tcBorders>
            <w:vAlign w:val="center"/>
            <w:hideMark/>
          </w:tcPr>
          <w:p w14:paraId="40F929C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31C5212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14 a 20</w:t>
            </w:r>
          </w:p>
        </w:tc>
        <w:tc>
          <w:tcPr>
            <w:tcW w:w="0" w:type="auto"/>
            <w:tcBorders>
              <w:top w:val="nil"/>
              <w:left w:val="nil"/>
              <w:bottom w:val="single" w:sz="4" w:space="0" w:color="auto"/>
              <w:right w:val="single" w:sz="4" w:space="0" w:color="auto"/>
            </w:tcBorders>
            <w:vAlign w:val="center"/>
            <w:hideMark/>
          </w:tcPr>
          <w:p w14:paraId="72955E7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67559C6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5A5EC70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01074C8A"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1010058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51B1CDA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D2ABC4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5B85815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2BBF3A5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606FCA0"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65A242D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31</w:t>
            </w:r>
          </w:p>
        </w:tc>
        <w:tc>
          <w:tcPr>
            <w:tcW w:w="0" w:type="auto"/>
            <w:tcBorders>
              <w:top w:val="nil"/>
              <w:left w:val="nil"/>
              <w:bottom w:val="single" w:sz="4" w:space="0" w:color="auto"/>
              <w:right w:val="single" w:sz="4" w:space="0" w:color="auto"/>
            </w:tcBorders>
            <w:vAlign w:val="center"/>
            <w:hideMark/>
          </w:tcPr>
          <w:p w14:paraId="1CEC636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zjednodušeného prospektu skladajúceho sa zo samostatných dokumentov, ak je žiadateľom emitent (špecifický symbol 2437- iba v opatrení č. 5/2021 v znení opatrenia č. 8/2024)</w:t>
            </w:r>
          </w:p>
        </w:tc>
        <w:tc>
          <w:tcPr>
            <w:tcW w:w="0" w:type="auto"/>
            <w:tcBorders>
              <w:top w:val="nil"/>
              <w:left w:val="nil"/>
              <w:bottom w:val="single" w:sz="4" w:space="0" w:color="auto"/>
              <w:right w:val="single" w:sz="4" w:space="0" w:color="auto"/>
            </w:tcBorders>
            <w:vAlign w:val="center"/>
            <w:hideMark/>
          </w:tcPr>
          <w:p w14:paraId="33AEC3C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5298B2A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14 a 20</w:t>
            </w:r>
          </w:p>
        </w:tc>
        <w:tc>
          <w:tcPr>
            <w:tcW w:w="0" w:type="auto"/>
            <w:tcBorders>
              <w:top w:val="nil"/>
              <w:left w:val="nil"/>
              <w:bottom w:val="single" w:sz="4" w:space="0" w:color="auto"/>
              <w:right w:val="single" w:sz="4" w:space="0" w:color="auto"/>
            </w:tcBorders>
            <w:vAlign w:val="center"/>
            <w:hideMark/>
          </w:tcPr>
          <w:p w14:paraId="470BA8C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2557E0B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3755C72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70C696E8"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0D983DC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48648D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4EA63D1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5A83AB3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084D79B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99A5A78" w14:textId="77777777" w:rsidTr="00AD56A0">
        <w:trPr>
          <w:cantSplit/>
          <w:trHeight w:val="1275"/>
        </w:trPr>
        <w:tc>
          <w:tcPr>
            <w:tcW w:w="0" w:type="auto"/>
            <w:tcBorders>
              <w:top w:val="single" w:sz="4" w:space="0" w:color="auto"/>
              <w:left w:val="single" w:sz="4" w:space="0" w:color="auto"/>
              <w:bottom w:val="single" w:sz="4" w:space="0" w:color="auto"/>
              <w:right w:val="single" w:sz="4" w:space="0" w:color="auto"/>
            </w:tcBorders>
            <w:vAlign w:val="center"/>
            <w:hideMark/>
          </w:tcPr>
          <w:p w14:paraId="1516576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32</w:t>
            </w:r>
          </w:p>
        </w:tc>
        <w:tc>
          <w:tcPr>
            <w:tcW w:w="0" w:type="auto"/>
            <w:tcBorders>
              <w:top w:val="single" w:sz="4" w:space="0" w:color="auto"/>
              <w:left w:val="nil"/>
              <w:bottom w:val="single" w:sz="4" w:space="0" w:color="auto"/>
              <w:right w:val="single" w:sz="4" w:space="0" w:color="auto"/>
            </w:tcBorders>
            <w:vAlign w:val="center"/>
            <w:hideMark/>
          </w:tcPr>
          <w:p w14:paraId="1524A72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zjednodušeného prospektu skladajúceho sa zo samostatných dokumentov, ak je žiadateľom emitent (špecifický symbol 2438-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3A2D194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6F2F5C4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14 a 20</w:t>
            </w:r>
          </w:p>
        </w:tc>
        <w:tc>
          <w:tcPr>
            <w:tcW w:w="0" w:type="auto"/>
            <w:tcBorders>
              <w:top w:val="single" w:sz="4" w:space="0" w:color="auto"/>
              <w:left w:val="nil"/>
              <w:bottom w:val="single" w:sz="4" w:space="0" w:color="auto"/>
              <w:right w:val="single" w:sz="4" w:space="0" w:color="auto"/>
            </w:tcBorders>
            <w:vAlign w:val="center"/>
            <w:hideMark/>
          </w:tcPr>
          <w:p w14:paraId="06F5204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04E4656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491365A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single" w:sz="4" w:space="0" w:color="auto"/>
              <w:left w:val="nil"/>
              <w:bottom w:val="single" w:sz="4" w:space="0" w:color="auto"/>
              <w:right w:val="single" w:sz="4" w:space="0" w:color="auto"/>
            </w:tcBorders>
            <w:vAlign w:val="center"/>
            <w:hideMark/>
          </w:tcPr>
          <w:p w14:paraId="082EAE54"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01E2820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9A2A17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F18BC5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12FEB80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0E72E5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1EEFED8B"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718D927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33</w:t>
            </w:r>
          </w:p>
        </w:tc>
        <w:tc>
          <w:tcPr>
            <w:tcW w:w="0" w:type="auto"/>
            <w:tcBorders>
              <w:top w:val="nil"/>
              <w:left w:val="nil"/>
              <w:bottom w:val="single" w:sz="4" w:space="0" w:color="auto"/>
              <w:right w:val="single" w:sz="4" w:space="0" w:color="auto"/>
            </w:tcBorders>
            <w:vAlign w:val="center"/>
            <w:hideMark/>
          </w:tcPr>
          <w:p w14:paraId="5F380BF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zjednodušeného prospektu skladajúceho sa zo samostatných dokumentov, ak je žiadateľom emitent (špecifický symbol 2439 - iba v opatrení č. 5/2021 v znení opatrenia č. 8/2024)</w:t>
            </w:r>
          </w:p>
        </w:tc>
        <w:tc>
          <w:tcPr>
            <w:tcW w:w="0" w:type="auto"/>
            <w:tcBorders>
              <w:top w:val="nil"/>
              <w:left w:val="nil"/>
              <w:bottom w:val="single" w:sz="4" w:space="0" w:color="auto"/>
              <w:right w:val="single" w:sz="4" w:space="0" w:color="auto"/>
            </w:tcBorders>
            <w:vAlign w:val="center"/>
            <w:hideMark/>
          </w:tcPr>
          <w:p w14:paraId="0430A40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5911867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14 a 20</w:t>
            </w:r>
          </w:p>
        </w:tc>
        <w:tc>
          <w:tcPr>
            <w:tcW w:w="0" w:type="auto"/>
            <w:tcBorders>
              <w:top w:val="nil"/>
              <w:left w:val="nil"/>
              <w:bottom w:val="single" w:sz="4" w:space="0" w:color="auto"/>
              <w:right w:val="single" w:sz="4" w:space="0" w:color="auto"/>
            </w:tcBorders>
            <w:vAlign w:val="center"/>
            <w:hideMark/>
          </w:tcPr>
          <w:p w14:paraId="105F9E7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3F4E963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44E5A02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383E191D"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41564DA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6EE74A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4FF361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6DC9F18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7742DF1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7A042F8"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7578AF9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34</w:t>
            </w:r>
          </w:p>
        </w:tc>
        <w:tc>
          <w:tcPr>
            <w:tcW w:w="0" w:type="auto"/>
            <w:tcBorders>
              <w:top w:val="single" w:sz="4" w:space="0" w:color="auto"/>
              <w:left w:val="nil"/>
              <w:bottom w:val="single" w:sz="4" w:space="0" w:color="auto"/>
              <w:right w:val="single" w:sz="4" w:space="0" w:color="auto"/>
            </w:tcBorders>
            <w:vAlign w:val="center"/>
            <w:hideMark/>
          </w:tcPr>
          <w:p w14:paraId="31F4C8E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zjednodušeného prospektu cenného papiera vypracovaného ako jeden dokument,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2440 -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16CC6E2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3BA9DFE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14 a 20</w:t>
            </w:r>
          </w:p>
        </w:tc>
        <w:tc>
          <w:tcPr>
            <w:tcW w:w="0" w:type="auto"/>
            <w:tcBorders>
              <w:top w:val="single" w:sz="4" w:space="0" w:color="auto"/>
              <w:left w:val="nil"/>
              <w:bottom w:val="single" w:sz="4" w:space="0" w:color="auto"/>
              <w:right w:val="single" w:sz="4" w:space="0" w:color="auto"/>
            </w:tcBorders>
            <w:vAlign w:val="center"/>
            <w:hideMark/>
          </w:tcPr>
          <w:p w14:paraId="7EFE5FD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7FAF1E7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7C31463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095EF390"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1AB2977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06A1E0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20FC6C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024A2D1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72AFBE6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386ABA1"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6A35ED3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35</w:t>
            </w:r>
          </w:p>
        </w:tc>
        <w:tc>
          <w:tcPr>
            <w:tcW w:w="0" w:type="auto"/>
            <w:tcBorders>
              <w:top w:val="single" w:sz="4" w:space="0" w:color="auto"/>
              <w:left w:val="nil"/>
              <w:bottom w:val="single" w:sz="4" w:space="0" w:color="auto"/>
              <w:right w:val="single" w:sz="4" w:space="0" w:color="auto"/>
            </w:tcBorders>
            <w:vAlign w:val="center"/>
            <w:hideMark/>
          </w:tcPr>
          <w:p w14:paraId="31DA885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zjednodušeného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2441 -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27AD22E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38210C0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14 a 20</w:t>
            </w:r>
          </w:p>
        </w:tc>
        <w:tc>
          <w:tcPr>
            <w:tcW w:w="0" w:type="auto"/>
            <w:tcBorders>
              <w:top w:val="single" w:sz="4" w:space="0" w:color="auto"/>
              <w:left w:val="nil"/>
              <w:bottom w:val="single" w:sz="4" w:space="0" w:color="auto"/>
              <w:right w:val="single" w:sz="4" w:space="0" w:color="auto"/>
            </w:tcBorders>
            <w:vAlign w:val="center"/>
            <w:hideMark/>
          </w:tcPr>
          <w:p w14:paraId="66D82C8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0E31472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382A22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1593212A"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486BF2D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704F1C5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25FFC67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606EBE4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3871A0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F86E354"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407324B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36</w:t>
            </w:r>
          </w:p>
        </w:tc>
        <w:tc>
          <w:tcPr>
            <w:tcW w:w="0" w:type="auto"/>
            <w:tcBorders>
              <w:top w:val="single" w:sz="4" w:space="0" w:color="auto"/>
              <w:left w:val="nil"/>
              <w:bottom w:val="single" w:sz="4" w:space="0" w:color="auto"/>
              <w:right w:val="single" w:sz="4" w:space="0" w:color="auto"/>
            </w:tcBorders>
            <w:vAlign w:val="center"/>
            <w:hideMark/>
          </w:tcPr>
          <w:p w14:paraId="1C54698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zjednodušeného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2442 -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6D61533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49C1F91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14 a 20</w:t>
            </w:r>
          </w:p>
        </w:tc>
        <w:tc>
          <w:tcPr>
            <w:tcW w:w="0" w:type="auto"/>
            <w:tcBorders>
              <w:top w:val="single" w:sz="4" w:space="0" w:color="auto"/>
              <w:left w:val="nil"/>
              <w:bottom w:val="single" w:sz="4" w:space="0" w:color="auto"/>
              <w:right w:val="single" w:sz="4" w:space="0" w:color="auto"/>
            </w:tcBorders>
            <w:vAlign w:val="center"/>
            <w:hideMark/>
          </w:tcPr>
          <w:p w14:paraId="317CA85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1653D18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289AD8E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5780D99B"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0529038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178FAF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940433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615FC0B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171129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2F71EF68"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44CBCC7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37</w:t>
            </w:r>
          </w:p>
        </w:tc>
        <w:tc>
          <w:tcPr>
            <w:tcW w:w="0" w:type="auto"/>
            <w:tcBorders>
              <w:top w:val="single" w:sz="4" w:space="0" w:color="auto"/>
              <w:left w:val="nil"/>
              <w:bottom w:val="single" w:sz="4" w:space="0" w:color="auto"/>
              <w:right w:val="single" w:sz="4" w:space="0" w:color="auto"/>
            </w:tcBorders>
            <w:vAlign w:val="center"/>
            <w:hideMark/>
          </w:tcPr>
          <w:p w14:paraId="596F6E2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zjednodušeného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2443 -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22E1E39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4EE45F9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14 a 20</w:t>
            </w:r>
          </w:p>
        </w:tc>
        <w:tc>
          <w:tcPr>
            <w:tcW w:w="0" w:type="auto"/>
            <w:tcBorders>
              <w:top w:val="single" w:sz="4" w:space="0" w:color="auto"/>
              <w:left w:val="nil"/>
              <w:bottom w:val="single" w:sz="4" w:space="0" w:color="auto"/>
              <w:right w:val="single" w:sz="4" w:space="0" w:color="auto"/>
            </w:tcBorders>
            <w:vAlign w:val="center"/>
            <w:hideMark/>
          </w:tcPr>
          <w:p w14:paraId="2A33C78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1F7A24D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2BE418A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6893BD79"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06D8CB3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5F9957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2E6BEF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39388B9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950818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161EB434" w14:textId="77777777" w:rsidTr="00F3455B">
        <w:trPr>
          <w:cantSplit/>
          <w:trHeight w:val="1020"/>
        </w:trPr>
        <w:tc>
          <w:tcPr>
            <w:tcW w:w="0" w:type="auto"/>
            <w:tcBorders>
              <w:top w:val="nil"/>
              <w:left w:val="single" w:sz="4" w:space="0" w:color="auto"/>
              <w:bottom w:val="single" w:sz="4" w:space="0" w:color="auto"/>
              <w:right w:val="single" w:sz="4" w:space="0" w:color="auto"/>
            </w:tcBorders>
            <w:vAlign w:val="center"/>
            <w:hideMark/>
          </w:tcPr>
          <w:p w14:paraId="40FA2BB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38</w:t>
            </w:r>
          </w:p>
        </w:tc>
        <w:tc>
          <w:tcPr>
            <w:tcW w:w="0" w:type="auto"/>
            <w:tcBorders>
              <w:top w:val="nil"/>
              <w:left w:val="nil"/>
              <w:bottom w:val="single" w:sz="4" w:space="0" w:color="auto"/>
              <w:right w:val="single" w:sz="4" w:space="0" w:color="auto"/>
            </w:tcBorders>
            <w:vAlign w:val="center"/>
            <w:hideMark/>
          </w:tcPr>
          <w:p w14:paraId="586B070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rastového prospektu EÚ vypracovaného ako jeden dokument, ak je žiadateľom emitent (špecifický symbol 2444 - iba v opatrení č. 5/2021 v znení opatrenia č. 8/2024)</w:t>
            </w:r>
          </w:p>
        </w:tc>
        <w:tc>
          <w:tcPr>
            <w:tcW w:w="0" w:type="auto"/>
            <w:tcBorders>
              <w:top w:val="nil"/>
              <w:left w:val="nil"/>
              <w:bottom w:val="single" w:sz="4" w:space="0" w:color="auto"/>
              <w:right w:val="single" w:sz="4" w:space="0" w:color="auto"/>
            </w:tcBorders>
            <w:vAlign w:val="center"/>
            <w:hideMark/>
          </w:tcPr>
          <w:p w14:paraId="1CF8AC2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0AF1E2A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15 a 20</w:t>
            </w:r>
          </w:p>
        </w:tc>
        <w:tc>
          <w:tcPr>
            <w:tcW w:w="0" w:type="auto"/>
            <w:tcBorders>
              <w:top w:val="nil"/>
              <w:left w:val="nil"/>
              <w:bottom w:val="single" w:sz="4" w:space="0" w:color="auto"/>
              <w:right w:val="single" w:sz="4" w:space="0" w:color="auto"/>
            </w:tcBorders>
            <w:vAlign w:val="center"/>
            <w:hideMark/>
          </w:tcPr>
          <w:p w14:paraId="7C913C9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6ACE6CD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0C320A8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76CA030D"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8 </w:t>
            </w:r>
          </w:p>
        </w:tc>
        <w:tc>
          <w:tcPr>
            <w:tcW w:w="0" w:type="auto"/>
            <w:tcBorders>
              <w:top w:val="nil"/>
              <w:left w:val="nil"/>
              <w:bottom w:val="single" w:sz="4" w:space="0" w:color="auto"/>
              <w:right w:val="single" w:sz="4" w:space="0" w:color="auto"/>
            </w:tcBorders>
            <w:vAlign w:val="center"/>
            <w:hideMark/>
          </w:tcPr>
          <w:p w14:paraId="3EE4042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63</w:t>
            </w:r>
          </w:p>
        </w:tc>
        <w:tc>
          <w:tcPr>
            <w:tcW w:w="0" w:type="auto"/>
            <w:tcBorders>
              <w:top w:val="nil"/>
              <w:left w:val="nil"/>
              <w:bottom w:val="single" w:sz="4" w:space="0" w:color="auto"/>
              <w:right w:val="single" w:sz="4" w:space="0" w:color="auto"/>
            </w:tcBorders>
            <w:vAlign w:val="center"/>
            <w:hideMark/>
          </w:tcPr>
          <w:p w14:paraId="4C8044E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500</w:t>
            </w:r>
          </w:p>
        </w:tc>
        <w:tc>
          <w:tcPr>
            <w:tcW w:w="0" w:type="auto"/>
            <w:tcBorders>
              <w:top w:val="nil"/>
              <w:left w:val="nil"/>
              <w:bottom w:val="single" w:sz="4" w:space="0" w:color="auto"/>
              <w:right w:val="single" w:sz="4" w:space="0" w:color="auto"/>
            </w:tcBorders>
            <w:vAlign w:val="center"/>
            <w:hideMark/>
          </w:tcPr>
          <w:p w14:paraId="6FDF371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6152496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500</w:t>
            </w:r>
          </w:p>
        </w:tc>
        <w:tc>
          <w:tcPr>
            <w:tcW w:w="0" w:type="auto"/>
            <w:tcBorders>
              <w:top w:val="nil"/>
              <w:left w:val="nil"/>
              <w:bottom w:val="single" w:sz="4" w:space="0" w:color="auto"/>
              <w:right w:val="single" w:sz="4" w:space="0" w:color="auto"/>
            </w:tcBorders>
            <w:vAlign w:val="center"/>
            <w:hideMark/>
          </w:tcPr>
          <w:p w14:paraId="2CD69D4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5357AE82" w14:textId="77777777" w:rsidTr="00AD56A0">
        <w:trPr>
          <w:cantSplit/>
          <w:trHeight w:val="1275"/>
        </w:trPr>
        <w:tc>
          <w:tcPr>
            <w:tcW w:w="0" w:type="auto"/>
            <w:tcBorders>
              <w:top w:val="single" w:sz="4" w:space="0" w:color="auto"/>
              <w:left w:val="single" w:sz="4" w:space="0" w:color="auto"/>
              <w:bottom w:val="single" w:sz="4" w:space="0" w:color="auto"/>
              <w:right w:val="single" w:sz="4" w:space="0" w:color="auto"/>
            </w:tcBorders>
            <w:vAlign w:val="center"/>
            <w:hideMark/>
          </w:tcPr>
          <w:p w14:paraId="32F3EE4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39</w:t>
            </w:r>
          </w:p>
        </w:tc>
        <w:tc>
          <w:tcPr>
            <w:tcW w:w="0" w:type="auto"/>
            <w:tcBorders>
              <w:top w:val="single" w:sz="4" w:space="0" w:color="auto"/>
              <w:left w:val="nil"/>
              <w:bottom w:val="single" w:sz="4" w:space="0" w:color="auto"/>
              <w:right w:val="single" w:sz="4" w:space="0" w:color="auto"/>
            </w:tcBorders>
            <w:vAlign w:val="center"/>
            <w:hideMark/>
          </w:tcPr>
          <w:p w14:paraId="53090D4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rastového prospektu EÚ skladajúceho sa zo samostatných dokumentov, ak je žiadateľom emitent (špecifický symbol 2445 -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1D4E734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65A9E7A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15 a 20</w:t>
            </w:r>
          </w:p>
        </w:tc>
        <w:tc>
          <w:tcPr>
            <w:tcW w:w="0" w:type="auto"/>
            <w:tcBorders>
              <w:top w:val="single" w:sz="4" w:space="0" w:color="auto"/>
              <w:left w:val="nil"/>
              <w:bottom w:val="single" w:sz="4" w:space="0" w:color="auto"/>
              <w:right w:val="single" w:sz="4" w:space="0" w:color="auto"/>
            </w:tcBorders>
            <w:vAlign w:val="center"/>
            <w:hideMark/>
          </w:tcPr>
          <w:p w14:paraId="4229B31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54C91C2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4249DBF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single" w:sz="4" w:space="0" w:color="auto"/>
              <w:left w:val="nil"/>
              <w:bottom w:val="single" w:sz="4" w:space="0" w:color="auto"/>
              <w:right w:val="single" w:sz="4" w:space="0" w:color="auto"/>
            </w:tcBorders>
            <w:vAlign w:val="center"/>
            <w:hideMark/>
          </w:tcPr>
          <w:p w14:paraId="268927E4"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76CC2B6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1A9AC2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53EA57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3F5DC64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0B8B7C2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2CD123C"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65CE9DB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40</w:t>
            </w:r>
          </w:p>
        </w:tc>
        <w:tc>
          <w:tcPr>
            <w:tcW w:w="0" w:type="auto"/>
            <w:tcBorders>
              <w:top w:val="nil"/>
              <w:left w:val="nil"/>
              <w:bottom w:val="single" w:sz="4" w:space="0" w:color="auto"/>
              <w:right w:val="single" w:sz="4" w:space="0" w:color="auto"/>
            </w:tcBorders>
            <w:vAlign w:val="center"/>
            <w:hideMark/>
          </w:tcPr>
          <w:p w14:paraId="4285A81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rastového prospektu EÚ skladajúceho sa zo samostatných dokumentov, ak je žiadateľom emitent (špecifický symbol 2446 - iba v opatrení č. 5/2021 v znení opatrenia č. 8/2024)</w:t>
            </w:r>
          </w:p>
        </w:tc>
        <w:tc>
          <w:tcPr>
            <w:tcW w:w="0" w:type="auto"/>
            <w:tcBorders>
              <w:top w:val="nil"/>
              <w:left w:val="nil"/>
              <w:bottom w:val="single" w:sz="4" w:space="0" w:color="auto"/>
              <w:right w:val="single" w:sz="4" w:space="0" w:color="auto"/>
            </w:tcBorders>
            <w:vAlign w:val="center"/>
            <w:hideMark/>
          </w:tcPr>
          <w:p w14:paraId="1C8F153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382D86B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15 a 20</w:t>
            </w:r>
          </w:p>
        </w:tc>
        <w:tc>
          <w:tcPr>
            <w:tcW w:w="0" w:type="auto"/>
            <w:tcBorders>
              <w:top w:val="nil"/>
              <w:left w:val="nil"/>
              <w:bottom w:val="single" w:sz="4" w:space="0" w:color="auto"/>
              <w:right w:val="single" w:sz="4" w:space="0" w:color="auto"/>
            </w:tcBorders>
            <w:vAlign w:val="center"/>
            <w:hideMark/>
          </w:tcPr>
          <w:p w14:paraId="4595187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03D8FAE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361E500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43F1DE49"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30E96F0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06548D6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74C23F1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5AFAA9B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5D4EE95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1F26BA41"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104140B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41</w:t>
            </w:r>
          </w:p>
        </w:tc>
        <w:tc>
          <w:tcPr>
            <w:tcW w:w="0" w:type="auto"/>
            <w:tcBorders>
              <w:top w:val="nil"/>
              <w:left w:val="nil"/>
              <w:bottom w:val="single" w:sz="4" w:space="0" w:color="auto"/>
              <w:right w:val="single" w:sz="4" w:space="0" w:color="auto"/>
            </w:tcBorders>
            <w:vAlign w:val="center"/>
            <w:hideMark/>
          </w:tcPr>
          <w:p w14:paraId="325D94A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rastového prospektu EÚ skladajúceho sa zo samostatných dokumentov, ak je žiadateľom emitent (špecifický symbol 2447 - iba v opatrení č. 5/2021 v znení opatrenia č. 8/2024)</w:t>
            </w:r>
          </w:p>
        </w:tc>
        <w:tc>
          <w:tcPr>
            <w:tcW w:w="0" w:type="auto"/>
            <w:tcBorders>
              <w:top w:val="nil"/>
              <w:left w:val="nil"/>
              <w:bottom w:val="single" w:sz="4" w:space="0" w:color="auto"/>
              <w:right w:val="single" w:sz="4" w:space="0" w:color="auto"/>
            </w:tcBorders>
            <w:vAlign w:val="center"/>
            <w:hideMark/>
          </w:tcPr>
          <w:p w14:paraId="4B1D0DD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34A96B1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15 a 20</w:t>
            </w:r>
          </w:p>
        </w:tc>
        <w:tc>
          <w:tcPr>
            <w:tcW w:w="0" w:type="auto"/>
            <w:tcBorders>
              <w:top w:val="nil"/>
              <w:left w:val="nil"/>
              <w:bottom w:val="single" w:sz="4" w:space="0" w:color="auto"/>
              <w:right w:val="single" w:sz="4" w:space="0" w:color="auto"/>
            </w:tcBorders>
            <w:vAlign w:val="center"/>
            <w:hideMark/>
          </w:tcPr>
          <w:p w14:paraId="627D433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7A887F3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6185C3A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w:t>
            </w:r>
          </w:p>
        </w:tc>
        <w:tc>
          <w:tcPr>
            <w:tcW w:w="0" w:type="auto"/>
            <w:tcBorders>
              <w:top w:val="nil"/>
              <w:left w:val="nil"/>
              <w:bottom w:val="single" w:sz="4" w:space="0" w:color="auto"/>
              <w:right w:val="single" w:sz="4" w:space="0" w:color="auto"/>
            </w:tcBorders>
            <w:vAlign w:val="center"/>
            <w:hideMark/>
          </w:tcPr>
          <w:p w14:paraId="63AF2FE3"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52CCF1F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1B6BEDD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1690522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39ABB3F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0B2343B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CD670F0"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2BC41F1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42</w:t>
            </w:r>
          </w:p>
        </w:tc>
        <w:tc>
          <w:tcPr>
            <w:tcW w:w="0" w:type="auto"/>
            <w:tcBorders>
              <w:top w:val="single" w:sz="4" w:space="0" w:color="auto"/>
              <w:left w:val="nil"/>
              <w:bottom w:val="single" w:sz="4" w:space="0" w:color="auto"/>
              <w:right w:val="single" w:sz="4" w:space="0" w:color="auto"/>
            </w:tcBorders>
            <w:vAlign w:val="center"/>
            <w:hideMark/>
          </w:tcPr>
          <w:p w14:paraId="1DEA6AA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rastového prospektu EÚ vypracovaného ako jeden dokument,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2448 -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450AA80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44DD6EE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15 a 20</w:t>
            </w:r>
          </w:p>
        </w:tc>
        <w:tc>
          <w:tcPr>
            <w:tcW w:w="0" w:type="auto"/>
            <w:tcBorders>
              <w:top w:val="single" w:sz="4" w:space="0" w:color="auto"/>
              <w:left w:val="nil"/>
              <w:bottom w:val="single" w:sz="4" w:space="0" w:color="auto"/>
              <w:right w:val="single" w:sz="4" w:space="0" w:color="auto"/>
            </w:tcBorders>
            <w:vAlign w:val="center"/>
            <w:hideMark/>
          </w:tcPr>
          <w:p w14:paraId="7DF3B97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0A1F744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73BDBF4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515F2888"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 </w:t>
            </w:r>
          </w:p>
        </w:tc>
        <w:tc>
          <w:tcPr>
            <w:tcW w:w="0" w:type="auto"/>
            <w:tcBorders>
              <w:top w:val="single" w:sz="4" w:space="0" w:color="auto"/>
              <w:left w:val="nil"/>
              <w:bottom w:val="single" w:sz="4" w:space="0" w:color="auto"/>
              <w:right w:val="single" w:sz="4" w:space="0" w:color="auto"/>
            </w:tcBorders>
            <w:vAlign w:val="center"/>
            <w:hideMark/>
          </w:tcPr>
          <w:p w14:paraId="4AA2D66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18</w:t>
            </w:r>
          </w:p>
        </w:tc>
        <w:tc>
          <w:tcPr>
            <w:tcW w:w="0" w:type="auto"/>
            <w:tcBorders>
              <w:top w:val="single" w:sz="4" w:space="0" w:color="auto"/>
              <w:left w:val="nil"/>
              <w:bottom w:val="single" w:sz="4" w:space="0" w:color="auto"/>
              <w:right w:val="single" w:sz="4" w:space="0" w:color="auto"/>
            </w:tcBorders>
            <w:vAlign w:val="center"/>
            <w:hideMark/>
          </w:tcPr>
          <w:p w14:paraId="6408F87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18</w:t>
            </w:r>
          </w:p>
        </w:tc>
        <w:tc>
          <w:tcPr>
            <w:tcW w:w="0" w:type="auto"/>
            <w:tcBorders>
              <w:top w:val="single" w:sz="4" w:space="0" w:color="auto"/>
              <w:left w:val="nil"/>
              <w:bottom w:val="single" w:sz="4" w:space="0" w:color="auto"/>
              <w:right w:val="single" w:sz="4" w:space="0" w:color="auto"/>
            </w:tcBorders>
            <w:vAlign w:val="center"/>
            <w:hideMark/>
          </w:tcPr>
          <w:p w14:paraId="4730405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212177B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18</w:t>
            </w:r>
          </w:p>
        </w:tc>
        <w:tc>
          <w:tcPr>
            <w:tcW w:w="0" w:type="auto"/>
            <w:tcBorders>
              <w:top w:val="single" w:sz="4" w:space="0" w:color="auto"/>
              <w:left w:val="nil"/>
              <w:bottom w:val="single" w:sz="4" w:space="0" w:color="auto"/>
              <w:right w:val="single" w:sz="4" w:space="0" w:color="auto"/>
            </w:tcBorders>
            <w:vAlign w:val="center"/>
            <w:hideMark/>
          </w:tcPr>
          <w:p w14:paraId="1BFB6C9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BBF7713"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79B78EE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43</w:t>
            </w:r>
          </w:p>
        </w:tc>
        <w:tc>
          <w:tcPr>
            <w:tcW w:w="0" w:type="auto"/>
            <w:tcBorders>
              <w:top w:val="single" w:sz="4" w:space="0" w:color="auto"/>
              <w:left w:val="nil"/>
              <w:bottom w:val="single" w:sz="4" w:space="0" w:color="auto"/>
              <w:right w:val="single" w:sz="4" w:space="0" w:color="auto"/>
            </w:tcBorders>
            <w:vAlign w:val="center"/>
            <w:hideMark/>
          </w:tcPr>
          <w:p w14:paraId="11F1834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rastového prospektu EÚ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2449 -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79468C3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227E0E1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15 a 20</w:t>
            </w:r>
          </w:p>
        </w:tc>
        <w:tc>
          <w:tcPr>
            <w:tcW w:w="0" w:type="auto"/>
            <w:tcBorders>
              <w:top w:val="single" w:sz="4" w:space="0" w:color="auto"/>
              <w:left w:val="nil"/>
              <w:bottom w:val="single" w:sz="4" w:space="0" w:color="auto"/>
              <w:right w:val="single" w:sz="4" w:space="0" w:color="auto"/>
            </w:tcBorders>
            <w:vAlign w:val="center"/>
            <w:hideMark/>
          </w:tcPr>
          <w:p w14:paraId="58F083B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1DF9F62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963D9A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26A1C611"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2738515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69473C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782A93F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147AB86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30038A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2E9BE94B"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0B47FC9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44</w:t>
            </w:r>
          </w:p>
        </w:tc>
        <w:tc>
          <w:tcPr>
            <w:tcW w:w="0" w:type="auto"/>
            <w:tcBorders>
              <w:top w:val="single" w:sz="4" w:space="0" w:color="auto"/>
              <w:left w:val="nil"/>
              <w:bottom w:val="single" w:sz="4" w:space="0" w:color="auto"/>
              <w:right w:val="single" w:sz="4" w:space="0" w:color="auto"/>
            </w:tcBorders>
            <w:vAlign w:val="center"/>
            <w:hideMark/>
          </w:tcPr>
          <w:p w14:paraId="63B18A1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rastového prospektu EÚ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2450 -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2D0B636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28F1587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15 a 20</w:t>
            </w:r>
          </w:p>
        </w:tc>
        <w:tc>
          <w:tcPr>
            <w:tcW w:w="0" w:type="auto"/>
            <w:tcBorders>
              <w:top w:val="single" w:sz="4" w:space="0" w:color="auto"/>
              <w:left w:val="nil"/>
              <w:bottom w:val="single" w:sz="4" w:space="0" w:color="auto"/>
              <w:right w:val="single" w:sz="4" w:space="0" w:color="auto"/>
            </w:tcBorders>
            <w:vAlign w:val="center"/>
            <w:hideMark/>
          </w:tcPr>
          <w:p w14:paraId="4DDB6BE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75C6556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54C63E6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54540ED7"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37CA34C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356CA7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3A24F3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54C4A60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721255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1F9D26D" w14:textId="77777777" w:rsidTr="00AD56A0">
        <w:trPr>
          <w:cantSplit/>
          <w:trHeight w:val="5865"/>
        </w:trPr>
        <w:tc>
          <w:tcPr>
            <w:tcW w:w="0" w:type="auto"/>
            <w:tcBorders>
              <w:top w:val="single" w:sz="4" w:space="0" w:color="auto"/>
              <w:left w:val="single" w:sz="4" w:space="0" w:color="auto"/>
              <w:bottom w:val="single" w:sz="4" w:space="0" w:color="auto"/>
              <w:right w:val="single" w:sz="4" w:space="0" w:color="auto"/>
            </w:tcBorders>
            <w:vAlign w:val="center"/>
            <w:hideMark/>
          </w:tcPr>
          <w:p w14:paraId="2E51A41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45</w:t>
            </w:r>
          </w:p>
        </w:tc>
        <w:tc>
          <w:tcPr>
            <w:tcW w:w="0" w:type="auto"/>
            <w:tcBorders>
              <w:top w:val="single" w:sz="4" w:space="0" w:color="auto"/>
              <w:left w:val="nil"/>
              <w:bottom w:val="single" w:sz="4" w:space="0" w:color="auto"/>
              <w:right w:val="single" w:sz="4" w:space="0" w:color="auto"/>
            </w:tcBorders>
            <w:vAlign w:val="center"/>
            <w:hideMark/>
          </w:tcPr>
          <w:p w14:paraId="0D11930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rastového prospektu EÚ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2451 -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76431B2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0774D72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15 a 20</w:t>
            </w:r>
          </w:p>
        </w:tc>
        <w:tc>
          <w:tcPr>
            <w:tcW w:w="0" w:type="auto"/>
            <w:tcBorders>
              <w:top w:val="single" w:sz="4" w:space="0" w:color="auto"/>
              <w:left w:val="nil"/>
              <w:bottom w:val="single" w:sz="4" w:space="0" w:color="auto"/>
              <w:right w:val="single" w:sz="4" w:space="0" w:color="auto"/>
            </w:tcBorders>
            <w:vAlign w:val="center"/>
            <w:hideMark/>
          </w:tcPr>
          <w:p w14:paraId="286E809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32479B5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001E14F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vyhlasovatelia verejnej ponuky cenných papierov, ktorí nie sú emitentmi cenných papierov, ktoré sú predmetom verejnej ponuky cenných papierov a osoby, ktoré nie sú emitentmi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1D173DD2"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1FAB5EF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0C66B1A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ABAF71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51A50A0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37DEFD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AB853B4"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480A98A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46</w:t>
            </w:r>
          </w:p>
        </w:tc>
        <w:tc>
          <w:tcPr>
            <w:tcW w:w="0" w:type="auto"/>
            <w:tcBorders>
              <w:top w:val="single" w:sz="4" w:space="0" w:color="auto"/>
              <w:left w:val="nil"/>
              <w:bottom w:val="single" w:sz="4" w:space="0" w:color="auto"/>
              <w:right w:val="single" w:sz="4" w:space="0" w:color="auto"/>
            </w:tcBorders>
            <w:vAlign w:val="center"/>
            <w:hideMark/>
          </w:tcPr>
          <w:p w14:paraId="5990396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dodatku k prospektu cenného papiera alebo k jeho súčasti (špecifický symbol 2415 -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0CF8123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23DFBF5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23</w:t>
            </w:r>
          </w:p>
        </w:tc>
        <w:tc>
          <w:tcPr>
            <w:tcW w:w="0" w:type="auto"/>
            <w:tcBorders>
              <w:top w:val="single" w:sz="4" w:space="0" w:color="auto"/>
              <w:left w:val="nil"/>
              <w:bottom w:val="single" w:sz="4" w:space="0" w:color="auto"/>
              <w:right w:val="single" w:sz="4" w:space="0" w:color="auto"/>
            </w:tcBorders>
            <w:vAlign w:val="center"/>
            <w:hideMark/>
          </w:tcPr>
          <w:p w14:paraId="59BC540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28EF9DA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0B80E49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6ACE6086"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25 </w:t>
            </w:r>
          </w:p>
        </w:tc>
        <w:tc>
          <w:tcPr>
            <w:tcW w:w="0" w:type="auto"/>
            <w:tcBorders>
              <w:top w:val="single" w:sz="4" w:space="0" w:color="auto"/>
              <w:left w:val="nil"/>
              <w:bottom w:val="single" w:sz="4" w:space="0" w:color="auto"/>
              <w:right w:val="single" w:sz="4" w:space="0" w:color="auto"/>
            </w:tcBorders>
            <w:vAlign w:val="center"/>
            <w:hideMark/>
          </w:tcPr>
          <w:p w14:paraId="0A59F58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5</w:t>
            </w:r>
          </w:p>
        </w:tc>
        <w:tc>
          <w:tcPr>
            <w:tcW w:w="0" w:type="auto"/>
            <w:tcBorders>
              <w:top w:val="single" w:sz="4" w:space="0" w:color="auto"/>
              <w:left w:val="nil"/>
              <w:bottom w:val="single" w:sz="4" w:space="0" w:color="auto"/>
              <w:right w:val="single" w:sz="4" w:space="0" w:color="auto"/>
            </w:tcBorders>
            <w:vAlign w:val="center"/>
            <w:hideMark/>
          </w:tcPr>
          <w:p w14:paraId="382E329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125</w:t>
            </w:r>
          </w:p>
        </w:tc>
        <w:tc>
          <w:tcPr>
            <w:tcW w:w="0" w:type="auto"/>
            <w:tcBorders>
              <w:top w:val="single" w:sz="4" w:space="0" w:color="auto"/>
              <w:left w:val="nil"/>
              <w:bottom w:val="single" w:sz="4" w:space="0" w:color="auto"/>
              <w:right w:val="single" w:sz="4" w:space="0" w:color="auto"/>
            </w:tcBorders>
            <w:vAlign w:val="center"/>
            <w:hideMark/>
          </w:tcPr>
          <w:p w14:paraId="5F58655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5D3465D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125</w:t>
            </w:r>
          </w:p>
        </w:tc>
        <w:tc>
          <w:tcPr>
            <w:tcW w:w="0" w:type="auto"/>
            <w:tcBorders>
              <w:top w:val="single" w:sz="4" w:space="0" w:color="auto"/>
              <w:left w:val="nil"/>
              <w:bottom w:val="single" w:sz="4" w:space="0" w:color="auto"/>
              <w:right w:val="single" w:sz="4" w:space="0" w:color="auto"/>
            </w:tcBorders>
            <w:vAlign w:val="center"/>
            <w:hideMark/>
          </w:tcPr>
          <w:p w14:paraId="3E33BB8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147196E"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3C70164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47</w:t>
            </w:r>
          </w:p>
        </w:tc>
        <w:tc>
          <w:tcPr>
            <w:tcW w:w="0" w:type="auto"/>
            <w:tcBorders>
              <w:top w:val="nil"/>
              <w:left w:val="nil"/>
              <w:bottom w:val="single" w:sz="4" w:space="0" w:color="auto"/>
              <w:right w:val="single" w:sz="4" w:space="0" w:color="auto"/>
            </w:tcBorders>
            <w:vAlign w:val="center"/>
            <w:hideMark/>
          </w:tcPr>
          <w:p w14:paraId="33128AB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schválenie zmeny univerzálneho registračného dokumentu predkladaného spolu s opisom cenných papierov a súhrnom (špecifický symbol 2452 - iba v opatrení č. 5/2021 v znení opatrenia č. 8/2024)</w:t>
            </w:r>
          </w:p>
        </w:tc>
        <w:tc>
          <w:tcPr>
            <w:tcW w:w="0" w:type="auto"/>
            <w:tcBorders>
              <w:top w:val="nil"/>
              <w:left w:val="nil"/>
              <w:bottom w:val="single" w:sz="4" w:space="0" w:color="auto"/>
              <w:right w:val="single" w:sz="4" w:space="0" w:color="auto"/>
            </w:tcBorders>
            <w:vAlign w:val="center"/>
            <w:hideMark/>
          </w:tcPr>
          <w:p w14:paraId="6961474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53F9629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10 ods. 3 a Čl. 20</w:t>
            </w:r>
          </w:p>
        </w:tc>
        <w:tc>
          <w:tcPr>
            <w:tcW w:w="0" w:type="auto"/>
            <w:tcBorders>
              <w:top w:val="nil"/>
              <w:left w:val="nil"/>
              <w:bottom w:val="single" w:sz="4" w:space="0" w:color="auto"/>
              <w:right w:val="single" w:sz="4" w:space="0" w:color="auto"/>
            </w:tcBorders>
            <w:vAlign w:val="center"/>
            <w:hideMark/>
          </w:tcPr>
          <w:p w14:paraId="2147F9D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6149B0A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630A21C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16BE8A7D"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26D3A3E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044454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7622F65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3650FB8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5BCE9CE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144286C2"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1FA74FE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48</w:t>
            </w:r>
          </w:p>
        </w:tc>
        <w:tc>
          <w:tcPr>
            <w:tcW w:w="0" w:type="auto"/>
            <w:tcBorders>
              <w:top w:val="single" w:sz="4" w:space="0" w:color="auto"/>
              <w:left w:val="nil"/>
              <w:bottom w:val="single" w:sz="4" w:space="0" w:color="auto"/>
              <w:right w:val="single" w:sz="4" w:space="0" w:color="auto"/>
            </w:tcBorders>
            <w:vAlign w:val="center"/>
            <w:hideMark/>
          </w:tcPr>
          <w:p w14:paraId="70B11A9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pre majetkové cenné papiere vypracovaného ako jeden dokument (špecifický symbol 2454)</w:t>
            </w:r>
          </w:p>
        </w:tc>
        <w:tc>
          <w:tcPr>
            <w:tcW w:w="0" w:type="auto"/>
            <w:tcBorders>
              <w:top w:val="single" w:sz="4" w:space="0" w:color="auto"/>
              <w:left w:val="nil"/>
              <w:bottom w:val="single" w:sz="4" w:space="0" w:color="auto"/>
              <w:right w:val="single" w:sz="4" w:space="0" w:color="auto"/>
            </w:tcBorders>
            <w:vAlign w:val="center"/>
            <w:hideMark/>
          </w:tcPr>
          <w:p w14:paraId="55554D9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448E3CF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6 a 20</w:t>
            </w:r>
          </w:p>
        </w:tc>
        <w:tc>
          <w:tcPr>
            <w:tcW w:w="0" w:type="auto"/>
            <w:tcBorders>
              <w:top w:val="single" w:sz="4" w:space="0" w:color="auto"/>
              <w:left w:val="nil"/>
              <w:bottom w:val="single" w:sz="4" w:space="0" w:color="auto"/>
              <w:right w:val="single" w:sz="4" w:space="0" w:color="auto"/>
            </w:tcBorders>
            <w:vAlign w:val="center"/>
            <w:hideMark/>
          </w:tcPr>
          <w:p w14:paraId="1FC6E3B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2C1BD97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4371DA0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01C73DA8"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3 </w:t>
            </w:r>
          </w:p>
        </w:tc>
        <w:tc>
          <w:tcPr>
            <w:tcW w:w="0" w:type="auto"/>
            <w:tcBorders>
              <w:top w:val="single" w:sz="4" w:space="0" w:color="auto"/>
              <w:left w:val="nil"/>
              <w:bottom w:val="single" w:sz="4" w:space="0" w:color="auto"/>
              <w:right w:val="single" w:sz="4" w:space="0" w:color="auto"/>
            </w:tcBorders>
            <w:vAlign w:val="center"/>
            <w:hideMark/>
          </w:tcPr>
          <w:p w14:paraId="5394FF1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375</w:t>
            </w:r>
          </w:p>
        </w:tc>
        <w:tc>
          <w:tcPr>
            <w:tcW w:w="0" w:type="auto"/>
            <w:tcBorders>
              <w:top w:val="single" w:sz="4" w:space="0" w:color="auto"/>
              <w:left w:val="nil"/>
              <w:bottom w:val="single" w:sz="4" w:space="0" w:color="auto"/>
              <w:right w:val="single" w:sz="4" w:space="0" w:color="auto"/>
            </w:tcBorders>
            <w:vAlign w:val="center"/>
            <w:hideMark/>
          </w:tcPr>
          <w:p w14:paraId="160B03E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1 125</w:t>
            </w:r>
          </w:p>
        </w:tc>
        <w:tc>
          <w:tcPr>
            <w:tcW w:w="0" w:type="auto"/>
            <w:tcBorders>
              <w:top w:val="single" w:sz="4" w:space="0" w:color="auto"/>
              <w:left w:val="nil"/>
              <w:bottom w:val="single" w:sz="4" w:space="0" w:color="auto"/>
              <w:right w:val="single" w:sz="4" w:space="0" w:color="auto"/>
            </w:tcBorders>
            <w:vAlign w:val="center"/>
            <w:hideMark/>
          </w:tcPr>
          <w:p w14:paraId="3FA0962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0EACE74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1 125</w:t>
            </w:r>
          </w:p>
        </w:tc>
        <w:tc>
          <w:tcPr>
            <w:tcW w:w="0" w:type="auto"/>
            <w:tcBorders>
              <w:top w:val="single" w:sz="4" w:space="0" w:color="auto"/>
              <w:left w:val="nil"/>
              <w:bottom w:val="single" w:sz="4" w:space="0" w:color="auto"/>
              <w:right w:val="single" w:sz="4" w:space="0" w:color="auto"/>
            </w:tcBorders>
            <w:vAlign w:val="center"/>
            <w:hideMark/>
          </w:tcPr>
          <w:p w14:paraId="1A306BF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FF4D565"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57386B0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49</w:t>
            </w:r>
          </w:p>
        </w:tc>
        <w:tc>
          <w:tcPr>
            <w:tcW w:w="0" w:type="auto"/>
            <w:tcBorders>
              <w:top w:val="nil"/>
              <w:left w:val="nil"/>
              <w:bottom w:val="single" w:sz="4" w:space="0" w:color="auto"/>
              <w:right w:val="single" w:sz="4" w:space="0" w:color="auto"/>
            </w:tcBorders>
            <w:vAlign w:val="center"/>
            <w:hideMark/>
          </w:tcPr>
          <w:p w14:paraId="2A6F18B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pre majetkové cenné papiere skladajúceho sa zo samostatných dokumentov (špecifický symbol 2455)</w:t>
            </w:r>
          </w:p>
        </w:tc>
        <w:tc>
          <w:tcPr>
            <w:tcW w:w="0" w:type="auto"/>
            <w:tcBorders>
              <w:top w:val="nil"/>
              <w:left w:val="nil"/>
              <w:bottom w:val="single" w:sz="4" w:space="0" w:color="auto"/>
              <w:right w:val="single" w:sz="4" w:space="0" w:color="auto"/>
            </w:tcBorders>
            <w:vAlign w:val="center"/>
            <w:hideMark/>
          </w:tcPr>
          <w:p w14:paraId="0313827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1E80D73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6, 10 a 20</w:t>
            </w:r>
          </w:p>
        </w:tc>
        <w:tc>
          <w:tcPr>
            <w:tcW w:w="0" w:type="auto"/>
            <w:tcBorders>
              <w:top w:val="nil"/>
              <w:left w:val="nil"/>
              <w:bottom w:val="single" w:sz="4" w:space="0" w:color="auto"/>
              <w:right w:val="single" w:sz="4" w:space="0" w:color="auto"/>
            </w:tcBorders>
            <w:vAlign w:val="center"/>
            <w:hideMark/>
          </w:tcPr>
          <w:p w14:paraId="4FCE07F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2E157B0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091DC0F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55819701"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678AED2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57BA0C8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177F527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0A8B544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1E2D18B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A7F8907"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7EAB523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50</w:t>
            </w:r>
          </w:p>
        </w:tc>
        <w:tc>
          <w:tcPr>
            <w:tcW w:w="0" w:type="auto"/>
            <w:tcBorders>
              <w:top w:val="single" w:sz="4" w:space="0" w:color="auto"/>
              <w:left w:val="nil"/>
              <w:bottom w:val="single" w:sz="4" w:space="0" w:color="auto"/>
              <w:right w:val="single" w:sz="4" w:space="0" w:color="auto"/>
            </w:tcBorders>
            <w:vAlign w:val="center"/>
            <w:hideMark/>
          </w:tcPr>
          <w:p w14:paraId="0D7DEF9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pre majetkové cenné papiere skladajúceho sa zo samostatných dokumentov (špecifický symbol 2456)</w:t>
            </w:r>
          </w:p>
        </w:tc>
        <w:tc>
          <w:tcPr>
            <w:tcW w:w="0" w:type="auto"/>
            <w:tcBorders>
              <w:top w:val="single" w:sz="4" w:space="0" w:color="auto"/>
              <w:left w:val="nil"/>
              <w:bottom w:val="single" w:sz="4" w:space="0" w:color="auto"/>
              <w:right w:val="single" w:sz="4" w:space="0" w:color="auto"/>
            </w:tcBorders>
            <w:vAlign w:val="center"/>
            <w:hideMark/>
          </w:tcPr>
          <w:p w14:paraId="335DEF3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35AFE08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6, 10 a 20</w:t>
            </w:r>
          </w:p>
        </w:tc>
        <w:tc>
          <w:tcPr>
            <w:tcW w:w="0" w:type="auto"/>
            <w:tcBorders>
              <w:top w:val="single" w:sz="4" w:space="0" w:color="auto"/>
              <w:left w:val="nil"/>
              <w:bottom w:val="single" w:sz="4" w:space="0" w:color="auto"/>
              <w:right w:val="single" w:sz="4" w:space="0" w:color="auto"/>
            </w:tcBorders>
            <w:vAlign w:val="center"/>
            <w:hideMark/>
          </w:tcPr>
          <w:p w14:paraId="3744C3E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641C453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2B992A9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2E031515"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474C8BA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E95D13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488257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6613059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02C9B81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59E5DEF"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49B8ADA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51</w:t>
            </w:r>
          </w:p>
        </w:tc>
        <w:tc>
          <w:tcPr>
            <w:tcW w:w="0" w:type="auto"/>
            <w:tcBorders>
              <w:top w:val="nil"/>
              <w:left w:val="nil"/>
              <w:bottom w:val="single" w:sz="4" w:space="0" w:color="auto"/>
              <w:right w:val="single" w:sz="4" w:space="0" w:color="auto"/>
            </w:tcBorders>
            <w:vAlign w:val="center"/>
            <w:hideMark/>
          </w:tcPr>
          <w:p w14:paraId="4CE9DC6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pre majetkové cenné papiere skladajúceho sa zo samostatných dokumentov (špecifický symbol 2457)</w:t>
            </w:r>
          </w:p>
        </w:tc>
        <w:tc>
          <w:tcPr>
            <w:tcW w:w="0" w:type="auto"/>
            <w:tcBorders>
              <w:top w:val="nil"/>
              <w:left w:val="nil"/>
              <w:bottom w:val="single" w:sz="4" w:space="0" w:color="auto"/>
              <w:right w:val="single" w:sz="4" w:space="0" w:color="auto"/>
            </w:tcBorders>
            <w:vAlign w:val="center"/>
            <w:hideMark/>
          </w:tcPr>
          <w:p w14:paraId="42B8DF8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49648A9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6, 10 a 20</w:t>
            </w:r>
          </w:p>
        </w:tc>
        <w:tc>
          <w:tcPr>
            <w:tcW w:w="0" w:type="auto"/>
            <w:tcBorders>
              <w:top w:val="nil"/>
              <w:left w:val="nil"/>
              <w:bottom w:val="single" w:sz="4" w:space="0" w:color="auto"/>
              <w:right w:val="single" w:sz="4" w:space="0" w:color="auto"/>
            </w:tcBorders>
            <w:vAlign w:val="center"/>
            <w:hideMark/>
          </w:tcPr>
          <w:p w14:paraId="3125E4C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15C66DE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7873E97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11CFBE24"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69BE2B2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3F89E98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8D0DE0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6FE1667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3523B89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FEED1AA"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6786660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52</w:t>
            </w:r>
          </w:p>
        </w:tc>
        <w:tc>
          <w:tcPr>
            <w:tcW w:w="0" w:type="auto"/>
            <w:tcBorders>
              <w:top w:val="single" w:sz="4" w:space="0" w:color="auto"/>
              <w:left w:val="nil"/>
              <w:bottom w:val="single" w:sz="4" w:space="0" w:color="auto"/>
              <w:right w:val="single" w:sz="4" w:space="0" w:color="auto"/>
            </w:tcBorders>
            <w:vAlign w:val="center"/>
            <w:hideMark/>
          </w:tcPr>
          <w:p w14:paraId="2A04E9F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pre nemajetkové cenné papiere vypracovaného ako jeden dokument (špecifický symbol 2458)</w:t>
            </w:r>
          </w:p>
        </w:tc>
        <w:tc>
          <w:tcPr>
            <w:tcW w:w="0" w:type="auto"/>
            <w:tcBorders>
              <w:top w:val="single" w:sz="4" w:space="0" w:color="auto"/>
              <w:left w:val="nil"/>
              <w:bottom w:val="single" w:sz="4" w:space="0" w:color="auto"/>
              <w:right w:val="single" w:sz="4" w:space="0" w:color="auto"/>
            </w:tcBorders>
            <w:vAlign w:val="center"/>
            <w:hideMark/>
          </w:tcPr>
          <w:p w14:paraId="1990974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5B07490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6 a 20</w:t>
            </w:r>
          </w:p>
        </w:tc>
        <w:tc>
          <w:tcPr>
            <w:tcW w:w="0" w:type="auto"/>
            <w:tcBorders>
              <w:top w:val="single" w:sz="4" w:space="0" w:color="auto"/>
              <w:left w:val="nil"/>
              <w:bottom w:val="single" w:sz="4" w:space="0" w:color="auto"/>
              <w:right w:val="single" w:sz="4" w:space="0" w:color="auto"/>
            </w:tcBorders>
            <w:vAlign w:val="center"/>
            <w:hideMark/>
          </w:tcPr>
          <w:p w14:paraId="4189055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409E506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47FD7B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0784305A"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26 </w:t>
            </w:r>
          </w:p>
        </w:tc>
        <w:tc>
          <w:tcPr>
            <w:tcW w:w="0" w:type="auto"/>
            <w:tcBorders>
              <w:top w:val="single" w:sz="4" w:space="0" w:color="auto"/>
              <w:left w:val="nil"/>
              <w:bottom w:val="single" w:sz="4" w:space="0" w:color="auto"/>
              <w:right w:val="single" w:sz="4" w:space="0" w:color="auto"/>
            </w:tcBorders>
            <w:vAlign w:val="center"/>
            <w:hideMark/>
          </w:tcPr>
          <w:p w14:paraId="753F932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325</w:t>
            </w:r>
          </w:p>
        </w:tc>
        <w:tc>
          <w:tcPr>
            <w:tcW w:w="0" w:type="auto"/>
            <w:tcBorders>
              <w:top w:val="single" w:sz="4" w:space="0" w:color="auto"/>
              <w:left w:val="nil"/>
              <w:bottom w:val="single" w:sz="4" w:space="0" w:color="auto"/>
              <w:right w:val="single" w:sz="4" w:space="0" w:color="auto"/>
            </w:tcBorders>
            <w:vAlign w:val="center"/>
            <w:hideMark/>
          </w:tcPr>
          <w:p w14:paraId="22FC602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8 450</w:t>
            </w:r>
          </w:p>
        </w:tc>
        <w:tc>
          <w:tcPr>
            <w:tcW w:w="0" w:type="auto"/>
            <w:tcBorders>
              <w:top w:val="single" w:sz="4" w:space="0" w:color="auto"/>
              <w:left w:val="nil"/>
              <w:bottom w:val="single" w:sz="4" w:space="0" w:color="auto"/>
              <w:right w:val="single" w:sz="4" w:space="0" w:color="auto"/>
            </w:tcBorders>
            <w:vAlign w:val="center"/>
            <w:hideMark/>
          </w:tcPr>
          <w:p w14:paraId="4701D27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2BF3392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8 450</w:t>
            </w:r>
          </w:p>
        </w:tc>
        <w:tc>
          <w:tcPr>
            <w:tcW w:w="0" w:type="auto"/>
            <w:tcBorders>
              <w:top w:val="single" w:sz="4" w:space="0" w:color="auto"/>
              <w:left w:val="nil"/>
              <w:bottom w:val="single" w:sz="4" w:space="0" w:color="auto"/>
              <w:right w:val="single" w:sz="4" w:space="0" w:color="auto"/>
            </w:tcBorders>
            <w:vAlign w:val="center"/>
            <w:hideMark/>
          </w:tcPr>
          <w:p w14:paraId="2CE5646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3402F80"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37EE5C7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53</w:t>
            </w:r>
          </w:p>
        </w:tc>
        <w:tc>
          <w:tcPr>
            <w:tcW w:w="0" w:type="auto"/>
            <w:tcBorders>
              <w:top w:val="nil"/>
              <w:left w:val="nil"/>
              <w:bottom w:val="single" w:sz="4" w:space="0" w:color="auto"/>
              <w:right w:val="single" w:sz="4" w:space="0" w:color="auto"/>
            </w:tcBorders>
            <w:vAlign w:val="center"/>
            <w:hideMark/>
          </w:tcPr>
          <w:p w14:paraId="4E5E4F3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pre nemajetkové cenné papiere skladajúceho sa zo samostatných dokumentov (špecifický symbol 2459)</w:t>
            </w:r>
          </w:p>
        </w:tc>
        <w:tc>
          <w:tcPr>
            <w:tcW w:w="0" w:type="auto"/>
            <w:tcBorders>
              <w:top w:val="nil"/>
              <w:left w:val="nil"/>
              <w:bottom w:val="single" w:sz="4" w:space="0" w:color="auto"/>
              <w:right w:val="single" w:sz="4" w:space="0" w:color="auto"/>
            </w:tcBorders>
            <w:vAlign w:val="center"/>
            <w:hideMark/>
          </w:tcPr>
          <w:p w14:paraId="1311F93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3391FBE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6, 10 a 20</w:t>
            </w:r>
          </w:p>
        </w:tc>
        <w:tc>
          <w:tcPr>
            <w:tcW w:w="0" w:type="auto"/>
            <w:tcBorders>
              <w:top w:val="nil"/>
              <w:left w:val="nil"/>
              <w:bottom w:val="single" w:sz="4" w:space="0" w:color="auto"/>
              <w:right w:val="single" w:sz="4" w:space="0" w:color="auto"/>
            </w:tcBorders>
            <w:vAlign w:val="center"/>
            <w:hideMark/>
          </w:tcPr>
          <w:p w14:paraId="0279E01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18962F3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549E238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51C6CF82"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53138EA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3054BA7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3D82559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4C1ABDC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38EF440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246E587D"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406B070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54</w:t>
            </w:r>
          </w:p>
        </w:tc>
        <w:tc>
          <w:tcPr>
            <w:tcW w:w="0" w:type="auto"/>
            <w:tcBorders>
              <w:top w:val="single" w:sz="4" w:space="0" w:color="auto"/>
              <w:left w:val="nil"/>
              <w:bottom w:val="single" w:sz="4" w:space="0" w:color="auto"/>
              <w:right w:val="single" w:sz="4" w:space="0" w:color="auto"/>
            </w:tcBorders>
            <w:vAlign w:val="center"/>
            <w:hideMark/>
          </w:tcPr>
          <w:p w14:paraId="64F9AD5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pre nemajetkové cenné papiere skladajúceho sa zo samostatných dokumentov (špecifický symbol 2460)</w:t>
            </w:r>
          </w:p>
        </w:tc>
        <w:tc>
          <w:tcPr>
            <w:tcW w:w="0" w:type="auto"/>
            <w:tcBorders>
              <w:top w:val="single" w:sz="4" w:space="0" w:color="auto"/>
              <w:left w:val="nil"/>
              <w:bottom w:val="single" w:sz="4" w:space="0" w:color="auto"/>
              <w:right w:val="single" w:sz="4" w:space="0" w:color="auto"/>
            </w:tcBorders>
            <w:vAlign w:val="center"/>
            <w:hideMark/>
          </w:tcPr>
          <w:p w14:paraId="597B26D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648CD55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6, 10 a 20</w:t>
            </w:r>
          </w:p>
        </w:tc>
        <w:tc>
          <w:tcPr>
            <w:tcW w:w="0" w:type="auto"/>
            <w:tcBorders>
              <w:top w:val="single" w:sz="4" w:space="0" w:color="auto"/>
              <w:left w:val="nil"/>
              <w:bottom w:val="single" w:sz="4" w:space="0" w:color="auto"/>
              <w:right w:val="single" w:sz="4" w:space="0" w:color="auto"/>
            </w:tcBorders>
            <w:vAlign w:val="center"/>
            <w:hideMark/>
          </w:tcPr>
          <w:p w14:paraId="09E1A4B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307954E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39BAF9E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55113661"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10601AE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1F5E15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0D1DDD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6E38F6F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A667A5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FBBDBEB"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38457A8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55</w:t>
            </w:r>
          </w:p>
        </w:tc>
        <w:tc>
          <w:tcPr>
            <w:tcW w:w="0" w:type="auto"/>
            <w:tcBorders>
              <w:top w:val="nil"/>
              <w:left w:val="nil"/>
              <w:bottom w:val="single" w:sz="4" w:space="0" w:color="auto"/>
              <w:right w:val="single" w:sz="4" w:space="0" w:color="auto"/>
            </w:tcBorders>
            <w:vAlign w:val="center"/>
            <w:hideMark/>
          </w:tcPr>
          <w:p w14:paraId="5C7A024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pre nemajetkové cenné papiere skladajúceho sa zo samostatných dokumentov (špecifický symbol 2461)</w:t>
            </w:r>
          </w:p>
        </w:tc>
        <w:tc>
          <w:tcPr>
            <w:tcW w:w="0" w:type="auto"/>
            <w:tcBorders>
              <w:top w:val="nil"/>
              <w:left w:val="nil"/>
              <w:bottom w:val="single" w:sz="4" w:space="0" w:color="auto"/>
              <w:right w:val="single" w:sz="4" w:space="0" w:color="auto"/>
            </w:tcBorders>
            <w:vAlign w:val="center"/>
            <w:hideMark/>
          </w:tcPr>
          <w:p w14:paraId="4FB54B7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791CAB2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6, 10 a 20</w:t>
            </w:r>
          </w:p>
        </w:tc>
        <w:tc>
          <w:tcPr>
            <w:tcW w:w="0" w:type="auto"/>
            <w:tcBorders>
              <w:top w:val="nil"/>
              <w:left w:val="nil"/>
              <w:bottom w:val="single" w:sz="4" w:space="0" w:color="auto"/>
              <w:right w:val="single" w:sz="4" w:space="0" w:color="auto"/>
            </w:tcBorders>
            <w:vAlign w:val="center"/>
            <w:hideMark/>
          </w:tcPr>
          <w:p w14:paraId="5BDF0DB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171D62B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5D610CC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6F330EC5"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14CA806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37AD759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1485113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4FF1A83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04CF4C4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C13B8E4"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74F0B2F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56</w:t>
            </w:r>
          </w:p>
        </w:tc>
        <w:tc>
          <w:tcPr>
            <w:tcW w:w="0" w:type="auto"/>
            <w:tcBorders>
              <w:top w:val="single" w:sz="4" w:space="0" w:color="auto"/>
              <w:left w:val="nil"/>
              <w:bottom w:val="single" w:sz="4" w:space="0" w:color="auto"/>
              <w:right w:val="single" w:sz="4" w:space="0" w:color="auto"/>
            </w:tcBorders>
            <w:vAlign w:val="center"/>
            <w:hideMark/>
          </w:tcPr>
          <w:p w14:paraId="510DA8F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základného prospektu pre nemajetkové cenné papiere vypracovaného ako jeden dokument (špecifický symbol 2462)</w:t>
            </w:r>
          </w:p>
        </w:tc>
        <w:tc>
          <w:tcPr>
            <w:tcW w:w="0" w:type="auto"/>
            <w:tcBorders>
              <w:top w:val="single" w:sz="4" w:space="0" w:color="auto"/>
              <w:left w:val="nil"/>
              <w:bottom w:val="single" w:sz="4" w:space="0" w:color="auto"/>
              <w:right w:val="single" w:sz="4" w:space="0" w:color="auto"/>
            </w:tcBorders>
            <w:vAlign w:val="center"/>
            <w:hideMark/>
          </w:tcPr>
          <w:p w14:paraId="14179DF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6912DF5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20</w:t>
            </w:r>
          </w:p>
        </w:tc>
        <w:tc>
          <w:tcPr>
            <w:tcW w:w="0" w:type="auto"/>
            <w:tcBorders>
              <w:top w:val="single" w:sz="4" w:space="0" w:color="auto"/>
              <w:left w:val="nil"/>
              <w:bottom w:val="single" w:sz="4" w:space="0" w:color="auto"/>
              <w:right w:val="single" w:sz="4" w:space="0" w:color="auto"/>
            </w:tcBorders>
            <w:vAlign w:val="center"/>
            <w:hideMark/>
          </w:tcPr>
          <w:p w14:paraId="140F270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2459459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0FD0342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416CDA9D"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17 </w:t>
            </w:r>
          </w:p>
        </w:tc>
        <w:tc>
          <w:tcPr>
            <w:tcW w:w="0" w:type="auto"/>
            <w:tcBorders>
              <w:top w:val="single" w:sz="4" w:space="0" w:color="auto"/>
              <w:left w:val="nil"/>
              <w:bottom w:val="single" w:sz="4" w:space="0" w:color="auto"/>
              <w:right w:val="single" w:sz="4" w:space="0" w:color="auto"/>
            </w:tcBorders>
            <w:vAlign w:val="center"/>
            <w:hideMark/>
          </w:tcPr>
          <w:p w14:paraId="080B7FD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425</w:t>
            </w:r>
          </w:p>
        </w:tc>
        <w:tc>
          <w:tcPr>
            <w:tcW w:w="0" w:type="auto"/>
            <w:tcBorders>
              <w:top w:val="single" w:sz="4" w:space="0" w:color="auto"/>
              <w:left w:val="nil"/>
              <w:bottom w:val="single" w:sz="4" w:space="0" w:color="auto"/>
              <w:right w:val="single" w:sz="4" w:space="0" w:color="auto"/>
            </w:tcBorders>
            <w:vAlign w:val="center"/>
            <w:hideMark/>
          </w:tcPr>
          <w:p w14:paraId="3C344DE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7 225</w:t>
            </w:r>
          </w:p>
        </w:tc>
        <w:tc>
          <w:tcPr>
            <w:tcW w:w="0" w:type="auto"/>
            <w:tcBorders>
              <w:top w:val="single" w:sz="4" w:space="0" w:color="auto"/>
              <w:left w:val="nil"/>
              <w:bottom w:val="single" w:sz="4" w:space="0" w:color="auto"/>
              <w:right w:val="single" w:sz="4" w:space="0" w:color="auto"/>
            </w:tcBorders>
            <w:vAlign w:val="center"/>
            <w:hideMark/>
          </w:tcPr>
          <w:p w14:paraId="3D9D2E8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520E867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7 225</w:t>
            </w:r>
          </w:p>
        </w:tc>
        <w:tc>
          <w:tcPr>
            <w:tcW w:w="0" w:type="auto"/>
            <w:tcBorders>
              <w:top w:val="single" w:sz="4" w:space="0" w:color="auto"/>
              <w:left w:val="nil"/>
              <w:bottom w:val="single" w:sz="4" w:space="0" w:color="auto"/>
              <w:right w:val="single" w:sz="4" w:space="0" w:color="auto"/>
            </w:tcBorders>
            <w:vAlign w:val="center"/>
            <w:hideMark/>
          </w:tcPr>
          <w:p w14:paraId="1249A7D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0AEC372"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6BA8C74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57</w:t>
            </w:r>
          </w:p>
        </w:tc>
        <w:tc>
          <w:tcPr>
            <w:tcW w:w="0" w:type="auto"/>
            <w:tcBorders>
              <w:top w:val="nil"/>
              <w:left w:val="nil"/>
              <w:bottom w:val="single" w:sz="4" w:space="0" w:color="auto"/>
              <w:right w:val="single" w:sz="4" w:space="0" w:color="auto"/>
            </w:tcBorders>
            <w:vAlign w:val="center"/>
            <w:hideMark/>
          </w:tcPr>
          <w:p w14:paraId="44F322A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základného prospektu pre nemajetkové cenné papiere skladajúceho sa zo samostatných dokumentov (špecifický symbol 2463)</w:t>
            </w:r>
          </w:p>
        </w:tc>
        <w:tc>
          <w:tcPr>
            <w:tcW w:w="0" w:type="auto"/>
            <w:tcBorders>
              <w:top w:val="nil"/>
              <w:left w:val="nil"/>
              <w:bottom w:val="single" w:sz="4" w:space="0" w:color="auto"/>
              <w:right w:val="single" w:sz="4" w:space="0" w:color="auto"/>
            </w:tcBorders>
            <w:vAlign w:val="center"/>
            <w:hideMark/>
          </w:tcPr>
          <w:p w14:paraId="3E852B5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15DDB90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20</w:t>
            </w:r>
          </w:p>
        </w:tc>
        <w:tc>
          <w:tcPr>
            <w:tcW w:w="0" w:type="auto"/>
            <w:tcBorders>
              <w:top w:val="nil"/>
              <w:left w:val="nil"/>
              <w:bottom w:val="single" w:sz="4" w:space="0" w:color="auto"/>
              <w:right w:val="single" w:sz="4" w:space="0" w:color="auto"/>
            </w:tcBorders>
            <w:vAlign w:val="center"/>
            <w:hideMark/>
          </w:tcPr>
          <w:p w14:paraId="760FE90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5B6BA72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4BF9707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3B5B8BFF"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4216938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7726460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12589BC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6C5C440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2AA9D51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53A810D3"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3B8CBD6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58</w:t>
            </w:r>
          </w:p>
        </w:tc>
        <w:tc>
          <w:tcPr>
            <w:tcW w:w="0" w:type="auto"/>
            <w:tcBorders>
              <w:top w:val="single" w:sz="4" w:space="0" w:color="auto"/>
              <w:left w:val="nil"/>
              <w:bottom w:val="single" w:sz="4" w:space="0" w:color="auto"/>
              <w:right w:val="single" w:sz="4" w:space="0" w:color="auto"/>
            </w:tcBorders>
            <w:vAlign w:val="center"/>
            <w:hideMark/>
          </w:tcPr>
          <w:p w14:paraId="214B4C8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základného prospektu pre nemajetkové cenné papiere skladajúceho sa zo samostatných dokumentov (špecifický symbol 2464)</w:t>
            </w:r>
          </w:p>
        </w:tc>
        <w:tc>
          <w:tcPr>
            <w:tcW w:w="0" w:type="auto"/>
            <w:tcBorders>
              <w:top w:val="single" w:sz="4" w:space="0" w:color="auto"/>
              <w:left w:val="nil"/>
              <w:bottom w:val="single" w:sz="4" w:space="0" w:color="auto"/>
              <w:right w:val="single" w:sz="4" w:space="0" w:color="auto"/>
            </w:tcBorders>
            <w:vAlign w:val="center"/>
            <w:hideMark/>
          </w:tcPr>
          <w:p w14:paraId="60C463C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6935EAF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a 20</w:t>
            </w:r>
          </w:p>
        </w:tc>
        <w:tc>
          <w:tcPr>
            <w:tcW w:w="0" w:type="auto"/>
            <w:tcBorders>
              <w:top w:val="single" w:sz="4" w:space="0" w:color="auto"/>
              <w:left w:val="nil"/>
              <w:bottom w:val="single" w:sz="4" w:space="0" w:color="auto"/>
              <w:right w:val="single" w:sz="4" w:space="0" w:color="auto"/>
            </w:tcBorders>
            <w:vAlign w:val="center"/>
            <w:hideMark/>
          </w:tcPr>
          <w:p w14:paraId="54830B3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4252643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6DDBA25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1DF0CAD0"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39A15F4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7ED23A0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20A1B8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38CFE2C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A3C2EC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FDCEA28"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719A558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59</w:t>
            </w:r>
          </w:p>
        </w:tc>
        <w:tc>
          <w:tcPr>
            <w:tcW w:w="0" w:type="auto"/>
            <w:tcBorders>
              <w:top w:val="nil"/>
              <w:left w:val="nil"/>
              <w:bottom w:val="single" w:sz="4" w:space="0" w:color="auto"/>
              <w:right w:val="single" w:sz="4" w:space="0" w:color="auto"/>
            </w:tcBorders>
            <w:vAlign w:val="center"/>
            <w:hideMark/>
          </w:tcPr>
          <w:p w14:paraId="48D004F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univerzálneho registračného dokumentu (špecifický symbol 2465)</w:t>
            </w:r>
          </w:p>
        </w:tc>
        <w:tc>
          <w:tcPr>
            <w:tcW w:w="0" w:type="auto"/>
            <w:tcBorders>
              <w:top w:val="nil"/>
              <w:left w:val="nil"/>
              <w:bottom w:val="single" w:sz="4" w:space="0" w:color="auto"/>
              <w:right w:val="single" w:sz="4" w:space="0" w:color="auto"/>
            </w:tcBorders>
            <w:vAlign w:val="center"/>
            <w:hideMark/>
          </w:tcPr>
          <w:p w14:paraId="6F5A76C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7C8B995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9 a 20</w:t>
            </w:r>
          </w:p>
        </w:tc>
        <w:tc>
          <w:tcPr>
            <w:tcW w:w="0" w:type="auto"/>
            <w:tcBorders>
              <w:top w:val="nil"/>
              <w:left w:val="nil"/>
              <w:bottom w:val="single" w:sz="4" w:space="0" w:color="auto"/>
              <w:right w:val="single" w:sz="4" w:space="0" w:color="auto"/>
            </w:tcBorders>
            <w:vAlign w:val="center"/>
            <w:hideMark/>
          </w:tcPr>
          <w:p w14:paraId="128691E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4F98D33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34EACB1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2E7D94A9"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22BCDB6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423AE21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6800E2C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0509A6C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5E4F944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7D31DF11"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690FEAB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60</w:t>
            </w:r>
          </w:p>
        </w:tc>
        <w:tc>
          <w:tcPr>
            <w:tcW w:w="0" w:type="auto"/>
            <w:tcBorders>
              <w:top w:val="single" w:sz="4" w:space="0" w:color="auto"/>
              <w:left w:val="nil"/>
              <w:bottom w:val="single" w:sz="4" w:space="0" w:color="auto"/>
              <w:right w:val="single" w:sz="4" w:space="0" w:color="auto"/>
            </w:tcBorders>
            <w:vAlign w:val="center"/>
            <w:hideMark/>
          </w:tcPr>
          <w:p w14:paraId="22ABE3F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následných emisií EÚ pre majetkové cenné papiere vypracovaného ako jeden dokument (špecifický symbol 2466)</w:t>
            </w:r>
          </w:p>
        </w:tc>
        <w:tc>
          <w:tcPr>
            <w:tcW w:w="0" w:type="auto"/>
            <w:tcBorders>
              <w:top w:val="single" w:sz="4" w:space="0" w:color="auto"/>
              <w:left w:val="nil"/>
              <w:bottom w:val="single" w:sz="4" w:space="0" w:color="auto"/>
              <w:right w:val="single" w:sz="4" w:space="0" w:color="auto"/>
            </w:tcBorders>
            <w:vAlign w:val="center"/>
            <w:hideMark/>
          </w:tcPr>
          <w:p w14:paraId="375650A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056003A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14a a 20</w:t>
            </w:r>
          </w:p>
        </w:tc>
        <w:tc>
          <w:tcPr>
            <w:tcW w:w="0" w:type="auto"/>
            <w:tcBorders>
              <w:top w:val="single" w:sz="4" w:space="0" w:color="auto"/>
              <w:left w:val="nil"/>
              <w:bottom w:val="single" w:sz="4" w:space="0" w:color="auto"/>
              <w:right w:val="single" w:sz="4" w:space="0" w:color="auto"/>
            </w:tcBorders>
            <w:vAlign w:val="center"/>
            <w:hideMark/>
          </w:tcPr>
          <w:p w14:paraId="4F7935B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780DDC8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46D32D3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2E79A983"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 </w:t>
            </w:r>
          </w:p>
        </w:tc>
        <w:tc>
          <w:tcPr>
            <w:tcW w:w="0" w:type="auto"/>
            <w:tcBorders>
              <w:top w:val="single" w:sz="4" w:space="0" w:color="auto"/>
              <w:left w:val="nil"/>
              <w:bottom w:val="single" w:sz="4" w:space="0" w:color="auto"/>
              <w:right w:val="single" w:sz="4" w:space="0" w:color="auto"/>
            </w:tcBorders>
            <w:vAlign w:val="center"/>
            <w:hideMark/>
          </w:tcPr>
          <w:p w14:paraId="0C68D1F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275</w:t>
            </w:r>
          </w:p>
        </w:tc>
        <w:tc>
          <w:tcPr>
            <w:tcW w:w="0" w:type="auto"/>
            <w:tcBorders>
              <w:top w:val="single" w:sz="4" w:space="0" w:color="auto"/>
              <w:left w:val="nil"/>
              <w:bottom w:val="single" w:sz="4" w:space="0" w:color="auto"/>
              <w:right w:val="single" w:sz="4" w:space="0" w:color="auto"/>
            </w:tcBorders>
            <w:vAlign w:val="center"/>
            <w:hideMark/>
          </w:tcPr>
          <w:p w14:paraId="2C4BE69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275</w:t>
            </w:r>
          </w:p>
        </w:tc>
        <w:tc>
          <w:tcPr>
            <w:tcW w:w="0" w:type="auto"/>
            <w:tcBorders>
              <w:top w:val="single" w:sz="4" w:space="0" w:color="auto"/>
              <w:left w:val="nil"/>
              <w:bottom w:val="single" w:sz="4" w:space="0" w:color="auto"/>
              <w:right w:val="single" w:sz="4" w:space="0" w:color="auto"/>
            </w:tcBorders>
            <w:vAlign w:val="center"/>
            <w:hideMark/>
          </w:tcPr>
          <w:p w14:paraId="76DA245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29B1169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275</w:t>
            </w:r>
          </w:p>
        </w:tc>
        <w:tc>
          <w:tcPr>
            <w:tcW w:w="0" w:type="auto"/>
            <w:tcBorders>
              <w:top w:val="single" w:sz="4" w:space="0" w:color="auto"/>
              <w:left w:val="nil"/>
              <w:bottom w:val="single" w:sz="4" w:space="0" w:color="auto"/>
              <w:right w:val="single" w:sz="4" w:space="0" w:color="auto"/>
            </w:tcBorders>
            <w:vAlign w:val="center"/>
            <w:hideMark/>
          </w:tcPr>
          <w:p w14:paraId="09BD6C5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1C6ED0CB"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7D477A7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61</w:t>
            </w:r>
          </w:p>
        </w:tc>
        <w:tc>
          <w:tcPr>
            <w:tcW w:w="0" w:type="auto"/>
            <w:tcBorders>
              <w:top w:val="nil"/>
              <w:left w:val="nil"/>
              <w:bottom w:val="single" w:sz="4" w:space="0" w:color="auto"/>
              <w:right w:val="single" w:sz="4" w:space="0" w:color="auto"/>
            </w:tcBorders>
            <w:vAlign w:val="center"/>
            <w:hideMark/>
          </w:tcPr>
          <w:p w14:paraId="3A3251F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následných emisií EÚ pre nemajetkové cenné papiere vypracovaného ako jeden dokument (špecifický symbol 2467)</w:t>
            </w:r>
          </w:p>
        </w:tc>
        <w:tc>
          <w:tcPr>
            <w:tcW w:w="0" w:type="auto"/>
            <w:tcBorders>
              <w:top w:val="nil"/>
              <w:left w:val="nil"/>
              <w:bottom w:val="single" w:sz="4" w:space="0" w:color="auto"/>
              <w:right w:val="single" w:sz="4" w:space="0" w:color="auto"/>
            </w:tcBorders>
            <w:vAlign w:val="center"/>
            <w:hideMark/>
          </w:tcPr>
          <w:p w14:paraId="3780559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516147C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14a a 20</w:t>
            </w:r>
          </w:p>
        </w:tc>
        <w:tc>
          <w:tcPr>
            <w:tcW w:w="0" w:type="auto"/>
            <w:tcBorders>
              <w:top w:val="nil"/>
              <w:left w:val="nil"/>
              <w:bottom w:val="single" w:sz="4" w:space="0" w:color="auto"/>
              <w:right w:val="single" w:sz="4" w:space="0" w:color="auto"/>
            </w:tcBorders>
            <w:vAlign w:val="center"/>
            <w:hideMark/>
          </w:tcPr>
          <w:p w14:paraId="1C0C15D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16AE531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38B744F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69DEACB9"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 </w:t>
            </w:r>
          </w:p>
        </w:tc>
        <w:tc>
          <w:tcPr>
            <w:tcW w:w="0" w:type="auto"/>
            <w:tcBorders>
              <w:top w:val="nil"/>
              <w:left w:val="nil"/>
              <w:bottom w:val="single" w:sz="4" w:space="0" w:color="auto"/>
              <w:right w:val="single" w:sz="4" w:space="0" w:color="auto"/>
            </w:tcBorders>
            <w:vAlign w:val="center"/>
            <w:hideMark/>
          </w:tcPr>
          <w:p w14:paraId="1E9516F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225</w:t>
            </w:r>
          </w:p>
        </w:tc>
        <w:tc>
          <w:tcPr>
            <w:tcW w:w="0" w:type="auto"/>
            <w:tcBorders>
              <w:top w:val="nil"/>
              <w:left w:val="nil"/>
              <w:bottom w:val="single" w:sz="4" w:space="0" w:color="auto"/>
              <w:right w:val="single" w:sz="4" w:space="0" w:color="auto"/>
            </w:tcBorders>
            <w:vAlign w:val="center"/>
            <w:hideMark/>
          </w:tcPr>
          <w:p w14:paraId="589FC35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225</w:t>
            </w:r>
          </w:p>
        </w:tc>
        <w:tc>
          <w:tcPr>
            <w:tcW w:w="0" w:type="auto"/>
            <w:tcBorders>
              <w:top w:val="nil"/>
              <w:left w:val="nil"/>
              <w:bottom w:val="single" w:sz="4" w:space="0" w:color="auto"/>
              <w:right w:val="single" w:sz="4" w:space="0" w:color="auto"/>
            </w:tcBorders>
            <w:vAlign w:val="center"/>
            <w:hideMark/>
          </w:tcPr>
          <w:p w14:paraId="041511B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37551C5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225</w:t>
            </w:r>
          </w:p>
        </w:tc>
        <w:tc>
          <w:tcPr>
            <w:tcW w:w="0" w:type="auto"/>
            <w:tcBorders>
              <w:top w:val="nil"/>
              <w:left w:val="nil"/>
              <w:bottom w:val="single" w:sz="4" w:space="0" w:color="auto"/>
              <w:right w:val="single" w:sz="4" w:space="0" w:color="auto"/>
            </w:tcBorders>
            <w:vAlign w:val="center"/>
            <w:hideMark/>
          </w:tcPr>
          <w:p w14:paraId="572C989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BCDC15D"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624CB73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62</w:t>
            </w:r>
          </w:p>
        </w:tc>
        <w:tc>
          <w:tcPr>
            <w:tcW w:w="0" w:type="auto"/>
            <w:tcBorders>
              <w:top w:val="single" w:sz="4" w:space="0" w:color="auto"/>
              <w:left w:val="nil"/>
              <w:bottom w:val="single" w:sz="4" w:space="0" w:color="auto"/>
              <w:right w:val="single" w:sz="4" w:space="0" w:color="auto"/>
            </w:tcBorders>
            <w:vAlign w:val="center"/>
            <w:hideMark/>
          </w:tcPr>
          <w:p w14:paraId="341E818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následných emisií EÚ pre nemajetkové cenné papiere skladajúceho sa zo samostatných dokumentov (špecifický symbol 2468)</w:t>
            </w:r>
          </w:p>
        </w:tc>
        <w:tc>
          <w:tcPr>
            <w:tcW w:w="0" w:type="auto"/>
            <w:tcBorders>
              <w:top w:val="single" w:sz="4" w:space="0" w:color="auto"/>
              <w:left w:val="nil"/>
              <w:bottom w:val="single" w:sz="4" w:space="0" w:color="auto"/>
              <w:right w:val="single" w:sz="4" w:space="0" w:color="auto"/>
            </w:tcBorders>
            <w:vAlign w:val="center"/>
            <w:hideMark/>
          </w:tcPr>
          <w:p w14:paraId="115C77E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2371B56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14a a 20</w:t>
            </w:r>
          </w:p>
        </w:tc>
        <w:tc>
          <w:tcPr>
            <w:tcW w:w="0" w:type="auto"/>
            <w:tcBorders>
              <w:top w:val="single" w:sz="4" w:space="0" w:color="auto"/>
              <w:left w:val="nil"/>
              <w:bottom w:val="single" w:sz="4" w:space="0" w:color="auto"/>
              <w:right w:val="single" w:sz="4" w:space="0" w:color="auto"/>
            </w:tcBorders>
            <w:vAlign w:val="center"/>
            <w:hideMark/>
          </w:tcPr>
          <w:p w14:paraId="5C494FB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0383FFC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79F7C55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315A6ADB"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74C21BB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5AE123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1FEE1E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7A2D9E7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325B1A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BA05481"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2F7FE6A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63</w:t>
            </w:r>
          </w:p>
        </w:tc>
        <w:tc>
          <w:tcPr>
            <w:tcW w:w="0" w:type="auto"/>
            <w:tcBorders>
              <w:top w:val="nil"/>
              <w:left w:val="nil"/>
              <w:bottom w:val="single" w:sz="4" w:space="0" w:color="auto"/>
              <w:right w:val="single" w:sz="4" w:space="0" w:color="auto"/>
            </w:tcBorders>
            <w:vAlign w:val="center"/>
            <w:hideMark/>
          </w:tcPr>
          <w:p w14:paraId="58BF59C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následných emisií EÚ pre nemajetkové cenné papiere skladajúceho sa zo samostatných dokumentov (špecifický symbol 2469)</w:t>
            </w:r>
          </w:p>
        </w:tc>
        <w:tc>
          <w:tcPr>
            <w:tcW w:w="0" w:type="auto"/>
            <w:tcBorders>
              <w:top w:val="nil"/>
              <w:left w:val="nil"/>
              <w:bottom w:val="single" w:sz="4" w:space="0" w:color="auto"/>
              <w:right w:val="single" w:sz="4" w:space="0" w:color="auto"/>
            </w:tcBorders>
            <w:vAlign w:val="center"/>
            <w:hideMark/>
          </w:tcPr>
          <w:p w14:paraId="3FE4C08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45B9BCB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14a a 20</w:t>
            </w:r>
          </w:p>
        </w:tc>
        <w:tc>
          <w:tcPr>
            <w:tcW w:w="0" w:type="auto"/>
            <w:tcBorders>
              <w:top w:val="nil"/>
              <w:left w:val="nil"/>
              <w:bottom w:val="single" w:sz="4" w:space="0" w:color="auto"/>
              <w:right w:val="single" w:sz="4" w:space="0" w:color="auto"/>
            </w:tcBorders>
            <w:vAlign w:val="center"/>
            <w:hideMark/>
          </w:tcPr>
          <w:p w14:paraId="0189F75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24E1F72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0BD28DE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27998409"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476B0B3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70996F0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4944D98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715ABBA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40DEEAA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3D724DB"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10D69B2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64</w:t>
            </w:r>
          </w:p>
        </w:tc>
        <w:tc>
          <w:tcPr>
            <w:tcW w:w="0" w:type="auto"/>
            <w:tcBorders>
              <w:top w:val="single" w:sz="4" w:space="0" w:color="auto"/>
              <w:left w:val="nil"/>
              <w:bottom w:val="single" w:sz="4" w:space="0" w:color="auto"/>
              <w:right w:val="single" w:sz="4" w:space="0" w:color="auto"/>
            </w:tcBorders>
            <w:vAlign w:val="center"/>
            <w:hideMark/>
          </w:tcPr>
          <w:p w14:paraId="140BDDA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prospektu následných emisií EÚ pre nemajetkové cenné papiere skladajúceho sa zo samostatných dokumentov (špecifický symbol 2470)</w:t>
            </w:r>
          </w:p>
        </w:tc>
        <w:tc>
          <w:tcPr>
            <w:tcW w:w="0" w:type="auto"/>
            <w:tcBorders>
              <w:top w:val="single" w:sz="4" w:space="0" w:color="auto"/>
              <w:left w:val="nil"/>
              <w:bottom w:val="single" w:sz="4" w:space="0" w:color="auto"/>
              <w:right w:val="single" w:sz="4" w:space="0" w:color="auto"/>
            </w:tcBorders>
            <w:vAlign w:val="center"/>
            <w:hideMark/>
          </w:tcPr>
          <w:p w14:paraId="2643DE8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14BCF97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14a a 20</w:t>
            </w:r>
          </w:p>
        </w:tc>
        <w:tc>
          <w:tcPr>
            <w:tcW w:w="0" w:type="auto"/>
            <w:tcBorders>
              <w:top w:val="single" w:sz="4" w:space="0" w:color="auto"/>
              <w:left w:val="nil"/>
              <w:bottom w:val="single" w:sz="4" w:space="0" w:color="auto"/>
              <w:right w:val="single" w:sz="4" w:space="0" w:color="auto"/>
            </w:tcBorders>
            <w:vAlign w:val="center"/>
            <w:hideMark/>
          </w:tcPr>
          <w:p w14:paraId="30BA75C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7C45850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20D0B5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19784865"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367E0AF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C78132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58496F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0A9F5D1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EC3F8E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76C38D48"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4FADCDC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65</w:t>
            </w:r>
          </w:p>
        </w:tc>
        <w:tc>
          <w:tcPr>
            <w:tcW w:w="0" w:type="auto"/>
            <w:tcBorders>
              <w:top w:val="nil"/>
              <w:left w:val="nil"/>
              <w:bottom w:val="single" w:sz="4" w:space="0" w:color="auto"/>
              <w:right w:val="single" w:sz="4" w:space="0" w:color="auto"/>
            </w:tcBorders>
            <w:vAlign w:val="center"/>
            <w:hideMark/>
          </w:tcPr>
          <w:p w14:paraId="59BC64E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základného prospektu následných emisií EÚ pre nemajetkové cenné papiere vypracovaného ako jeden dokument (špecifický symbol 2471)</w:t>
            </w:r>
          </w:p>
        </w:tc>
        <w:tc>
          <w:tcPr>
            <w:tcW w:w="0" w:type="auto"/>
            <w:tcBorders>
              <w:top w:val="nil"/>
              <w:left w:val="nil"/>
              <w:bottom w:val="single" w:sz="4" w:space="0" w:color="auto"/>
              <w:right w:val="single" w:sz="4" w:space="0" w:color="auto"/>
            </w:tcBorders>
            <w:vAlign w:val="center"/>
            <w:hideMark/>
          </w:tcPr>
          <w:p w14:paraId="2B778CF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2467CF8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14a a 20</w:t>
            </w:r>
          </w:p>
        </w:tc>
        <w:tc>
          <w:tcPr>
            <w:tcW w:w="0" w:type="auto"/>
            <w:tcBorders>
              <w:top w:val="nil"/>
              <w:left w:val="nil"/>
              <w:bottom w:val="single" w:sz="4" w:space="0" w:color="auto"/>
              <w:right w:val="single" w:sz="4" w:space="0" w:color="auto"/>
            </w:tcBorders>
            <w:vAlign w:val="center"/>
            <w:hideMark/>
          </w:tcPr>
          <w:p w14:paraId="3D9121D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03CB3C7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26DBB6D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56030C02"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4DF08CC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054B4C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6CA75ED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6BEEAC0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3E49A84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5F09FED3"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470FE9B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66</w:t>
            </w:r>
          </w:p>
        </w:tc>
        <w:tc>
          <w:tcPr>
            <w:tcW w:w="0" w:type="auto"/>
            <w:tcBorders>
              <w:top w:val="single" w:sz="4" w:space="0" w:color="auto"/>
              <w:left w:val="nil"/>
              <w:bottom w:val="single" w:sz="4" w:space="0" w:color="auto"/>
              <w:right w:val="single" w:sz="4" w:space="0" w:color="auto"/>
            </w:tcBorders>
            <w:vAlign w:val="center"/>
            <w:hideMark/>
          </w:tcPr>
          <w:p w14:paraId="48869E6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základného prospektu následných emisií EÚ pre nemajetkové cenné papiere skladajúceho sa zo samostatných dokumentov (špecifický symbol 2472)</w:t>
            </w:r>
          </w:p>
        </w:tc>
        <w:tc>
          <w:tcPr>
            <w:tcW w:w="0" w:type="auto"/>
            <w:tcBorders>
              <w:top w:val="single" w:sz="4" w:space="0" w:color="auto"/>
              <w:left w:val="nil"/>
              <w:bottom w:val="single" w:sz="4" w:space="0" w:color="auto"/>
              <w:right w:val="single" w:sz="4" w:space="0" w:color="auto"/>
            </w:tcBorders>
            <w:vAlign w:val="center"/>
            <w:hideMark/>
          </w:tcPr>
          <w:p w14:paraId="6F77855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574470F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10, 14a a 20</w:t>
            </w:r>
          </w:p>
        </w:tc>
        <w:tc>
          <w:tcPr>
            <w:tcW w:w="0" w:type="auto"/>
            <w:tcBorders>
              <w:top w:val="single" w:sz="4" w:space="0" w:color="auto"/>
              <w:left w:val="nil"/>
              <w:bottom w:val="single" w:sz="4" w:space="0" w:color="auto"/>
              <w:right w:val="single" w:sz="4" w:space="0" w:color="auto"/>
            </w:tcBorders>
            <w:vAlign w:val="center"/>
            <w:hideMark/>
          </w:tcPr>
          <w:p w14:paraId="77ADA8E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5C34F66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76DE145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40BFA45A"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1310DAA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08A0F6D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222B269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6C756D4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FEE8D5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28C00819"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1D81C7B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67</w:t>
            </w:r>
          </w:p>
        </w:tc>
        <w:tc>
          <w:tcPr>
            <w:tcW w:w="0" w:type="auto"/>
            <w:tcBorders>
              <w:top w:val="nil"/>
              <w:left w:val="nil"/>
              <w:bottom w:val="single" w:sz="4" w:space="0" w:color="auto"/>
              <w:right w:val="single" w:sz="4" w:space="0" w:color="auto"/>
            </w:tcBorders>
            <w:vAlign w:val="center"/>
            <w:hideMark/>
          </w:tcPr>
          <w:p w14:paraId="16D7498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základného prospektu následných emisií EÚ pre nemajetkové cenné papiere skladajúceho sa zo samostatných dokumentov (špecifický symbol 2473)</w:t>
            </w:r>
          </w:p>
        </w:tc>
        <w:tc>
          <w:tcPr>
            <w:tcW w:w="0" w:type="auto"/>
            <w:tcBorders>
              <w:top w:val="nil"/>
              <w:left w:val="nil"/>
              <w:bottom w:val="single" w:sz="4" w:space="0" w:color="auto"/>
              <w:right w:val="single" w:sz="4" w:space="0" w:color="auto"/>
            </w:tcBorders>
            <w:vAlign w:val="center"/>
            <w:hideMark/>
          </w:tcPr>
          <w:p w14:paraId="5C2D045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460CED0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10, 14a a 20</w:t>
            </w:r>
          </w:p>
        </w:tc>
        <w:tc>
          <w:tcPr>
            <w:tcW w:w="0" w:type="auto"/>
            <w:tcBorders>
              <w:top w:val="nil"/>
              <w:left w:val="nil"/>
              <w:bottom w:val="single" w:sz="4" w:space="0" w:color="auto"/>
              <w:right w:val="single" w:sz="4" w:space="0" w:color="auto"/>
            </w:tcBorders>
            <w:vAlign w:val="center"/>
            <w:hideMark/>
          </w:tcPr>
          <w:p w14:paraId="78ECFFF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3723FD2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7AB3559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4CE8A527"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1414B4B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7964B6E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7C8A1A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56EDEA9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004C9C4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2D4F2FAD"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6A037A2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68</w:t>
            </w:r>
          </w:p>
        </w:tc>
        <w:tc>
          <w:tcPr>
            <w:tcW w:w="0" w:type="auto"/>
            <w:tcBorders>
              <w:top w:val="single" w:sz="4" w:space="0" w:color="auto"/>
              <w:left w:val="nil"/>
              <w:bottom w:val="single" w:sz="4" w:space="0" w:color="auto"/>
              <w:right w:val="single" w:sz="4" w:space="0" w:color="auto"/>
            </w:tcBorders>
            <w:vAlign w:val="center"/>
            <w:hideMark/>
          </w:tcPr>
          <w:p w14:paraId="2272431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rastového emisného prospektu EÚ pre majetkové cenné papiere vypracovaného ako jeden dokument (špecifický symbol 2474)</w:t>
            </w:r>
          </w:p>
        </w:tc>
        <w:tc>
          <w:tcPr>
            <w:tcW w:w="0" w:type="auto"/>
            <w:tcBorders>
              <w:top w:val="single" w:sz="4" w:space="0" w:color="auto"/>
              <w:left w:val="nil"/>
              <w:bottom w:val="single" w:sz="4" w:space="0" w:color="auto"/>
              <w:right w:val="single" w:sz="4" w:space="0" w:color="auto"/>
            </w:tcBorders>
            <w:vAlign w:val="center"/>
            <w:hideMark/>
          </w:tcPr>
          <w:p w14:paraId="1484E58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4965746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15a a 20</w:t>
            </w:r>
          </w:p>
        </w:tc>
        <w:tc>
          <w:tcPr>
            <w:tcW w:w="0" w:type="auto"/>
            <w:tcBorders>
              <w:top w:val="single" w:sz="4" w:space="0" w:color="auto"/>
              <w:left w:val="nil"/>
              <w:bottom w:val="single" w:sz="4" w:space="0" w:color="auto"/>
              <w:right w:val="single" w:sz="4" w:space="0" w:color="auto"/>
            </w:tcBorders>
            <w:vAlign w:val="center"/>
            <w:hideMark/>
          </w:tcPr>
          <w:p w14:paraId="542EAA5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1D4ABF0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578F321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2B810E7F"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1115E0D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0F5ECB7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2B001F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754794D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62562C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233090DA"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51E4C59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69</w:t>
            </w:r>
          </w:p>
        </w:tc>
        <w:tc>
          <w:tcPr>
            <w:tcW w:w="0" w:type="auto"/>
            <w:tcBorders>
              <w:top w:val="nil"/>
              <w:left w:val="nil"/>
              <w:bottom w:val="single" w:sz="4" w:space="0" w:color="auto"/>
              <w:right w:val="single" w:sz="4" w:space="0" w:color="auto"/>
            </w:tcBorders>
            <w:vAlign w:val="center"/>
            <w:hideMark/>
          </w:tcPr>
          <w:p w14:paraId="507DA94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rastového emisného prospektu EÚ pre nemajetkové cenné papiere vypracovaného ako jeden dokument (špecifický symbol 2475)</w:t>
            </w:r>
          </w:p>
        </w:tc>
        <w:tc>
          <w:tcPr>
            <w:tcW w:w="0" w:type="auto"/>
            <w:tcBorders>
              <w:top w:val="nil"/>
              <w:left w:val="nil"/>
              <w:bottom w:val="single" w:sz="4" w:space="0" w:color="auto"/>
              <w:right w:val="single" w:sz="4" w:space="0" w:color="auto"/>
            </w:tcBorders>
            <w:vAlign w:val="center"/>
            <w:hideMark/>
          </w:tcPr>
          <w:p w14:paraId="7FD38D5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71E305B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15a a 20</w:t>
            </w:r>
          </w:p>
        </w:tc>
        <w:tc>
          <w:tcPr>
            <w:tcW w:w="0" w:type="auto"/>
            <w:tcBorders>
              <w:top w:val="nil"/>
              <w:left w:val="nil"/>
              <w:bottom w:val="single" w:sz="4" w:space="0" w:color="auto"/>
              <w:right w:val="single" w:sz="4" w:space="0" w:color="auto"/>
            </w:tcBorders>
            <w:vAlign w:val="center"/>
            <w:hideMark/>
          </w:tcPr>
          <w:p w14:paraId="2D5E607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18A8B21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1AC500E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12C0BB58"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 </w:t>
            </w:r>
          </w:p>
        </w:tc>
        <w:tc>
          <w:tcPr>
            <w:tcW w:w="0" w:type="auto"/>
            <w:tcBorders>
              <w:top w:val="nil"/>
              <w:left w:val="nil"/>
              <w:bottom w:val="single" w:sz="4" w:space="0" w:color="auto"/>
              <w:right w:val="single" w:sz="4" w:space="0" w:color="auto"/>
            </w:tcBorders>
            <w:vAlign w:val="center"/>
            <w:hideMark/>
          </w:tcPr>
          <w:p w14:paraId="06DFEA8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225</w:t>
            </w:r>
          </w:p>
        </w:tc>
        <w:tc>
          <w:tcPr>
            <w:tcW w:w="0" w:type="auto"/>
            <w:tcBorders>
              <w:top w:val="nil"/>
              <w:left w:val="nil"/>
              <w:bottom w:val="single" w:sz="4" w:space="0" w:color="auto"/>
              <w:right w:val="single" w:sz="4" w:space="0" w:color="auto"/>
            </w:tcBorders>
            <w:vAlign w:val="center"/>
            <w:hideMark/>
          </w:tcPr>
          <w:p w14:paraId="5733E79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225</w:t>
            </w:r>
          </w:p>
        </w:tc>
        <w:tc>
          <w:tcPr>
            <w:tcW w:w="0" w:type="auto"/>
            <w:tcBorders>
              <w:top w:val="nil"/>
              <w:left w:val="nil"/>
              <w:bottom w:val="single" w:sz="4" w:space="0" w:color="auto"/>
              <w:right w:val="single" w:sz="4" w:space="0" w:color="auto"/>
            </w:tcBorders>
            <w:vAlign w:val="center"/>
            <w:hideMark/>
          </w:tcPr>
          <w:p w14:paraId="7D47B94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439BF8E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225</w:t>
            </w:r>
          </w:p>
        </w:tc>
        <w:tc>
          <w:tcPr>
            <w:tcW w:w="0" w:type="auto"/>
            <w:tcBorders>
              <w:top w:val="nil"/>
              <w:left w:val="nil"/>
              <w:bottom w:val="single" w:sz="4" w:space="0" w:color="auto"/>
              <w:right w:val="single" w:sz="4" w:space="0" w:color="auto"/>
            </w:tcBorders>
            <w:vAlign w:val="center"/>
            <w:hideMark/>
          </w:tcPr>
          <w:p w14:paraId="51A9094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54358F94"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1931C34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70</w:t>
            </w:r>
          </w:p>
        </w:tc>
        <w:tc>
          <w:tcPr>
            <w:tcW w:w="0" w:type="auto"/>
            <w:tcBorders>
              <w:top w:val="single" w:sz="4" w:space="0" w:color="auto"/>
              <w:left w:val="nil"/>
              <w:bottom w:val="single" w:sz="4" w:space="0" w:color="auto"/>
              <w:right w:val="single" w:sz="4" w:space="0" w:color="auto"/>
            </w:tcBorders>
            <w:vAlign w:val="center"/>
            <w:hideMark/>
          </w:tcPr>
          <w:p w14:paraId="251D4A9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základného rastového emisného prospektu EÚ pre nemajetkové cenné papiere vypracovaného ako jeden dokument (špecifický symbol 2476)</w:t>
            </w:r>
          </w:p>
        </w:tc>
        <w:tc>
          <w:tcPr>
            <w:tcW w:w="0" w:type="auto"/>
            <w:tcBorders>
              <w:top w:val="single" w:sz="4" w:space="0" w:color="auto"/>
              <w:left w:val="nil"/>
              <w:bottom w:val="single" w:sz="4" w:space="0" w:color="auto"/>
              <w:right w:val="single" w:sz="4" w:space="0" w:color="auto"/>
            </w:tcBorders>
            <w:vAlign w:val="center"/>
            <w:hideMark/>
          </w:tcPr>
          <w:p w14:paraId="6FC36DD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375A2CB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8, 15a a 20</w:t>
            </w:r>
          </w:p>
        </w:tc>
        <w:tc>
          <w:tcPr>
            <w:tcW w:w="0" w:type="auto"/>
            <w:tcBorders>
              <w:top w:val="single" w:sz="4" w:space="0" w:color="auto"/>
              <w:left w:val="nil"/>
              <w:bottom w:val="single" w:sz="4" w:space="0" w:color="auto"/>
              <w:right w:val="single" w:sz="4" w:space="0" w:color="auto"/>
            </w:tcBorders>
            <w:vAlign w:val="center"/>
            <w:hideMark/>
          </w:tcPr>
          <w:p w14:paraId="197277A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5765B96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7485AB6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470DA792"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3 </w:t>
            </w:r>
          </w:p>
        </w:tc>
        <w:tc>
          <w:tcPr>
            <w:tcW w:w="0" w:type="auto"/>
            <w:tcBorders>
              <w:top w:val="single" w:sz="4" w:space="0" w:color="auto"/>
              <w:left w:val="nil"/>
              <w:bottom w:val="single" w:sz="4" w:space="0" w:color="auto"/>
              <w:right w:val="single" w:sz="4" w:space="0" w:color="auto"/>
            </w:tcBorders>
            <w:vAlign w:val="center"/>
            <w:hideMark/>
          </w:tcPr>
          <w:p w14:paraId="71E2705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325</w:t>
            </w:r>
          </w:p>
        </w:tc>
        <w:tc>
          <w:tcPr>
            <w:tcW w:w="0" w:type="auto"/>
            <w:tcBorders>
              <w:top w:val="single" w:sz="4" w:space="0" w:color="auto"/>
              <w:left w:val="nil"/>
              <w:bottom w:val="single" w:sz="4" w:space="0" w:color="auto"/>
              <w:right w:val="single" w:sz="4" w:space="0" w:color="auto"/>
            </w:tcBorders>
            <w:vAlign w:val="center"/>
            <w:hideMark/>
          </w:tcPr>
          <w:p w14:paraId="16FDA84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975</w:t>
            </w:r>
          </w:p>
        </w:tc>
        <w:tc>
          <w:tcPr>
            <w:tcW w:w="0" w:type="auto"/>
            <w:tcBorders>
              <w:top w:val="single" w:sz="4" w:space="0" w:color="auto"/>
              <w:left w:val="nil"/>
              <w:bottom w:val="single" w:sz="4" w:space="0" w:color="auto"/>
              <w:right w:val="single" w:sz="4" w:space="0" w:color="auto"/>
            </w:tcBorders>
            <w:vAlign w:val="center"/>
            <w:hideMark/>
          </w:tcPr>
          <w:p w14:paraId="1C2E906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41659D2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975</w:t>
            </w:r>
          </w:p>
        </w:tc>
        <w:tc>
          <w:tcPr>
            <w:tcW w:w="0" w:type="auto"/>
            <w:tcBorders>
              <w:top w:val="single" w:sz="4" w:space="0" w:color="auto"/>
              <w:left w:val="nil"/>
              <w:bottom w:val="single" w:sz="4" w:space="0" w:color="auto"/>
              <w:right w:val="single" w:sz="4" w:space="0" w:color="auto"/>
            </w:tcBorders>
            <w:vAlign w:val="center"/>
            <w:hideMark/>
          </w:tcPr>
          <w:p w14:paraId="72499DD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069EE8C1"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25D20EE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71</w:t>
            </w:r>
          </w:p>
        </w:tc>
        <w:tc>
          <w:tcPr>
            <w:tcW w:w="0" w:type="auto"/>
            <w:tcBorders>
              <w:top w:val="nil"/>
              <w:left w:val="nil"/>
              <w:bottom w:val="single" w:sz="4" w:space="0" w:color="auto"/>
              <w:right w:val="single" w:sz="4" w:space="0" w:color="auto"/>
            </w:tcBorders>
            <w:vAlign w:val="center"/>
            <w:hideMark/>
          </w:tcPr>
          <w:p w14:paraId="0692DAF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dodatku k prospektu cenného papiera alebo k jeho súčasti (špecifický symbol 2477)</w:t>
            </w:r>
          </w:p>
        </w:tc>
        <w:tc>
          <w:tcPr>
            <w:tcW w:w="0" w:type="auto"/>
            <w:tcBorders>
              <w:top w:val="nil"/>
              <w:left w:val="nil"/>
              <w:bottom w:val="single" w:sz="4" w:space="0" w:color="auto"/>
              <w:right w:val="single" w:sz="4" w:space="0" w:color="auto"/>
            </w:tcBorders>
            <w:vAlign w:val="center"/>
            <w:hideMark/>
          </w:tcPr>
          <w:p w14:paraId="4AE5D7F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6E9A1F9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23</w:t>
            </w:r>
          </w:p>
        </w:tc>
        <w:tc>
          <w:tcPr>
            <w:tcW w:w="0" w:type="auto"/>
            <w:tcBorders>
              <w:top w:val="nil"/>
              <w:left w:val="nil"/>
              <w:bottom w:val="single" w:sz="4" w:space="0" w:color="auto"/>
              <w:right w:val="single" w:sz="4" w:space="0" w:color="auto"/>
            </w:tcBorders>
            <w:vAlign w:val="center"/>
            <w:hideMark/>
          </w:tcPr>
          <w:p w14:paraId="29BA413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69659E4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7A769AF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33247310"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12 </w:t>
            </w:r>
          </w:p>
        </w:tc>
        <w:tc>
          <w:tcPr>
            <w:tcW w:w="0" w:type="auto"/>
            <w:tcBorders>
              <w:top w:val="nil"/>
              <w:left w:val="nil"/>
              <w:bottom w:val="single" w:sz="4" w:space="0" w:color="auto"/>
              <w:right w:val="single" w:sz="4" w:space="0" w:color="auto"/>
            </w:tcBorders>
            <w:vAlign w:val="center"/>
            <w:hideMark/>
          </w:tcPr>
          <w:p w14:paraId="185F0B9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50</w:t>
            </w:r>
          </w:p>
        </w:tc>
        <w:tc>
          <w:tcPr>
            <w:tcW w:w="0" w:type="auto"/>
            <w:tcBorders>
              <w:top w:val="nil"/>
              <w:left w:val="nil"/>
              <w:bottom w:val="single" w:sz="4" w:space="0" w:color="auto"/>
              <w:right w:val="single" w:sz="4" w:space="0" w:color="auto"/>
            </w:tcBorders>
            <w:vAlign w:val="center"/>
            <w:hideMark/>
          </w:tcPr>
          <w:p w14:paraId="114CBDC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600</w:t>
            </w:r>
          </w:p>
        </w:tc>
        <w:tc>
          <w:tcPr>
            <w:tcW w:w="0" w:type="auto"/>
            <w:tcBorders>
              <w:top w:val="nil"/>
              <w:left w:val="nil"/>
              <w:bottom w:val="single" w:sz="4" w:space="0" w:color="auto"/>
              <w:right w:val="single" w:sz="4" w:space="0" w:color="auto"/>
            </w:tcBorders>
            <w:vAlign w:val="center"/>
            <w:hideMark/>
          </w:tcPr>
          <w:p w14:paraId="481A5DC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368C823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600</w:t>
            </w:r>
          </w:p>
        </w:tc>
        <w:tc>
          <w:tcPr>
            <w:tcW w:w="0" w:type="auto"/>
            <w:tcBorders>
              <w:top w:val="nil"/>
              <w:left w:val="nil"/>
              <w:bottom w:val="single" w:sz="4" w:space="0" w:color="auto"/>
              <w:right w:val="single" w:sz="4" w:space="0" w:color="auto"/>
            </w:tcBorders>
            <w:vAlign w:val="center"/>
            <w:hideMark/>
          </w:tcPr>
          <w:p w14:paraId="476D746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7A432667" w14:textId="77777777" w:rsidTr="00AD56A0">
        <w:trPr>
          <w:cantSplit/>
          <w:trHeight w:val="3315"/>
        </w:trPr>
        <w:tc>
          <w:tcPr>
            <w:tcW w:w="0" w:type="auto"/>
            <w:tcBorders>
              <w:top w:val="single" w:sz="4" w:space="0" w:color="auto"/>
              <w:left w:val="single" w:sz="4" w:space="0" w:color="auto"/>
              <w:bottom w:val="single" w:sz="4" w:space="0" w:color="auto"/>
              <w:right w:val="single" w:sz="4" w:space="0" w:color="auto"/>
            </w:tcBorders>
            <w:vAlign w:val="center"/>
            <w:hideMark/>
          </w:tcPr>
          <w:p w14:paraId="1953D70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72</w:t>
            </w:r>
          </w:p>
        </w:tc>
        <w:tc>
          <w:tcPr>
            <w:tcW w:w="0" w:type="auto"/>
            <w:tcBorders>
              <w:top w:val="single" w:sz="4" w:space="0" w:color="auto"/>
              <w:left w:val="nil"/>
              <w:bottom w:val="single" w:sz="4" w:space="0" w:color="auto"/>
              <w:right w:val="single" w:sz="4" w:space="0" w:color="auto"/>
            </w:tcBorders>
            <w:vAlign w:val="center"/>
            <w:hideMark/>
          </w:tcPr>
          <w:p w14:paraId="406D1A1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dodatku k registračnému dokumentu, ak je to relevantné spolu s opisom cenných papierov a súhrnom (špecifický symbol 2478)</w:t>
            </w:r>
          </w:p>
        </w:tc>
        <w:tc>
          <w:tcPr>
            <w:tcW w:w="0" w:type="auto"/>
            <w:tcBorders>
              <w:top w:val="single" w:sz="4" w:space="0" w:color="auto"/>
              <w:left w:val="nil"/>
              <w:bottom w:val="single" w:sz="4" w:space="0" w:color="auto"/>
              <w:right w:val="single" w:sz="4" w:space="0" w:color="auto"/>
            </w:tcBorders>
            <w:vAlign w:val="center"/>
            <w:hideMark/>
          </w:tcPr>
          <w:p w14:paraId="348F739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single" w:sz="4" w:space="0" w:color="auto"/>
              <w:left w:val="nil"/>
              <w:bottom w:val="single" w:sz="4" w:space="0" w:color="auto"/>
              <w:right w:val="single" w:sz="4" w:space="0" w:color="auto"/>
            </w:tcBorders>
            <w:vAlign w:val="center"/>
            <w:hideMark/>
          </w:tcPr>
          <w:p w14:paraId="7E527CB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10 ods. 1</w:t>
            </w:r>
          </w:p>
        </w:tc>
        <w:tc>
          <w:tcPr>
            <w:tcW w:w="0" w:type="auto"/>
            <w:tcBorders>
              <w:top w:val="single" w:sz="4" w:space="0" w:color="auto"/>
              <w:left w:val="nil"/>
              <w:bottom w:val="single" w:sz="4" w:space="0" w:color="auto"/>
              <w:right w:val="single" w:sz="4" w:space="0" w:color="auto"/>
            </w:tcBorders>
            <w:vAlign w:val="center"/>
            <w:hideMark/>
          </w:tcPr>
          <w:p w14:paraId="3D88356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2D767DA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35BE339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single" w:sz="4" w:space="0" w:color="auto"/>
              <w:left w:val="nil"/>
              <w:bottom w:val="single" w:sz="4" w:space="0" w:color="auto"/>
              <w:right w:val="single" w:sz="4" w:space="0" w:color="auto"/>
            </w:tcBorders>
            <w:vAlign w:val="center"/>
            <w:hideMark/>
          </w:tcPr>
          <w:p w14:paraId="5CCE5191"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721C117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9D73B1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11024C4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2035FE3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26742F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1EC76FD2" w14:textId="77777777" w:rsidTr="00F3455B">
        <w:trPr>
          <w:cantSplit/>
          <w:trHeight w:val="3315"/>
        </w:trPr>
        <w:tc>
          <w:tcPr>
            <w:tcW w:w="0" w:type="auto"/>
            <w:tcBorders>
              <w:top w:val="nil"/>
              <w:left w:val="single" w:sz="4" w:space="0" w:color="auto"/>
              <w:bottom w:val="single" w:sz="4" w:space="0" w:color="auto"/>
              <w:right w:val="single" w:sz="4" w:space="0" w:color="auto"/>
            </w:tcBorders>
            <w:vAlign w:val="center"/>
            <w:hideMark/>
          </w:tcPr>
          <w:p w14:paraId="7D252CC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73</w:t>
            </w:r>
          </w:p>
        </w:tc>
        <w:tc>
          <w:tcPr>
            <w:tcW w:w="0" w:type="auto"/>
            <w:tcBorders>
              <w:top w:val="nil"/>
              <w:left w:val="nil"/>
              <w:bottom w:val="single" w:sz="4" w:space="0" w:color="auto"/>
              <w:right w:val="single" w:sz="4" w:space="0" w:color="auto"/>
            </w:tcBorders>
            <w:vAlign w:val="center"/>
            <w:hideMark/>
          </w:tcPr>
          <w:p w14:paraId="16330BA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schválenie zmeny univerzálneho registračného dokumentu, ak je to relevantné spolu s opisom cenných papierov a súhrnom (špecifický symbol 2479)</w:t>
            </w:r>
          </w:p>
        </w:tc>
        <w:tc>
          <w:tcPr>
            <w:tcW w:w="0" w:type="auto"/>
            <w:tcBorders>
              <w:top w:val="nil"/>
              <w:left w:val="nil"/>
              <w:bottom w:val="single" w:sz="4" w:space="0" w:color="auto"/>
              <w:right w:val="single" w:sz="4" w:space="0" w:color="auto"/>
            </w:tcBorders>
            <w:vAlign w:val="center"/>
            <w:hideMark/>
          </w:tcPr>
          <w:p w14:paraId="3F54002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nariadenie (EÚ) 2017/1129 v platnom znení</w:t>
            </w:r>
          </w:p>
        </w:tc>
        <w:tc>
          <w:tcPr>
            <w:tcW w:w="0" w:type="auto"/>
            <w:tcBorders>
              <w:top w:val="nil"/>
              <w:left w:val="nil"/>
              <w:bottom w:val="single" w:sz="4" w:space="0" w:color="auto"/>
              <w:right w:val="single" w:sz="4" w:space="0" w:color="auto"/>
            </w:tcBorders>
            <w:vAlign w:val="center"/>
            <w:hideMark/>
          </w:tcPr>
          <w:p w14:paraId="1495DDB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Čl. 9 ods. 9 a čl. 20 ods. 6</w:t>
            </w:r>
          </w:p>
        </w:tc>
        <w:tc>
          <w:tcPr>
            <w:tcW w:w="0" w:type="auto"/>
            <w:tcBorders>
              <w:top w:val="nil"/>
              <w:left w:val="nil"/>
              <w:bottom w:val="single" w:sz="4" w:space="0" w:color="auto"/>
              <w:right w:val="single" w:sz="4" w:space="0" w:color="auto"/>
            </w:tcBorders>
            <w:vAlign w:val="center"/>
            <w:hideMark/>
          </w:tcPr>
          <w:p w14:paraId="546856C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41D5F63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4852B73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emitenti, vyhlasovatelia verejnej ponuky cenných papierov a osoby žiadajúce o prijatie na obchodovanie na regulovanom trhu</w:t>
            </w:r>
          </w:p>
        </w:tc>
        <w:tc>
          <w:tcPr>
            <w:tcW w:w="0" w:type="auto"/>
            <w:tcBorders>
              <w:top w:val="nil"/>
              <w:left w:val="nil"/>
              <w:bottom w:val="single" w:sz="4" w:space="0" w:color="auto"/>
              <w:right w:val="single" w:sz="4" w:space="0" w:color="auto"/>
            </w:tcBorders>
            <w:vAlign w:val="center"/>
            <w:hideMark/>
          </w:tcPr>
          <w:p w14:paraId="284B13F8"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6349CEE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19394D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35C2C26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0BA95E7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7B98A0D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787AB540" w14:textId="77777777" w:rsidTr="00AD56A0">
        <w:trPr>
          <w:cantSplit/>
          <w:trHeight w:val="2040"/>
        </w:trPr>
        <w:tc>
          <w:tcPr>
            <w:tcW w:w="0" w:type="auto"/>
            <w:tcBorders>
              <w:top w:val="single" w:sz="4" w:space="0" w:color="auto"/>
              <w:left w:val="single" w:sz="4" w:space="0" w:color="auto"/>
              <w:bottom w:val="single" w:sz="4" w:space="0" w:color="auto"/>
              <w:right w:val="single" w:sz="4" w:space="0" w:color="auto"/>
            </w:tcBorders>
            <w:vAlign w:val="center"/>
            <w:hideMark/>
          </w:tcPr>
          <w:p w14:paraId="641992C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74</w:t>
            </w:r>
          </w:p>
        </w:tc>
        <w:tc>
          <w:tcPr>
            <w:tcW w:w="0" w:type="auto"/>
            <w:tcBorders>
              <w:top w:val="single" w:sz="4" w:space="0" w:color="auto"/>
              <w:left w:val="nil"/>
              <w:bottom w:val="single" w:sz="4" w:space="0" w:color="auto"/>
              <w:right w:val="single" w:sz="4" w:space="0" w:color="auto"/>
            </w:tcBorders>
            <w:vAlign w:val="center"/>
            <w:hideMark/>
          </w:tcPr>
          <w:p w14:paraId="4420745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stanovenie poplatku za udelelenie povolenia na pravidelné predkladanie údajov podľa § 79 ods. 11 zákona č. 39/2015 Z. z. o poisťovníctve a o zmene a doplnení niektorých zákonov v znení neskorších predpisov v termínoch dlhších, ako sú ustanovené v § 79 ods. 11 zákona o poisťovníctve (špecifický symbol 3114)</w:t>
            </w:r>
          </w:p>
        </w:tc>
        <w:tc>
          <w:tcPr>
            <w:tcW w:w="0" w:type="auto"/>
            <w:tcBorders>
              <w:top w:val="single" w:sz="4" w:space="0" w:color="auto"/>
              <w:left w:val="nil"/>
              <w:bottom w:val="single" w:sz="4" w:space="0" w:color="auto"/>
              <w:right w:val="single" w:sz="4" w:space="0" w:color="auto"/>
            </w:tcBorders>
            <w:vAlign w:val="center"/>
            <w:hideMark/>
          </w:tcPr>
          <w:p w14:paraId="2C1C399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39/2015 Z. z. v znení zákona č. .../2026 Z. z..</w:t>
            </w:r>
          </w:p>
        </w:tc>
        <w:tc>
          <w:tcPr>
            <w:tcW w:w="0" w:type="auto"/>
            <w:tcBorders>
              <w:top w:val="single" w:sz="4" w:space="0" w:color="auto"/>
              <w:left w:val="nil"/>
              <w:bottom w:val="single" w:sz="4" w:space="0" w:color="auto"/>
              <w:right w:val="single" w:sz="4" w:space="0" w:color="auto"/>
            </w:tcBorders>
            <w:vAlign w:val="center"/>
            <w:hideMark/>
          </w:tcPr>
          <w:p w14:paraId="51D97B9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79 ods. 13</w:t>
            </w:r>
          </w:p>
        </w:tc>
        <w:tc>
          <w:tcPr>
            <w:tcW w:w="0" w:type="auto"/>
            <w:tcBorders>
              <w:top w:val="single" w:sz="4" w:space="0" w:color="auto"/>
              <w:left w:val="nil"/>
              <w:bottom w:val="single" w:sz="4" w:space="0" w:color="auto"/>
              <w:right w:val="single" w:sz="4" w:space="0" w:color="auto"/>
            </w:tcBorders>
            <w:vAlign w:val="center"/>
            <w:hideMark/>
          </w:tcPr>
          <w:p w14:paraId="1F66483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31EE087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30.01.27</w:t>
            </w:r>
          </w:p>
        </w:tc>
        <w:tc>
          <w:tcPr>
            <w:tcW w:w="0" w:type="auto"/>
            <w:tcBorders>
              <w:top w:val="single" w:sz="4" w:space="0" w:color="auto"/>
              <w:left w:val="nil"/>
              <w:bottom w:val="single" w:sz="4" w:space="0" w:color="auto"/>
              <w:right w:val="single" w:sz="4" w:space="0" w:color="auto"/>
            </w:tcBorders>
            <w:vAlign w:val="center"/>
            <w:hideMark/>
          </w:tcPr>
          <w:p w14:paraId="13C812A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poisťovne, zaisťovne, pobočky zahraničných poisťovní a pobočky zahraničných zaisťovní</w:t>
            </w:r>
          </w:p>
        </w:tc>
        <w:tc>
          <w:tcPr>
            <w:tcW w:w="0" w:type="auto"/>
            <w:tcBorders>
              <w:top w:val="single" w:sz="4" w:space="0" w:color="auto"/>
              <w:left w:val="nil"/>
              <w:bottom w:val="single" w:sz="4" w:space="0" w:color="auto"/>
              <w:right w:val="single" w:sz="4" w:space="0" w:color="auto"/>
            </w:tcBorders>
            <w:vAlign w:val="center"/>
            <w:hideMark/>
          </w:tcPr>
          <w:p w14:paraId="7D7F69F3"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9 </w:t>
            </w:r>
          </w:p>
        </w:tc>
        <w:tc>
          <w:tcPr>
            <w:tcW w:w="0" w:type="auto"/>
            <w:tcBorders>
              <w:top w:val="single" w:sz="4" w:space="0" w:color="auto"/>
              <w:left w:val="nil"/>
              <w:bottom w:val="single" w:sz="4" w:space="0" w:color="auto"/>
              <w:right w:val="single" w:sz="4" w:space="0" w:color="auto"/>
            </w:tcBorders>
            <w:vAlign w:val="center"/>
            <w:hideMark/>
          </w:tcPr>
          <w:p w14:paraId="1C1089B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38</w:t>
            </w:r>
          </w:p>
        </w:tc>
        <w:tc>
          <w:tcPr>
            <w:tcW w:w="0" w:type="auto"/>
            <w:tcBorders>
              <w:top w:val="single" w:sz="4" w:space="0" w:color="auto"/>
              <w:left w:val="nil"/>
              <w:bottom w:val="single" w:sz="4" w:space="0" w:color="auto"/>
              <w:right w:val="single" w:sz="4" w:space="0" w:color="auto"/>
            </w:tcBorders>
            <w:vAlign w:val="center"/>
            <w:hideMark/>
          </w:tcPr>
          <w:p w14:paraId="417FDD7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338</w:t>
            </w:r>
          </w:p>
        </w:tc>
        <w:tc>
          <w:tcPr>
            <w:tcW w:w="0" w:type="auto"/>
            <w:tcBorders>
              <w:top w:val="single" w:sz="4" w:space="0" w:color="auto"/>
              <w:left w:val="nil"/>
              <w:bottom w:val="single" w:sz="4" w:space="0" w:color="auto"/>
              <w:right w:val="single" w:sz="4" w:space="0" w:color="auto"/>
            </w:tcBorders>
            <w:vAlign w:val="center"/>
            <w:hideMark/>
          </w:tcPr>
          <w:p w14:paraId="615FE99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3791D52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338</w:t>
            </w:r>
          </w:p>
        </w:tc>
        <w:tc>
          <w:tcPr>
            <w:tcW w:w="0" w:type="auto"/>
            <w:tcBorders>
              <w:top w:val="single" w:sz="4" w:space="0" w:color="auto"/>
              <w:left w:val="nil"/>
              <w:bottom w:val="single" w:sz="4" w:space="0" w:color="auto"/>
              <w:right w:val="single" w:sz="4" w:space="0" w:color="auto"/>
            </w:tcBorders>
            <w:vAlign w:val="center"/>
            <w:hideMark/>
          </w:tcPr>
          <w:p w14:paraId="70ABC81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39F814C6"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1688449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75</w:t>
            </w:r>
          </w:p>
        </w:tc>
        <w:tc>
          <w:tcPr>
            <w:tcW w:w="0" w:type="auto"/>
            <w:tcBorders>
              <w:top w:val="nil"/>
              <w:left w:val="nil"/>
              <w:bottom w:val="single" w:sz="4" w:space="0" w:color="auto"/>
              <w:right w:val="single" w:sz="4" w:space="0" w:color="auto"/>
            </w:tcBorders>
            <w:vAlign w:val="center"/>
            <w:hideMark/>
          </w:tcPr>
          <w:p w14:paraId="04BC6E3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udelenie predchádzajúceho súhlasu na tvorbu ďalšej technickej rezervy podľa § 171 ods. 3 zákona o poisťovníctve (špecifický symbol 3312 - iba v opatrení č. 5/2021 v znení opatrenia č. 8/2024)</w:t>
            </w:r>
          </w:p>
        </w:tc>
        <w:tc>
          <w:tcPr>
            <w:tcW w:w="0" w:type="auto"/>
            <w:tcBorders>
              <w:top w:val="nil"/>
              <w:left w:val="nil"/>
              <w:bottom w:val="single" w:sz="4" w:space="0" w:color="auto"/>
              <w:right w:val="single" w:sz="4" w:space="0" w:color="auto"/>
            </w:tcBorders>
            <w:vAlign w:val="center"/>
            <w:hideMark/>
          </w:tcPr>
          <w:p w14:paraId="4BDDC6A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39/2015 Z. z. v znení zákona č. .../2026 Z. z..</w:t>
            </w:r>
          </w:p>
        </w:tc>
        <w:tc>
          <w:tcPr>
            <w:tcW w:w="0" w:type="auto"/>
            <w:tcBorders>
              <w:top w:val="nil"/>
              <w:left w:val="nil"/>
              <w:bottom w:val="single" w:sz="4" w:space="0" w:color="auto"/>
              <w:right w:val="single" w:sz="4" w:space="0" w:color="auto"/>
            </w:tcBorders>
            <w:vAlign w:val="center"/>
            <w:hideMark/>
          </w:tcPr>
          <w:p w14:paraId="161B63E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77 ods. 1 písm. t)</w:t>
            </w:r>
          </w:p>
        </w:tc>
        <w:tc>
          <w:tcPr>
            <w:tcW w:w="0" w:type="auto"/>
            <w:tcBorders>
              <w:top w:val="nil"/>
              <w:left w:val="nil"/>
              <w:bottom w:val="single" w:sz="4" w:space="0" w:color="auto"/>
              <w:right w:val="single" w:sz="4" w:space="0" w:color="auto"/>
            </w:tcBorders>
            <w:vAlign w:val="center"/>
            <w:hideMark/>
          </w:tcPr>
          <w:p w14:paraId="33D4E10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08C974E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30.01.27</w:t>
            </w:r>
          </w:p>
        </w:tc>
        <w:tc>
          <w:tcPr>
            <w:tcW w:w="0" w:type="auto"/>
            <w:tcBorders>
              <w:top w:val="nil"/>
              <w:left w:val="nil"/>
              <w:bottom w:val="single" w:sz="4" w:space="0" w:color="auto"/>
              <w:right w:val="single" w:sz="4" w:space="0" w:color="auto"/>
            </w:tcBorders>
            <w:vAlign w:val="center"/>
            <w:hideMark/>
          </w:tcPr>
          <w:p w14:paraId="3397887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poisťovne v osobitnom režime</w:t>
            </w:r>
          </w:p>
        </w:tc>
        <w:tc>
          <w:tcPr>
            <w:tcW w:w="0" w:type="auto"/>
            <w:tcBorders>
              <w:top w:val="nil"/>
              <w:left w:val="nil"/>
              <w:bottom w:val="single" w:sz="4" w:space="0" w:color="auto"/>
              <w:right w:val="single" w:sz="4" w:space="0" w:color="auto"/>
            </w:tcBorders>
            <w:vAlign w:val="center"/>
            <w:hideMark/>
          </w:tcPr>
          <w:p w14:paraId="575ABA9B"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4EB5BECC"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D6586E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c>
          <w:tcPr>
            <w:tcW w:w="0" w:type="auto"/>
            <w:tcBorders>
              <w:top w:val="nil"/>
              <w:left w:val="nil"/>
              <w:bottom w:val="single" w:sz="4" w:space="0" w:color="auto"/>
              <w:right w:val="single" w:sz="4" w:space="0" w:color="auto"/>
            </w:tcBorders>
            <w:vAlign w:val="center"/>
            <w:hideMark/>
          </w:tcPr>
          <w:p w14:paraId="2AF624B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3FEC3D0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64EF061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72E4D479" w14:textId="77777777" w:rsidTr="00AD56A0">
        <w:trPr>
          <w:cantSplit/>
          <w:trHeight w:val="2040"/>
        </w:trPr>
        <w:tc>
          <w:tcPr>
            <w:tcW w:w="0" w:type="auto"/>
            <w:tcBorders>
              <w:top w:val="single" w:sz="4" w:space="0" w:color="auto"/>
              <w:left w:val="single" w:sz="4" w:space="0" w:color="auto"/>
              <w:bottom w:val="single" w:sz="4" w:space="0" w:color="auto"/>
              <w:right w:val="single" w:sz="4" w:space="0" w:color="auto"/>
            </w:tcBorders>
            <w:vAlign w:val="center"/>
            <w:hideMark/>
          </w:tcPr>
          <w:p w14:paraId="7D41C43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76</w:t>
            </w:r>
          </w:p>
        </w:tc>
        <w:tc>
          <w:tcPr>
            <w:tcW w:w="0" w:type="auto"/>
            <w:tcBorders>
              <w:top w:val="single" w:sz="4" w:space="0" w:color="auto"/>
              <w:left w:val="nil"/>
              <w:bottom w:val="single" w:sz="4" w:space="0" w:color="auto"/>
              <w:right w:val="single" w:sz="4" w:space="0" w:color="auto"/>
            </w:tcBorders>
            <w:vAlign w:val="center"/>
            <w:hideMark/>
          </w:tcPr>
          <w:p w14:paraId="5F11A5C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udelenie predchádzajúceho súhlasu na splnomocnenie zástupcu núteného správcu vykonávaním úkonov vo svojom mene na základe písomného plnomocenstva (špecifický symbol 3326 -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4312CDA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39/2015 Z. z.</w:t>
            </w:r>
          </w:p>
        </w:tc>
        <w:tc>
          <w:tcPr>
            <w:tcW w:w="0" w:type="auto"/>
            <w:tcBorders>
              <w:top w:val="single" w:sz="4" w:space="0" w:color="auto"/>
              <w:left w:val="nil"/>
              <w:bottom w:val="single" w:sz="4" w:space="0" w:color="auto"/>
              <w:right w:val="single" w:sz="4" w:space="0" w:color="auto"/>
            </w:tcBorders>
            <w:vAlign w:val="center"/>
            <w:hideMark/>
          </w:tcPr>
          <w:p w14:paraId="4367E57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148 ods. 7</w:t>
            </w:r>
          </w:p>
        </w:tc>
        <w:tc>
          <w:tcPr>
            <w:tcW w:w="0" w:type="auto"/>
            <w:tcBorders>
              <w:top w:val="single" w:sz="4" w:space="0" w:color="auto"/>
              <w:left w:val="nil"/>
              <w:bottom w:val="single" w:sz="4" w:space="0" w:color="auto"/>
              <w:right w:val="single" w:sz="4" w:space="0" w:color="auto"/>
            </w:tcBorders>
            <w:vAlign w:val="center"/>
            <w:hideMark/>
          </w:tcPr>
          <w:p w14:paraId="03DA0A3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5EC7154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30.01.27</w:t>
            </w:r>
          </w:p>
        </w:tc>
        <w:tc>
          <w:tcPr>
            <w:tcW w:w="0" w:type="auto"/>
            <w:tcBorders>
              <w:top w:val="single" w:sz="4" w:space="0" w:color="auto"/>
              <w:left w:val="nil"/>
              <w:bottom w:val="single" w:sz="4" w:space="0" w:color="auto"/>
              <w:right w:val="single" w:sz="4" w:space="0" w:color="auto"/>
            </w:tcBorders>
            <w:vAlign w:val="center"/>
            <w:hideMark/>
          </w:tcPr>
          <w:p w14:paraId="1689410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poisťovne, zaisťovne, pobočky zahraničných poisťovní a pobočky zahraničných zaisťovní</w:t>
            </w:r>
          </w:p>
        </w:tc>
        <w:tc>
          <w:tcPr>
            <w:tcW w:w="0" w:type="auto"/>
            <w:tcBorders>
              <w:top w:val="single" w:sz="4" w:space="0" w:color="auto"/>
              <w:left w:val="nil"/>
              <w:bottom w:val="single" w:sz="4" w:space="0" w:color="auto"/>
              <w:right w:val="single" w:sz="4" w:space="0" w:color="auto"/>
            </w:tcBorders>
            <w:vAlign w:val="center"/>
            <w:hideMark/>
          </w:tcPr>
          <w:p w14:paraId="2A918942"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9 </w:t>
            </w:r>
          </w:p>
        </w:tc>
        <w:tc>
          <w:tcPr>
            <w:tcW w:w="0" w:type="auto"/>
            <w:tcBorders>
              <w:top w:val="single" w:sz="4" w:space="0" w:color="auto"/>
              <w:left w:val="nil"/>
              <w:bottom w:val="single" w:sz="4" w:space="0" w:color="auto"/>
              <w:right w:val="single" w:sz="4" w:space="0" w:color="auto"/>
            </w:tcBorders>
            <w:vAlign w:val="center"/>
            <w:hideMark/>
          </w:tcPr>
          <w:p w14:paraId="2C4B744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25</w:t>
            </w:r>
          </w:p>
        </w:tc>
        <w:tc>
          <w:tcPr>
            <w:tcW w:w="0" w:type="auto"/>
            <w:tcBorders>
              <w:top w:val="single" w:sz="4" w:space="0" w:color="auto"/>
              <w:left w:val="nil"/>
              <w:bottom w:val="single" w:sz="4" w:space="0" w:color="auto"/>
              <w:right w:val="single" w:sz="4" w:space="0" w:color="auto"/>
            </w:tcBorders>
            <w:vAlign w:val="center"/>
            <w:hideMark/>
          </w:tcPr>
          <w:p w14:paraId="65B8B6AF"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225</w:t>
            </w:r>
          </w:p>
        </w:tc>
        <w:tc>
          <w:tcPr>
            <w:tcW w:w="0" w:type="auto"/>
            <w:tcBorders>
              <w:top w:val="single" w:sz="4" w:space="0" w:color="auto"/>
              <w:left w:val="nil"/>
              <w:bottom w:val="single" w:sz="4" w:space="0" w:color="auto"/>
              <w:right w:val="single" w:sz="4" w:space="0" w:color="auto"/>
            </w:tcBorders>
            <w:vAlign w:val="center"/>
            <w:hideMark/>
          </w:tcPr>
          <w:p w14:paraId="7A45512E"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50484A5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225</w:t>
            </w:r>
          </w:p>
        </w:tc>
        <w:tc>
          <w:tcPr>
            <w:tcW w:w="0" w:type="auto"/>
            <w:tcBorders>
              <w:top w:val="single" w:sz="4" w:space="0" w:color="auto"/>
              <w:left w:val="nil"/>
              <w:bottom w:val="single" w:sz="4" w:space="0" w:color="auto"/>
              <w:right w:val="single" w:sz="4" w:space="0" w:color="auto"/>
            </w:tcBorders>
            <w:vAlign w:val="center"/>
            <w:hideMark/>
          </w:tcPr>
          <w:p w14:paraId="0058FCE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1ED0A456" w14:textId="77777777" w:rsidTr="00F3455B">
        <w:trPr>
          <w:cantSplit/>
          <w:trHeight w:val="2040"/>
        </w:trPr>
        <w:tc>
          <w:tcPr>
            <w:tcW w:w="0" w:type="auto"/>
            <w:tcBorders>
              <w:top w:val="nil"/>
              <w:left w:val="single" w:sz="4" w:space="0" w:color="auto"/>
              <w:bottom w:val="single" w:sz="4" w:space="0" w:color="auto"/>
              <w:right w:val="single" w:sz="4" w:space="0" w:color="auto"/>
            </w:tcBorders>
            <w:vAlign w:val="center"/>
            <w:hideMark/>
          </w:tcPr>
          <w:p w14:paraId="4FB80B5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77</w:t>
            </w:r>
          </w:p>
        </w:tc>
        <w:tc>
          <w:tcPr>
            <w:tcW w:w="0" w:type="auto"/>
            <w:tcBorders>
              <w:top w:val="nil"/>
              <w:left w:val="nil"/>
              <w:bottom w:val="single" w:sz="4" w:space="0" w:color="auto"/>
              <w:right w:val="single" w:sz="4" w:space="0" w:color="auto"/>
            </w:tcBorders>
            <w:vAlign w:val="center"/>
            <w:hideMark/>
          </w:tcPr>
          <w:p w14:paraId="6297B2F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udelenie predchádzajúceho súhlasu na pribratie odborných poradcov núteného správcu (špecifický symbol 3327 - iba v opatrení č. 5/2021 v znení opatrenia č. 8/2024)</w:t>
            </w:r>
          </w:p>
        </w:tc>
        <w:tc>
          <w:tcPr>
            <w:tcW w:w="0" w:type="auto"/>
            <w:tcBorders>
              <w:top w:val="nil"/>
              <w:left w:val="nil"/>
              <w:bottom w:val="single" w:sz="4" w:space="0" w:color="auto"/>
              <w:right w:val="single" w:sz="4" w:space="0" w:color="auto"/>
            </w:tcBorders>
            <w:vAlign w:val="center"/>
            <w:hideMark/>
          </w:tcPr>
          <w:p w14:paraId="70B8931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39/2015 Z. z.</w:t>
            </w:r>
          </w:p>
        </w:tc>
        <w:tc>
          <w:tcPr>
            <w:tcW w:w="0" w:type="auto"/>
            <w:tcBorders>
              <w:top w:val="nil"/>
              <w:left w:val="nil"/>
              <w:bottom w:val="single" w:sz="4" w:space="0" w:color="auto"/>
              <w:right w:val="single" w:sz="4" w:space="0" w:color="auto"/>
            </w:tcBorders>
            <w:vAlign w:val="center"/>
            <w:hideMark/>
          </w:tcPr>
          <w:p w14:paraId="73EF43B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148 ods. 10</w:t>
            </w:r>
          </w:p>
        </w:tc>
        <w:tc>
          <w:tcPr>
            <w:tcW w:w="0" w:type="auto"/>
            <w:tcBorders>
              <w:top w:val="nil"/>
              <w:left w:val="nil"/>
              <w:bottom w:val="single" w:sz="4" w:space="0" w:color="auto"/>
              <w:right w:val="single" w:sz="4" w:space="0" w:color="auto"/>
            </w:tcBorders>
            <w:vAlign w:val="center"/>
            <w:hideMark/>
          </w:tcPr>
          <w:p w14:paraId="3D05175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075D8BC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30.01.27</w:t>
            </w:r>
          </w:p>
        </w:tc>
        <w:tc>
          <w:tcPr>
            <w:tcW w:w="0" w:type="auto"/>
            <w:tcBorders>
              <w:top w:val="nil"/>
              <w:left w:val="nil"/>
              <w:bottom w:val="single" w:sz="4" w:space="0" w:color="auto"/>
              <w:right w:val="single" w:sz="4" w:space="0" w:color="auto"/>
            </w:tcBorders>
            <w:vAlign w:val="center"/>
            <w:hideMark/>
          </w:tcPr>
          <w:p w14:paraId="2AC7E7A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poisťovne, zaisťovne, pobočky zahraničných poisťovní a pobočky zahraničných zaisťovní</w:t>
            </w:r>
          </w:p>
        </w:tc>
        <w:tc>
          <w:tcPr>
            <w:tcW w:w="0" w:type="auto"/>
            <w:tcBorders>
              <w:top w:val="nil"/>
              <w:left w:val="nil"/>
              <w:bottom w:val="single" w:sz="4" w:space="0" w:color="auto"/>
              <w:right w:val="single" w:sz="4" w:space="0" w:color="auto"/>
            </w:tcBorders>
            <w:vAlign w:val="center"/>
            <w:hideMark/>
          </w:tcPr>
          <w:p w14:paraId="520D9D8C"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9 </w:t>
            </w:r>
          </w:p>
        </w:tc>
        <w:tc>
          <w:tcPr>
            <w:tcW w:w="0" w:type="auto"/>
            <w:tcBorders>
              <w:top w:val="nil"/>
              <w:left w:val="nil"/>
              <w:bottom w:val="single" w:sz="4" w:space="0" w:color="auto"/>
              <w:right w:val="single" w:sz="4" w:space="0" w:color="auto"/>
            </w:tcBorders>
            <w:vAlign w:val="center"/>
            <w:hideMark/>
          </w:tcPr>
          <w:p w14:paraId="6F61D514"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25</w:t>
            </w:r>
          </w:p>
        </w:tc>
        <w:tc>
          <w:tcPr>
            <w:tcW w:w="0" w:type="auto"/>
            <w:tcBorders>
              <w:top w:val="nil"/>
              <w:left w:val="nil"/>
              <w:bottom w:val="single" w:sz="4" w:space="0" w:color="auto"/>
              <w:right w:val="single" w:sz="4" w:space="0" w:color="auto"/>
            </w:tcBorders>
            <w:vAlign w:val="center"/>
            <w:hideMark/>
          </w:tcPr>
          <w:p w14:paraId="17385C9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225</w:t>
            </w:r>
          </w:p>
        </w:tc>
        <w:tc>
          <w:tcPr>
            <w:tcW w:w="0" w:type="auto"/>
            <w:tcBorders>
              <w:top w:val="nil"/>
              <w:left w:val="nil"/>
              <w:bottom w:val="single" w:sz="4" w:space="0" w:color="auto"/>
              <w:right w:val="single" w:sz="4" w:space="0" w:color="auto"/>
            </w:tcBorders>
            <w:vAlign w:val="center"/>
            <w:hideMark/>
          </w:tcPr>
          <w:p w14:paraId="68443410"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1B8E40A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225</w:t>
            </w:r>
          </w:p>
        </w:tc>
        <w:tc>
          <w:tcPr>
            <w:tcW w:w="0" w:type="auto"/>
            <w:tcBorders>
              <w:top w:val="nil"/>
              <w:left w:val="nil"/>
              <w:bottom w:val="single" w:sz="4" w:space="0" w:color="auto"/>
              <w:right w:val="single" w:sz="4" w:space="0" w:color="auto"/>
            </w:tcBorders>
            <w:vAlign w:val="center"/>
            <w:hideMark/>
          </w:tcPr>
          <w:p w14:paraId="3B52FD4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2E7EA822" w14:textId="77777777" w:rsidTr="00AD56A0">
        <w:trPr>
          <w:cantSplit/>
          <w:trHeight w:val="2040"/>
        </w:trPr>
        <w:tc>
          <w:tcPr>
            <w:tcW w:w="0" w:type="auto"/>
            <w:tcBorders>
              <w:top w:val="single" w:sz="4" w:space="0" w:color="auto"/>
              <w:left w:val="single" w:sz="4" w:space="0" w:color="auto"/>
              <w:bottom w:val="single" w:sz="4" w:space="0" w:color="auto"/>
              <w:right w:val="single" w:sz="4" w:space="0" w:color="auto"/>
            </w:tcBorders>
            <w:vAlign w:val="center"/>
            <w:hideMark/>
          </w:tcPr>
          <w:p w14:paraId="453D2EE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lastRenderedPageBreak/>
              <w:t>78</w:t>
            </w:r>
          </w:p>
        </w:tc>
        <w:tc>
          <w:tcPr>
            <w:tcW w:w="0" w:type="auto"/>
            <w:tcBorders>
              <w:top w:val="single" w:sz="4" w:space="0" w:color="auto"/>
              <w:left w:val="nil"/>
              <w:bottom w:val="single" w:sz="4" w:space="0" w:color="auto"/>
              <w:right w:val="single" w:sz="4" w:space="0" w:color="auto"/>
            </w:tcBorders>
            <w:vAlign w:val="center"/>
            <w:hideMark/>
          </w:tcPr>
          <w:p w14:paraId="573D9F4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udelenie predchádzajúceho súhlasu na čiastočné alebo úplné pozastavenie nakladania s prostriedkami poisťovne núteným správcom (špecifický symbol 3328 -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7214193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39/2015 Z. z.</w:t>
            </w:r>
          </w:p>
        </w:tc>
        <w:tc>
          <w:tcPr>
            <w:tcW w:w="0" w:type="auto"/>
            <w:tcBorders>
              <w:top w:val="single" w:sz="4" w:space="0" w:color="auto"/>
              <w:left w:val="nil"/>
              <w:bottom w:val="single" w:sz="4" w:space="0" w:color="auto"/>
              <w:right w:val="single" w:sz="4" w:space="0" w:color="auto"/>
            </w:tcBorders>
            <w:vAlign w:val="center"/>
            <w:hideMark/>
          </w:tcPr>
          <w:p w14:paraId="08185C8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149 ods. 5</w:t>
            </w:r>
          </w:p>
        </w:tc>
        <w:tc>
          <w:tcPr>
            <w:tcW w:w="0" w:type="auto"/>
            <w:tcBorders>
              <w:top w:val="single" w:sz="4" w:space="0" w:color="auto"/>
              <w:left w:val="nil"/>
              <w:bottom w:val="single" w:sz="4" w:space="0" w:color="auto"/>
              <w:right w:val="single" w:sz="4" w:space="0" w:color="auto"/>
            </w:tcBorders>
            <w:vAlign w:val="center"/>
            <w:hideMark/>
          </w:tcPr>
          <w:p w14:paraId="29A3539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79CA441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30.01.27</w:t>
            </w:r>
          </w:p>
        </w:tc>
        <w:tc>
          <w:tcPr>
            <w:tcW w:w="0" w:type="auto"/>
            <w:tcBorders>
              <w:top w:val="single" w:sz="4" w:space="0" w:color="auto"/>
              <w:left w:val="nil"/>
              <w:bottom w:val="single" w:sz="4" w:space="0" w:color="auto"/>
              <w:right w:val="single" w:sz="4" w:space="0" w:color="auto"/>
            </w:tcBorders>
            <w:vAlign w:val="center"/>
            <w:hideMark/>
          </w:tcPr>
          <w:p w14:paraId="5FA3BCDD"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poisťovne, zaisťovne, pobočky zahraničných poisťovní a pobočky zahraničných zaisťovní</w:t>
            </w:r>
          </w:p>
        </w:tc>
        <w:tc>
          <w:tcPr>
            <w:tcW w:w="0" w:type="auto"/>
            <w:tcBorders>
              <w:top w:val="single" w:sz="4" w:space="0" w:color="auto"/>
              <w:left w:val="nil"/>
              <w:bottom w:val="single" w:sz="4" w:space="0" w:color="auto"/>
              <w:right w:val="single" w:sz="4" w:space="0" w:color="auto"/>
            </w:tcBorders>
            <w:vAlign w:val="center"/>
            <w:hideMark/>
          </w:tcPr>
          <w:p w14:paraId="27914A45"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9 </w:t>
            </w:r>
          </w:p>
        </w:tc>
        <w:tc>
          <w:tcPr>
            <w:tcW w:w="0" w:type="auto"/>
            <w:tcBorders>
              <w:top w:val="single" w:sz="4" w:space="0" w:color="auto"/>
              <w:left w:val="nil"/>
              <w:bottom w:val="single" w:sz="4" w:space="0" w:color="auto"/>
              <w:right w:val="single" w:sz="4" w:space="0" w:color="auto"/>
            </w:tcBorders>
            <w:vAlign w:val="center"/>
            <w:hideMark/>
          </w:tcPr>
          <w:p w14:paraId="0BDB06B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25</w:t>
            </w:r>
          </w:p>
        </w:tc>
        <w:tc>
          <w:tcPr>
            <w:tcW w:w="0" w:type="auto"/>
            <w:tcBorders>
              <w:top w:val="single" w:sz="4" w:space="0" w:color="auto"/>
              <w:left w:val="nil"/>
              <w:bottom w:val="single" w:sz="4" w:space="0" w:color="auto"/>
              <w:right w:val="single" w:sz="4" w:space="0" w:color="auto"/>
            </w:tcBorders>
            <w:vAlign w:val="center"/>
            <w:hideMark/>
          </w:tcPr>
          <w:p w14:paraId="6C9C950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225</w:t>
            </w:r>
          </w:p>
        </w:tc>
        <w:tc>
          <w:tcPr>
            <w:tcW w:w="0" w:type="auto"/>
            <w:tcBorders>
              <w:top w:val="single" w:sz="4" w:space="0" w:color="auto"/>
              <w:left w:val="nil"/>
              <w:bottom w:val="single" w:sz="4" w:space="0" w:color="auto"/>
              <w:right w:val="single" w:sz="4" w:space="0" w:color="auto"/>
            </w:tcBorders>
            <w:vAlign w:val="center"/>
            <w:hideMark/>
          </w:tcPr>
          <w:p w14:paraId="4E0E40D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13DAC93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225</w:t>
            </w:r>
          </w:p>
        </w:tc>
        <w:tc>
          <w:tcPr>
            <w:tcW w:w="0" w:type="auto"/>
            <w:tcBorders>
              <w:top w:val="single" w:sz="4" w:space="0" w:color="auto"/>
              <w:left w:val="nil"/>
              <w:bottom w:val="single" w:sz="4" w:space="0" w:color="auto"/>
              <w:right w:val="single" w:sz="4" w:space="0" w:color="auto"/>
            </w:tcBorders>
            <w:vAlign w:val="center"/>
            <w:hideMark/>
          </w:tcPr>
          <w:p w14:paraId="4B66B4B3"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4A60A7A3" w14:textId="77777777" w:rsidTr="00F3455B">
        <w:trPr>
          <w:cantSplit/>
          <w:trHeight w:val="2040"/>
        </w:trPr>
        <w:tc>
          <w:tcPr>
            <w:tcW w:w="0" w:type="auto"/>
            <w:tcBorders>
              <w:top w:val="nil"/>
              <w:left w:val="single" w:sz="4" w:space="0" w:color="auto"/>
              <w:bottom w:val="single" w:sz="4" w:space="0" w:color="auto"/>
              <w:right w:val="single" w:sz="4" w:space="0" w:color="auto"/>
            </w:tcBorders>
            <w:vAlign w:val="center"/>
            <w:hideMark/>
          </w:tcPr>
          <w:p w14:paraId="4C04E6B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79</w:t>
            </w:r>
          </w:p>
        </w:tc>
        <w:tc>
          <w:tcPr>
            <w:tcW w:w="0" w:type="auto"/>
            <w:tcBorders>
              <w:top w:val="nil"/>
              <w:left w:val="nil"/>
              <w:bottom w:val="single" w:sz="4" w:space="0" w:color="auto"/>
              <w:right w:val="single" w:sz="4" w:space="0" w:color="auto"/>
            </w:tcBorders>
            <w:vAlign w:val="center"/>
            <w:hideMark/>
          </w:tcPr>
          <w:p w14:paraId="73139D18"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vypustenie úkonu a poplatku za udelenie predchádzajúceho súhlasu na podanie návrhu na vyhlásenie konkurzu núteným správcom (špecifický symbol 3329 - iba v opatrení č. 5/2021 v znení opatrenia č. 8/2024)</w:t>
            </w:r>
          </w:p>
        </w:tc>
        <w:tc>
          <w:tcPr>
            <w:tcW w:w="0" w:type="auto"/>
            <w:tcBorders>
              <w:top w:val="nil"/>
              <w:left w:val="nil"/>
              <w:bottom w:val="single" w:sz="4" w:space="0" w:color="auto"/>
              <w:right w:val="single" w:sz="4" w:space="0" w:color="auto"/>
            </w:tcBorders>
            <w:vAlign w:val="center"/>
            <w:hideMark/>
          </w:tcPr>
          <w:p w14:paraId="527E9EC6"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zákon č. 39/2015 Z. z.</w:t>
            </w:r>
          </w:p>
        </w:tc>
        <w:tc>
          <w:tcPr>
            <w:tcW w:w="0" w:type="auto"/>
            <w:tcBorders>
              <w:top w:val="nil"/>
              <w:left w:val="nil"/>
              <w:bottom w:val="single" w:sz="4" w:space="0" w:color="auto"/>
              <w:right w:val="single" w:sz="4" w:space="0" w:color="auto"/>
            </w:tcBorders>
            <w:vAlign w:val="center"/>
            <w:hideMark/>
          </w:tcPr>
          <w:p w14:paraId="5E9DF1E9"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149 ods. 6</w:t>
            </w:r>
          </w:p>
        </w:tc>
        <w:tc>
          <w:tcPr>
            <w:tcW w:w="0" w:type="auto"/>
            <w:tcBorders>
              <w:top w:val="nil"/>
              <w:left w:val="nil"/>
              <w:bottom w:val="single" w:sz="4" w:space="0" w:color="auto"/>
              <w:right w:val="single" w:sz="4" w:space="0" w:color="auto"/>
            </w:tcBorders>
            <w:vAlign w:val="center"/>
            <w:hideMark/>
          </w:tcPr>
          <w:p w14:paraId="6C566BA2"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1.SK</w:t>
            </w:r>
          </w:p>
        </w:tc>
        <w:tc>
          <w:tcPr>
            <w:tcW w:w="0" w:type="auto"/>
            <w:tcBorders>
              <w:top w:val="nil"/>
              <w:left w:val="nil"/>
              <w:bottom w:val="single" w:sz="4" w:space="0" w:color="auto"/>
              <w:right w:val="single" w:sz="4" w:space="0" w:color="auto"/>
            </w:tcBorders>
            <w:vAlign w:val="center"/>
            <w:hideMark/>
          </w:tcPr>
          <w:p w14:paraId="4A6C0695"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30.01.27</w:t>
            </w:r>
          </w:p>
        </w:tc>
        <w:tc>
          <w:tcPr>
            <w:tcW w:w="0" w:type="auto"/>
            <w:tcBorders>
              <w:top w:val="nil"/>
              <w:left w:val="nil"/>
              <w:bottom w:val="single" w:sz="4" w:space="0" w:color="auto"/>
              <w:right w:val="single" w:sz="4" w:space="0" w:color="auto"/>
            </w:tcBorders>
            <w:vAlign w:val="center"/>
            <w:hideMark/>
          </w:tcPr>
          <w:p w14:paraId="2D456F27"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poisťovne, zaisťovne, pobočky zahraničných poisťovní a pobočky zahraničných zaisťovní</w:t>
            </w:r>
          </w:p>
        </w:tc>
        <w:tc>
          <w:tcPr>
            <w:tcW w:w="0" w:type="auto"/>
            <w:tcBorders>
              <w:top w:val="nil"/>
              <w:left w:val="nil"/>
              <w:bottom w:val="single" w:sz="4" w:space="0" w:color="auto"/>
              <w:right w:val="single" w:sz="4" w:space="0" w:color="auto"/>
            </w:tcBorders>
            <w:vAlign w:val="center"/>
            <w:hideMark/>
          </w:tcPr>
          <w:p w14:paraId="5BC5E9A8" w14:textId="77777777" w:rsidR="00B1197B" w:rsidRPr="00F3455B" w:rsidRDefault="00B1197B" w:rsidP="00F3455B">
            <w:pPr>
              <w:spacing w:after="0" w:line="240" w:lineRule="auto"/>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 xml:space="preserve">                   9 </w:t>
            </w:r>
          </w:p>
        </w:tc>
        <w:tc>
          <w:tcPr>
            <w:tcW w:w="0" w:type="auto"/>
            <w:tcBorders>
              <w:top w:val="nil"/>
              <w:left w:val="nil"/>
              <w:bottom w:val="single" w:sz="4" w:space="0" w:color="auto"/>
              <w:right w:val="single" w:sz="4" w:space="0" w:color="auto"/>
            </w:tcBorders>
            <w:vAlign w:val="center"/>
            <w:hideMark/>
          </w:tcPr>
          <w:p w14:paraId="52A1BE9A"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88</w:t>
            </w:r>
          </w:p>
        </w:tc>
        <w:tc>
          <w:tcPr>
            <w:tcW w:w="0" w:type="auto"/>
            <w:tcBorders>
              <w:top w:val="nil"/>
              <w:left w:val="nil"/>
              <w:bottom w:val="single" w:sz="4" w:space="0" w:color="auto"/>
              <w:right w:val="single" w:sz="4" w:space="0" w:color="auto"/>
            </w:tcBorders>
            <w:vAlign w:val="center"/>
            <w:hideMark/>
          </w:tcPr>
          <w:p w14:paraId="2219FB5B"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788</w:t>
            </w:r>
          </w:p>
        </w:tc>
        <w:tc>
          <w:tcPr>
            <w:tcW w:w="0" w:type="auto"/>
            <w:tcBorders>
              <w:top w:val="nil"/>
              <w:left w:val="nil"/>
              <w:bottom w:val="single" w:sz="4" w:space="0" w:color="auto"/>
              <w:right w:val="single" w:sz="4" w:space="0" w:color="auto"/>
            </w:tcBorders>
            <w:vAlign w:val="center"/>
            <w:hideMark/>
          </w:tcPr>
          <w:p w14:paraId="59CC8AA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16EF21A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788</w:t>
            </w:r>
          </w:p>
        </w:tc>
        <w:tc>
          <w:tcPr>
            <w:tcW w:w="0" w:type="auto"/>
            <w:tcBorders>
              <w:top w:val="nil"/>
              <w:left w:val="nil"/>
              <w:bottom w:val="single" w:sz="4" w:space="0" w:color="auto"/>
              <w:right w:val="single" w:sz="4" w:space="0" w:color="auto"/>
            </w:tcBorders>
            <w:vAlign w:val="center"/>
            <w:hideMark/>
          </w:tcPr>
          <w:p w14:paraId="6EEAAB01" w14:textId="77777777" w:rsidR="00B1197B" w:rsidRPr="00F3455B" w:rsidRDefault="00B1197B" w:rsidP="00F3455B">
            <w:pPr>
              <w:spacing w:after="0" w:line="240" w:lineRule="auto"/>
              <w:jc w:val="center"/>
              <w:rPr>
                <w:rFonts w:ascii="Times New Roman" w:eastAsia="Times New Roman" w:hAnsi="Times New Roman" w:cs="Times New Roman"/>
                <w:color w:val="000000"/>
                <w:sz w:val="20"/>
                <w:szCs w:val="20"/>
                <w:lang w:eastAsia="sk-SK"/>
              </w:rPr>
            </w:pPr>
            <w:r w:rsidRPr="00F3455B">
              <w:rPr>
                <w:rFonts w:ascii="Times New Roman" w:eastAsia="Times New Roman" w:hAnsi="Times New Roman" w:cs="Times New Roman"/>
                <w:color w:val="000000"/>
                <w:sz w:val="20"/>
                <w:szCs w:val="20"/>
                <w:lang w:eastAsia="sk-SK"/>
              </w:rPr>
              <w:t>0</w:t>
            </w:r>
          </w:p>
        </w:tc>
      </w:tr>
      <w:tr w:rsidR="00B1197B" w:rsidRPr="00F3455B" w14:paraId="6A0C23E1" w14:textId="77777777" w:rsidTr="00F3455B">
        <w:trPr>
          <w:cantSplit/>
          <w:trHeight w:val="2040"/>
        </w:trPr>
        <w:tc>
          <w:tcPr>
            <w:tcW w:w="0" w:type="auto"/>
            <w:tcBorders>
              <w:top w:val="nil"/>
              <w:left w:val="single" w:sz="4" w:space="0" w:color="auto"/>
              <w:bottom w:val="single" w:sz="4" w:space="0" w:color="auto"/>
              <w:right w:val="single" w:sz="4" w:space="0" w:color="auto"/>
            </w:tcBorders>
            <w:vAlign w:val="center"/>
            <w:hideMark/>
          </w:tcPr>
          <w:p w14:paraId="790BF67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80</w:t>
            </w:r>
          </w:p>
        </w:tc>
        <w:tc>
          <w:tcPr>
            <w:tcW w:w="0" w:type="auto"/>
            <w:tcBorders>
              <w:top w:val="nil"/>
              <w:left w:val="nil"/>
              <w:bottom w:val="single" w:sz="4" w:space="0" w:color="auto"/>
              <w:right w:val="single" w:sz="4" w:space="0" w:color="auto"/>
            </w:tcBorders>
            <w:vAlign w:val="center"/>
            <w:hideMark/>
          </w:tcPr>
          <w:p w14:paraId="5AFB6D2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stanovenie poplatku za udelenie predchádzajúceho súhlasu na použitie korekcie volatility príslušnej časovej štruktúry bezrizikovej úrokovej miery podľa § 42 ods. 1 zákona o poisťovníctve (špecifický symbol 3334)</w:t>
            </w:r>
          </w:p>
        </w:tc>
        <w:tc>
          <w:tcPr>
            <w:tcW w:w="0" w:type="auto"/>
            <w:tcBorders>
              <w:top w:val="nil"/>
              <w:left w:val="nil"/>
              <w:bottom w:val="single" w:sz="4" w:space="0" w:color="auto"/>
              <w:right w:val="single" w:sz="4" w:space="0" w:color="auto"/>
            </w:tcBorders>
            <w:vAlign w:val="center"/>
            <w:hideMark/>
          </w:tcPr>
          <w:p w14:paraId="7A96577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39/2015 Z. z. v znení zákona č. .../2026 Z. z.</w:t>
            </w:r>
          </w:p>
        </w:tc>
        <w:tc>
          <w:tcPr>
            <w:tcW w:w="0" w:type="auto"/>
            <w:tcBorders>
              <w:top w:val="nil"/>
              <w:left w:val="nil"/>
              <w:bottom w:val="single" w:sz="4" w:space="0" w:color="auto"/>
              <w:right w:val="single" w:sz="4" w:space="0" w:color="auto"/>
            </w:tcBorders>
            <w:vAlign w:val="center"/>
            <w:hideMark/>
          </w:tcPr>
          <w:p w14:paraId="74A741B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77 ods. 1 písm. w)</w:t>
            </w:r>
          </w:p>
        </w:tc>
        <w:tc>
          <w:tcPr>
            <w:tcW w:w="0" w:type="auto"/>
            <w:tcBorders>
              <w:top w:val="nil"/>
              <w:left w:val="nil"/>
              <w:bottom w:val="single" w:sz="4" w:space="0" w:color="auto"/>
              <w:right w:val="single" w:sz="4" w:space="0" w:color="auto"/>
            </w:tcBorders>
            <w:vAlign w:val="center"/>
            <w:hideMark/>
          </w:tcPr>
          <w:p w14:paraId="4F909AC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nil"/>
              <w:left w:val="nil"/>
              <w:bottom w:val="single" w:sz="4" w:space="0" w:color="auto"/>
              <w:right w:val="single" w:sz="4" w:space="0" w:color="auto"/>
            </w:tcBorders>
            <w:vAlign w:val="center"/>
            <w:hideMark/>
          </w:tcPr>
          <w:p w14:paraId="798F0FB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30.01.27</w:t>
            </w:r>
          </w:p>
        </w:tc>
        <w:tc>
          <w:tcPr>
            <w:tcW w:w="0" w:type="auto"/>
            <w:tcBorders>
              <w:top w:val="nil"/>
              <w:left w:val="nil"/>
              <w:bottom w:val="single" w:sz="4" w:space="0" w:color="auto"/>
              <w:right w:val="single" w:sz="4" w:space="0" w:color="auto"/>
            </w:tcBorders>
            <w:vAlign w:val="center"/>
            <w:hideMark/>
          </w:tcPr>
          <w:p w14:paraId="005B0BF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poisťovne, zaisťovne, pobočky zahraničných poisťovní a pobočky zahraničných zaisťovní</w:t>
            </w:r>
          </w:p>
        </w:tc>
        <w:tc>
          <w:tcPr>
            <w:tcW w:w="0" w:type="auto"/>
            <w:tcBorders>
              <w:top w:val="nil"/>
              <w:left w:val="nil"/>
              <w:bottom w:val="single" w:sz="4" w:space="0" w:color="auto"/>
              <w:right w:val="single" w:sz="4" w:space="0" w:color="auto"/>
            </w:tcBorders>
            <w:vAlign w:val="center"/>
            <w:hideMark/>
          </w:tcPr>
          <w:p w14:paraId="3FE6E1F7"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9 </w:t>
            </w:r>
          </w:p>
        </w:tc>
        <w:tc>
          <w:tcPr>
            <w:tcW w:w="0" w:type="auto"/>
            <w:tcBorders>
              <w:top w:val="nil"/>
              <w:left w:val="nil"/>
              <w:bottom w:val="single" w:sz="4" w:space="0" w:color="auto"/>
              <w:right w:val="single" w:sz="4" w:space="0" w:color="auto"/>
            </w:tcBorders>
            <w:vAlign w:val="center"/>
            <w:hideMark/>
          </w:tcPr>
          <w:p w14:paraId="1777956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88</w:t>
            </w:r>
          </w:p>
        </w:tc>
        <w:tc>
          <w:tcPr>
            <w:tcW w:w="0" w:type="auto"/>
            <w:tcBorders>
              <w:top w:val="nil"/>
              <w:left w:val="nil"/>
              <w:bottom w:val="single" w:sz="4" w:space="0" w:color="auto"/>
              <w:right w:val="single" w:sz="4" w:space="0" w:color="auto"/>
            </w:tcBorders>
            <w:vAlign w:val="center"/>
            <w:hideMark/>
          </w:tcPr>
          <w:p w14:paraId="61AB5C0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788</w:t>
            </w:r>
          </w:p>
        </w:tc>
        <w:tc>
          <w:tcPr>
            <w:tcW w:w="0" w:type="auto"/>
            <w:tcBorders>
              <w:top w:val="nil"/>
              <w:left w:val="nil"/>
              <w:bottom w:val="single" w:sz="4" w:space="0" w:color="auto"/>
              <w:right w:val="single" w:sz="4" w:space="0" w:color="auto"/>
            </w:tcBorders>
            <w:vAlign w:val="center"/>
            <w:hideMark/>
          </w:tcPr>
          <w:p w14:paraId="05F6103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4BD91D7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788</w:t>
            </w:r>
          </w:p>
        </w:tc>
        <w:tc>
          <w:tcPr>
            <w:tcW w:w="0" w:type="auto"/>
            <w:tcBorders>
              <w:top w:val="nil"/>
              <w:left w:val="nil"/>
              <w:bottom w:val="single" w:sz="4" w:space="0" w:color="auto"/>
              <w:right w:val="single" w:sz="4" w:space="0" w:color="auto"/>
            </w:tcBorders>
            <w:vAlign w:val="center"/>
            <w:hideMark/>
          </w:tcPr>
          <w:p w14:paraId="634C585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055CBB3B" w14:textId="77777777" w:rsidTr="00AD56A0">
        <w:trPr>
          <w:cantSplit/>
          <w:trHeight w:val="2040"/>
        </w:trPr>
        <w:tc>
          <w:tcPr>
            <w:tcW w:w="0" w:type="auto"/>
            <w:tcBorders>
              <w:top w:val="single" w:sz="4" w:space="0" w:color="auto"/>
              <w:left w:val="single" w:sz="4" w:space="0" w:color="auto"/>
              <w:bottom w:val="single" w:sz="4" w:space="0" w:color="auto"/>
              <w:right w:val="single" w:sz="4" w:space="0" w:color="auto"/>
            </w:tcBorders>
            <w:vAlign w:val="center"/>
            <w:hideMark/>
          </w:tcPr>
          <w:p w14:paraId="6EC96B5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lastRenderedPageBreak/>
              <w:t>81</w:t>
            </w:r>
          </w:p>
        </w:tc>
        <w:tc>
          <w:tcPr>
            <w:tcW w:w="0" w:type="auto"/>
            <w:tcBorders>
              <w:top w:val="single" w:sz="4" w:space="0" w:color="auto"/>
              <w:left w:val="nil"/>
              <w:bottom w:val="single" w:sz="4" w:space="0" w:color="auto"/>
              <w:right w:val="single" w:sz="4" w:space="0" w:color="auto"/>
            </w:tcBorders>
            <w:vAlign w:val="center"/>
            <w:hideMark/>
          </w:tcPr>
          <w:p w14:paraId="4028026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stanovenie poplatku za udelenie predchádzajúceho súhlasu na použitie korekcie na rizikovo upravenú prirážku pre menu podľa § 42 ods. 3 zákona o poisťovníctve (špecifický symbol 3335)</w:t>
            </w:r>
          </w:p>
        </w:tc>
        <w:tc>
          <w:tcPr>
            <w:tcW w:w="0" w:type="auto"/>
            <w:tcBorders>
              <w:top w:val="single" w:sz="4" w:space="0" w:color="auto"/>
              <w:left w:val="nil"/>
              <w:bottom w:val="single" w:sz="4" w:space="0" w:color="auto"/>
              <w:right w:val="single" w:sz="4" w:space="0" w:color="auto"/>
            </w:tcBorders>
            <w:vAlign w:val="center"/>
            <w:hideMark/>
          </w:tcPr>
          <w:p w14:paraId="59F232B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39/2015 Z. z. v znení zákona č. .../2026 Z. z.</w:t>
            </w:r>
          </w:p>
        </w:tc>
        <w:tc>
          <w:tcPr>
            <w:tcW w:w="0" w:type="auto"/>
            <w:tcBorders>
              <w:top w:val="single" w:sz="4" w:space="0" w:color="auto"/>
              <w:left w:val="nil"/>
              <w:bottom w:val="single" w:sz="4" w:space="0" w:color="auto"/>
              <w:right w:val="single" w:sz="4" w:space="0" w:color="auto"/>
            </w:tcBorders>
            <w:vAlign w:val="center"/>
            <w:hideMark/>
          </w:tcPr>
          <w:p w14:paraId="3B9080E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77 ods. 1 písm. x)</w:t>
            </w:r>
          </w:p>
        </w:tc>
        <w:tc>
          <w:tcPr>
            <w:tcW w:w="0" w:type="auto"/>
            <w:tcBorders>
              <w:top w:val="single" w:sz="4" w:space="0" w:color="auto"/>
              <w:left w:val="nil"/>
              <w:bottom w:val="single" w:sz="4" w:space="0" w:color="auto"/>
              <w:right w:val="single" w:sz="4" w:space="0" w:color="auto"/>
            </w:tcBorders>
            <w:vAlign w:val="center"/>
            <w:hideMark/>
          </w:tcPr>
          <w:p w14:paraId="31AD0EE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5720B11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30.01.27</w:t>
            </w:r>
          </w:p>
        </w:tc>
        <w:tc>
          <w:tcPr>
            <w:tcW w:w="0" w:type="auto"/>
            <w:tcBorders>
              <w:top w:val="single" w:sz="4" w:space="0" w:color="auto"/>
              <w:left w:val="nil"/>
              <w:bottom w:val="single" w:sz="4" w:space="0" w:color="auto"/>
              <w:right w:val="single" w:sz="4" w:space="0" w:color="auto"/>
            </w:tcBorders>
            <w:vAlign w:val="center"/>
            <w:hideMark/>
          </w:tcPr>
          <w:p w14:paraId="1C36BA0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poisťovne, zaisťovne, pobočky zahraničných poisťovní a pobočky zahraničných zaisťovní</w:t>
            </w:r>
          </w:p>
        </w:tc>
        <w:tc>
          <w:tcPr>
            <w:tcW w:w="0" w:type="auto"/>
            <w:tcBorders>
              <w:top w:val="single" w:sz="4" w:space="0" w:color="auto"/>
              <w:left w:val="nil"/>
              <w:bottom w:val="single" w:sz="4" w:space="0" w:color="auto"/>
              <w:right w:val="single" w:sz="4" w:space="0" w:color="auto"/>
            </w:tcBorders>
            <w:vAlign w:val="center"/>
            <w:hideMark/>
          </w:tcPr>
          <w:p w14:paraId="7A8AEC30"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9 </w:t>
            </w:r>
          </w:p>
        </w:tc>
        <w:tc>
          <w:tcPr>
            <w:tcW w:w="0" w:type="auto"/>
            <w:tcBorders>
              <w:top w:val="single" w:sz="4" w:space="0" w:color="auto"/>
              <w:left w:val="nil"/>
              <w:bottom w:val="single" w:sz="4" w:space="0" w:color="auto"/>
              <w:right w:val="single" w:sz="4" w:space="0" w:color="auto"/>
            </w:tcBorders>
            <w:vAlign w:val="center"/>
            <w:hideMark/>
          </w:tcPr>
          <w:p w14:paraId="3E93EB3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88</w:t>
            </w:r>
          </w:p>
        </w:tc>
        <w:tc>
          <w:tcPr>
            <w:tcW w:w="0" w:type="auto"/>
            <w:tcBorders>
              <w:top w:val="single" w:sz="4" w:space="0" w:color="auto"/>
              <w:left w:val="nil"/>
              <w:bottom w:val="single" w:sz="4" w:space="0" w:color="auto"/>
              <w:right w:val="single" w:sz="4" w:space="0" w:color="auto"/>
            </w:tcBorders>
            <w:vAlign w:val="center"/>
            <w:hideMark/>
          </w:tcPr>
          <w:p w14:paraId="4BB4827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788</w:t>
            </w:r>
          </w:p>
        </w:tc>
        <w:tc>
          <w:tcPr>
            <w:tcW w:w="0" w:type="auto"/>
            <w:tcBorders>
              <w:top w:val="single" w:sz="4" w:space="0" w:color="auto"/>
              <w:left w:val="nil"/>
              <w:bottom w:val="single" w:sz="4" w:space="0" w:color="auto"/>
              <w:right w:val="single" w:sz="4" w:space="0" w:color="auto"/>
            </w:tcBorders>
            <w:vAlign w:val="center"/>
            <w:hideMark/>
          </w:tcPr>
          <w:p w14:paraId="66FDDA0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33A1633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788</w:t>
            </w:r>
          </w:p>
        </w:tc>
        <w:tc>
          <w:tcPr>
            <w:tcW w:w="0" w:type="auto"/>
            <w:tcBorders>
              <w:top w:val="single" w:sz="4" w:space="0" w:color="auto"/>
              <w:left w:val="nil"/>
              <w:bottom w:val="single" w:sz="4" w:space="0" w:color="auto"/>
              <w:right w:val="single" w:sz="4" w:space="0" w:color="auto"/>
            </w:tcBorders>
            <w:vAlign w:val="center"/>
            <w:hideMark/>
          </w:tcPr>
          <w:p w14:paraId="5167B1F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3BE05B00" w14:textId="77777777" w:rsidTr="00F3455B">
        <w:trPr>
          <w:cantSplit/>
          <w:trHeight w:val="2040"/>
        </w:trPr>
        <w:tc>
          <w:tcPr>
            <w:tcW w:w="0" w:type="auto"/>
            <w:tcBorders>
              <w:top w:val="nil"/>
              <w:left w:val="single" w:sz="4" w:space="0" w:color="auto"/>
              <w:bottom w:val="single" w:sz="4" w:space="0" w:color="auto"/>
              <w:right w:val="single" w:sz="4" w:space="0" w:color="auto"/>
            </w:tcBorders>
            <w:vAlign w:val="center"/>
            <w:hideMark/>
          </w:tcPr>
          <w:p w14:paraId="51876A7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82</w:t>
            </w:r>
          </w:p>
        </w:tc>
        <w:tc>
          <w:tcPr>
            <w:tcW w:w="0" w:type="auto"/>
            <w:tcBorders>
              <w:top w:val="nil"/>
              <w:left w:val="nil"/>
              <w:bottom w:val="single" w:sz="4" w:space="0" w:color="auto"/>
              <w:right w:val="single" w:sz="4" w:space="0" w:color="auto"/>
            </w:tcBorders>
            <w:vAlign w:val="center"/>
            <w:hideMark/>
          </w:tcPr>
          <w:p w14:paraId="530C8BF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stanovenie poplatku za udelenie predchádzajúceho súhlasu na uplatňovanie mechanizmu postupného zavádzania extrapolácie podľa § 205d ods. 4 zákona o poisťovníctve (špecifický symbol 3336)</w:t>
            </w:r>
          </w:p>
        </w:tc>
        <w:tc>
          <w:tcPr>
            <w:tcW w:w="0" w:type="auto"/>
            <w:tcBorders>
              <w:top w:val="nil"/>
              <w:left w:val="nil"/>
              <w:bottom w:val="single" w:sz="4" w:space="0" w:color="auto"/>
              <w:right w:val="single" w:sz="4" w:space="0" w:color="auto"/>
            </w:tcBorders>
            <w:vAlign w:val="center"/>
            <w:hideMark/>
          </w:tcPr>
          <w:p w14:paraId="2362145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39/2015 Z. z. v znení zákona č. .../2026 Z. z.</w:t>
            </w:r>
          </w:p>
        </w:tc>
        <w:tc>
          <w:tcPr>
            <w:tcW w:w="0" w:type="auto"/>
            <w:tcBorders>
              <w:top w:val="nil"/>
              <w:left w:val="nil"/>
              <w:bottom w:val="single" w:sz="4" w:space="0" w:color="auto"/>
              <w:right w:val="single" w:sz="4" w:space="0" w:color="auto"/>
            </w:tcBorders>
            <w:vAlign w:val="center"/>
            <w:hideMark/>
          </w:tcPr>
          <w:p w14:paraId="04B31B6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77 ods. 1 písm. y)</w:t>
            </w:r>
          </w:p>
        </w:tc>
        <w:tc>
          <w:tcPr>
            <w:tcW w:w="0" w:type="auto"/>
            <w:tcBorders>
              <w:top w:val="nil"/>
              <w:left w:val="nil"/>
              <w:bottom w:val="single" w:sz="4" w:space="0" w:color="auto"/>
              <w:right w:val="single" w:sz="4" w:space="0" w:color="auto"/>
            </w:tcBorders>
            <w:vAlign w:val="center"/>
            <w:hideMark/>
          </w:tcPr>
          <w:p w14:paraId="662E46E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nil"/>
              <w:left w:val="nil"/>
              <w:bottom w:val="single" w:sz="4" w:space="0" w:color="auto"/>
              <w:right w:val="single" w:sz="4" w:space="0" w:color="auto"/>
            </w:tcBorders>
            <w:vAlign w:val="center"/>
            <w:hideMark/>
          </w:tcPr>
          <w:p w14:paraId="186316F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30.01.27</w:t>
            </w:r>
          </w:p>
        </w:tc>
        <w:tc>
          <w:tcPr>
            <w:tcW w:w="0" w:type="auto"/>
            <w:tcBorders>
              <w:top w:val="nil"/>
              <w:left w:val="nil"/>
              <w:bottom w:val="single" w:sz="4" w:space="0" w:color="auto"/>
              <w:right w:val="single" w:sz="4" w:space="0" w:color="auto"/>
            </w:tcBorders>
            <w:vAlign w:val="center"/>
            <w:hideMark/>
          </w:tcPr>
          <w:p w14:paraId="2C75A02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poisťovne, zaisťovne, pobočky zahraničných poisťovní a pobočky zahraničných zaisťovní</w:t>
            </w:r>
          </w:p>
        </w:tc>
        <w:tc>
          <w:tcPr>
            <w:tcW w:w="0" w:type="auto"/>
            <w:tcBorders>
              <w:top w:val="nil"/>
              <w:left w:val="nil"/>
              <w:bottom w:val="single" w:sz="4" w:space="0" w:color="auto"/>
              <w:right w:val="single" w:sz="4" w:space="0" w:color="auto"/>
            </w:tcBorders>
            <w:vAlign w:val="center"/>
            <w:hideMark/>
          </w:tcPr>
          <w:p w14:paraId="378EEE5C"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9 </w:t>
            </w:r>
          </w:p>
        </w:tc>
        <w:tc>
          <w:tcPr>
            <w:tcW w:w="0" w:type="auto"/>
            <w:tcBorders>
              <w:top w:val="nil"/>
              <w:left w:val="nil"/>
              <w:bottom w:val="single" w:sz="4" w:space="0" w:color="auto"/>
              <w:right w:val="single" w:sz="4" w:space="0" w:color="auto"/>
            </w:tcBorders>
            <w:vAlign w:val="center"/>
            <w:hideMark/>
          </w:tcPr>
          <w:p w14:paraId="015B1D9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88</w:t>
            </w:r>
          </w:p>
        </w:tc>
        <w:tc>
          <w:tcPr>
            <w:tcW w:w="0" w:type="auto"/>
            <w:tcBorders>
              <w:top w:val="nil"/>
              <w:left w:val="nil"/>
              <w:bottom w:val="single" w:sz="4" w:space="0" w:color="auto"/>
              <w:right w:val="single" w:sz="4" w:space="0" w:color="auto"/>
            </w:tcBorders>
            <w:vAlign w:val="center"/>
            <w:hideMark/>
          </w:tcPr>
          <w:p w14:paraId="1F8BA98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788</w:t>
            </w:r>
          </w:p>
        </w:tc>
        <w:tc>
          <w:tcPr>
            <w:tcW w:w="0" w:type="auto"/>
            <w:tcBorders>
              <w:top w:val="nil"/>
              <w:left w:val="nil"/>
              <w:bottom w:val="single" w:sz="4" w:space="0" w:color="auto"/>
              <w:right w:val="single" w:sz="4" w:space="0" w:color="auto"/>
            </w:tcBorders>
            <w:vAlign w:val="center"/>
            <w:hideMark/>
          </w:tcPr>
          <w:p w14:paraId="4BF2D72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3E34492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788</w:t>
            </w:r>
          </w:p>
        </w:tc>
        <w:tc>
          <w:tcPr>
            <w:tcW w:w="0" w:type="auto"/>
            <w:tcBorders>
              <w:top w:val="nil"/>
              <w:left w:val="nil"/>
              <w:bottom w:val="single" w:sz="4" w:space="0" w:color="auto"/>
              <w:right w:val="single" w:sz="4" w:space="0" w:color="auto"/>
            </w:tcBorders>
            <w:vAlign w:val="center"/>
            <w:hideMark/>
          </w:tcPr>
          <w:p w14:paraId="76E7EAE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781EAB35" w14:textId="77777777" w:rsidTr="00F3455B">
        <w:trPr>
          <w:cantSplit/>
          <w:trHeight w:val="2040"/>
        </w:trPr>
        <w:tc>
          <w:tcPr>
            <w:tcW w:w="0" w:type="auto"/>
            <w:tcBorders>
              <w:top w:val="nil"/>
              <w:left w:val="single" w:sz="4" w:space="0" w:color="auto"/>
              <w:bottom w:val="single" w:sz="4" w:space="0" w:color="auto"/>
              <w:right w:val="single" w:sz="4" w:space="0" w:color="auto"/>
            </w:tcBorders>
            <w:vAlign w:val="center"/>
            <w:hideMark/>
          </w:tcPr>
          <w:p w14:paraId="290FF55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83</w:t>
            </w:r>
          </w:p>
        </w:tc>
        <w:tc>
          <w:tcPr>
            <w:tcW w:w="0" w:type="auto"/>
            <w:tcBorders>
              <w:top w:val="nil"/>
              <w:left w:val="nil"/>
              <w:bottom w:val="single" w:sz="4" w:space="0" w:color="auto"/>
              <w:right w:val="single" w:sz="4" w:space="0" w:color="auto"/>
            </w:tcBorders>
            <w:vAlign w:val="center"/>
            <w:hideMark/>
          </w:tcPr>
          <w:p w14:paraId="64445C2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stanovenie poplatku za udelenie predchádzajúceho súhlasu na predkladanie správy podľa § 79a ods. 1 zákona o poisťovníctve raz za päť rokov (špecifický symbol 3337)</w:t>
            </w:r>
          </w:p>
        </w:tc>
        <w:tc>
          <w:tcPr>
            <w:tcW w:w="0" w:type="auto"/>
            <w:tcBorders>
              <w:top w:val="nil"/>
              <w:left w:val="nil"/>
              <w:bottom w:val="single" w:sz="4" w:space="0" w:color="auto"/>
              <w:right w:val="single" w:sz="4" w:space="0" w:color="auto"/>
            </w:tcBorders>
            <w:vAlign w:val="center"/>
            <w:hideMark/>
          </w:tcPr>
          <w:p w14:paraId="2D912C6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39/2015 Z. z. v znení zákona č. .../2026 Z. z.</w:t>
            </w:r>
          </w:p>
        </w:tc>
        <w:tc>
          <w:tcPr>
            <w:tcW w:w="0" w:type="auto"/>
            <w:tcBorders>
              <w:top w:val="nil"/>
              <w:left w:val="nil"/>
              <w:bottom w:val="single" w:sz="4" w:space="0" w:color="auto"/>
              <w:right w:val="single" w:sz="4" w:space="0" w:color="auto"/>
            </w:tcBorders>
            <w:vAlign w:val="center"/>
            <w:hideMark/>
          </w:tcPr>
          <w:p w14:paraId="356211A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79a ods. 2 písm. a)</w:t>
            </w:r>
          </w:p>
        </w:tc>
        <w:tc>
          <w:tcPr>
            <w:tcW w:w="0" w:type="auto"/>
            <w:tcBorders>
              <w:top w:val="nil"/>
              <w:left w:val="nil"/>
              <w:bottom w:val="single" w:sz="4" w:space="0" w:color="auto"/>
              <w:right w:val="single" w:sz="4" w:space="0" w:color="auto"/>
            </w:tcBorders>
            <w:vAlign w:val="center"/>
            <w:hideMark/>
          </w:tcPr>
          <w:p w14:paraId="0E4C65D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nil"/>
              <w:left w:val="nil"/>
              <w:bottom w:val="single" w:sz="4" w:space="0" w:color="auto"/>
              <w:right w:val="single" w:sz="4" w:space="0" w:color="auto"/>
            </w:tcBorders>
            <w:vAlign w:val="center"/>
            <w:hideMark/>
          </w:tcPr>
          <w:p w14:paraId="23EC0D6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30.01.27</w:t>
            </w:r>
          </w:p>
        </w:tc>
        <w:tc>
          <w:tcPr>
            <w:tcW w:w="0" w:type="auto"/>
            <w:tcBorders>
              <w:top w:val="nil"/>
              <w:left w:val="nil"/>
              <w:bottom w:val="single" w:sz="4" w:space="0" w:color="auto"/>
              <w:right w:val="single" w:sz="4" w:space="0" w:color="auto"/>
            </w:tcBorders>
            <w:vAlign w:val="center"/>
            <w:hideMark/>
          </w:tcPr>
          <w:p w14:paraId="31CBCF0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poisťovne, zaisťovne, pobočky zahraničných poisťovní a pobočky zahraničných zaisťovní</w:t>
            </w:r>
          </w:p>
        </w:tc>
        <w:tc>
          <w:tcPr>
            <w:tcW w:w="0" w:type="auto"/>
            <w:tcBorders>
              <w:top w:val="nil"/>
              <w:left w:val="nil"/>
              <w:bottom w:val="single" w:sz="4" w:space="0" w:color="auto"/>
              <w:right w:val="single" w:sz="4" w:space="0" w:color="auto"/>
            </w:tcBorders>
            <w:vAlign w:val="center"/>
            <w:hideMark/>
          </w:tcPr>
          <w:p w14:paraId="72D26E33"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9 </w:t>
            </w:r>
          </w:p>
        </w:tc>
        <w:tc>
          <w:tcPr>
            <w:tcW w:w="0" w:type="auto"/>
            <w:tcBorders>
              <w:top w:val="nil"/>
              <w:left w:val="nil"/>
              <w:bottom w:val="single" w:sz="4" w:space="0" w:color="auto"/>
              <w:right w:val="single" w:sz="4" w:space="0" w:color="auto"/>
            </w:tcBorders>
            <w:vAlign w:val="center"/>
            <w:hideMark/>
          </w:tcPr>
          <w:p w14:paraId="0DDA83E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38</w:t>
            </w:r>
          </w:p>
        </w:tc>
        <w:tc>
          <w:tcPr>
            <w:tcW w:w="0" w:type="auto"/>
            <w:tcBorders>
              <w:top w:val="nil"/>
              <w:left w:val="nil"/>
              <w:bottom w:val="single" w:sz="4" w:space="0" w:color="auto"/>
              <w:right w:val="single" w:sz="4" w:space="0" w:color="auto"/>
            </w:tcBorders>
            <w:vAlign w:val="center"/>
            <w:hideMark/>
          </w:tcPr>
          <w:p w14:paraId="1302113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338</w:t>
            </w:r>
          </w:p>
        </w:tc>
        <w:tc>
          <w:tcPr>
            <w:tcW w:w="0" w:type="auto"/>
            <w:tcBorders>
              <w:top w:val="nil"/>
              <w:left w:val="nil"/>
              <w:bottom w:val="single" w:sz="4" w:space="0" w:color="auto"/>
              <w:right w:val="single" w:sz="4" w:space="0" w:color="auto"/>
            </w:tcBorders>
            <w:vAlign w:val="center"/>
            <w:hideMark/>
          </w:tcPr>
          <w:p w14:paraId="515AAFC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1F169F3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338</w:t>
            </w:r>
          </w:p>
        </w:tc>
        <w:tc>
          <w:tcPr>
            <w:tcW w:w="0" w:type="auto"/>
            <w:tcBorders>
              <w:top w:val="nil"/>
              <w:left w:val="nil"/>
              <w:bottom w:val="single" w:sz="4" w:space="0" w:color="auto"/>
              <w:right w:val="single" w:sz="4" w:space="0" w:color="auto"/>
            </w:tcBorders>
            <w:vAlign w:val="center"/>
            <w:hideMark/>
          </w:tcPr>
          <w:p w14:paraId="41E5E73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627CE7C1" w14:textId="77777777" w:rsidTr="00F3455B">
        <w:trPr>
          <w:cantSplit/>
          <w:trHeight w:val="1020"/>
        </w:trPr>
        <w:tc>
          <w:tcPr>
            <w:tcW w:w="0" w:type="auto"/>
            <w:tcBorders>
              <w:top w:val="nil"/>
              <w:left w:val="single" w:sz="4" w:space="0" w:color="auto"/>
              <w:bottom w:val="single" w:sz="4" w:space="0" w:color="auto"/>
              <w:right w:val="single" w:sz="4" w:space="0" w:color="auto"/>
            </w:tcBorders>
            <w:vAlign w:val="center"/>
            <w:hideMark/>
          </w:tcPr>
          <w:p w14:paraId="4B9B0E8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84</w:t>
            </w:r>
          </w:p>
        </w:tc>
        <w:tc>
          <w:tcPr>
            <w:tcW w:w="0" w:type="auto"/>
            <w:tcBorders>
              <w:top w:val="nil"/>
              <w:left w:val="nil"/>
              <w:bottom w:val="single" w:sz="4" w:space="0" w:color="auto"/>
              <w:right w:val="single" w:sz="4" w:space="0" w:color="auto"/>
            </w:tcBorders>
            <w:vAlign w:val="center"/>
            <w:hideMark/>
          </w:tcPr>
          <w:p w14:paraId="16886D9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stanovenie poplatku za vydanie stanoviska k použitiu navrhovaných opatrení v oblasti proporcionality, a to za každé navrhované opatrenie (špecifický symbol 3514)</w:t>
            </w:r>
          </w:p>
        </w:tc>
        <w:tc>
          <w:tcPr>
            <w:tcW w:w="0" w:type="auto"/>
            <w:tcBorders>
              <w:top w:val="nil"/>
              <w:left w:val="nil"/>
              <w:bottom w:val="single" w:sz="4" w:space="0" w:color="auto"/>
              <w:right w:val="single" w:sz="4" w:space="0" w:color="auto"/>
            </w:tcBorders>
            <w:vAlign w:val="center"/>
            <w:hideMark/>
          </w:tcPr>
          <w:p w14:paraId="0AE1F87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39/2015 Z. z. v znení zákona č. .../2026 Z. z.</w:t>
            </w:r>
          </w:p>
        </w:tc>
        <w:tc>
          <w:tcPr>
            <w:tcW w:w="0" w:type="auto"/>
            <w:tcBorders>
              <w:top w:val="nil"/>
              <w:left w:val="nil"/>
              <w:bottom w:val="single" w:sz="4" w:space="0" w:color="auto"/>
              <w:right w:val="single" w:sz="4" w:space="0" w:color="auto"/>
            </w:tcBorders>
            <w:vAlign w:val="center"/>
            <w:hideMark/>
          </w:tcPr>
          <w:p w14:paraId="1A053A8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70e ods. 3</w:t>
            </w:r>
          </w:p>
        </w:tc>
        <w:tc>
          <w:tcPr>
            <w:tcW w:w="0" w:type="auto"/>
            <w:tcBorders>
              <w:top w:val="nil"/>
              <w:left w:val="nil"/>
              <w:bottom w:val="single" w:sz="4" w:space="0" w:color="auto"/>
              <w:right w:val="single" w:sz="4" w:space="0" w:color="auto"/>
            </w:tcBorders>
            <w:vAlign w:val="center"/>
            <w:hideMark/>
          </w:tcPr>
          <w:p w14:paraId="55A241D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nil"/>
              <w:left w:val="nil"/>
              <w:bottom w:val="single" w:sz="4" w:space="0" w:color="auto"/>
              <w:right w:val="single" w:sz="4" w:space="0" w:color="auto"/>
            </w:tcBorders>
            <w:vAlign w:val="center"/>
            <w:hideMark/>
          </w:tcPr>
          <w:p w14:paraId="4CC4291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30.01.27</w:t>
            </w:r>
          </w:p>
        </w:tc>
        <w:tc>
          <w:tcPr>
            <w:tcW w:w="0" w:type="auto"/>
            <w:tcBorders>
              <w:top w:val="nil"/>
              <w:left w:val="nil"/>
              <w:bottom w:val="single" w:sz="4" w:space="0" w:color="auto"/>
              <w:right w:val="single" w:sz="4" w:space="0" w:color="auto"/>
            </w:tcBorders>
            <w:vAlign w:val="center"/>
            <w:hideMark/>
          </w:tcPr>
          <w:p w14:paraId="1C6A729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poisťovne a zaisťovne</w:t>
            </w:r>
          </w:p>
        </w:tc>
        <w:tc>
          <w:tcPr>
            <w:tcW w:w="0" w:type="auto"/>
            <w:tcBorders>
              <w:top w:val="nil"/>
              <w:left w:val="nil"/>
              <w:bottom w:val="single" w:sz="4" w:space="0" w:color="auto"/>
              <w:right w:val="single" w:sz="4" w:space="0" w:color="auto"/>
            </w:tcBorders>
            <w:vAlign w:val="center"/>
            <w:hideMark/>
          </w:tcPr>
          <w:p w14:paraId="3AB9D228"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9 </w:t>
            </w:r>
          </w:p>
        </w:tc>
        <w:tc>
          <w:tcPr>
            <w:tcW w:w="0" w:type="auto"/>
            <w:tcBorders>
              <w:top w:val="nil"/>
              <w:left w:val="nil"/>
              <w:bottom w:val="single" w:sz="4" w:space="0" w:color="auto"/>
              <w:right w:val="single" w:sz="4" w:space="0" w:color="auto"/>
            </w:tcBorders>
            <w:vAlign w:val="center"/>
            <w:hideMark/>
          </w:tcPr>
          <w:p w14:paraId="05C02C3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50</w:t>
            </w:r>
          </w:p>
        </w:tc>
        <w:tc>
          <w:tcPr>
            <w:tcW w:w="0" w:type="auto"/>
            <w:tcBorders>
              <w:top w:val="nil"/>
              <w:left w:val="nil"/>
              <w:bottom w:val="single" w:sz="4" w:space="0" w:color="auto"/>
              <w:right w:val="single" w:sz="4" w:space="0" w:color="auto"/>
            </w:tcBorders>
            <w:vAlign w:val="center"/>
            <w:hideMark/>
          </w:tcPr>
          <w:p w14:paraId="386BF73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450</w:t>
            </w:r>
          </w:p>
        </w:tc>
        <w:tc>
          <w:tcPr>
            <w:tcW w:w="0" w:type="auto"/>
            <w:tcBorders>
              <w:top w:val="nil"/>
              <w:left w:val="nil"/>
              <w:bottom w:val="single" w:sz="4" w:space="0" w:color="auto"/>
              <w:right w:val="single" w:sz="4" w:space="0" w:color="auto"/>
            </w:tcBorders>
            <w:vAlign w:val="center"/>
            <w:hideMark/>
          </w:tcPr>
          <w:p w14:paraId="20F8DC2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06222A0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450</w:t>
            </w:r>
          </w:p>
        </w:tc>
        <w:tc>
          <w:tcPr>
            <w:tcW w:w="0" w:type="auto"/>
            <w:tcBorders>
              <w:top w:val="nil"/>
              <w:left w:val="nil"/>
              <w:bottom w:val="single" w:sz="4" w:space="0" w:color="auto"/>
              <w:right w:val="single" w:sz="4" w:space="0" w:color="auto"/>
            </w:tcBorders>
            <w:vAlign w:val="center"/>
            <w:hideMark/>
          </w:tcPr>
          <w:p w14:paraId="67B2CC9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419D1769" w14:textId="77777777" w:rsidTr="00AD56A0">
        <w:trPr>
          <w:cantSplit/>
          <w:trHeight w:val="2040"/>
        </w:trPr>
        <w:tc>
          <w:tcPr>
            <w:tcW w:w="0" w:type="auto"/>
            <w:tcBorders>
              <w:top w:val="single" w:sz="4" w:space="0" w:color="auto"/>
              <w:left w:val="single" w:sz="4" w:space="0" w:color="auto"/>
              <w:bottom w:val="single" w:sz="4" w:space="0" w:color="auto"/>
              <w:right w:val="single" w:sz="4" w:space="0" w:color="auto"/>
            </w:tcBorders>
            <w:vAlign w:val="center"/>
            <w:hideMark/>
          </w:tcPr>
          <w:p w14:paraId="6CD3CD1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lastRenderedPageBreak/>
              <w:t>85</w:t>
            </w:r>
          </w:p>
        </w:tc>
        <w:tc>
          <w:tcPr>
            <w:tcW w:w="0" w:type="auto"/>
            <w:tcBorders>
              <w:top w:val="single" w:sz="4" w:space="0" w:color="auto"/>
              <w:left w:val="nil"/>
              <w:bottom w:val="single" w:sz="4" w:space="0" w:color="auto"/>
              <w:right w:val="single" w:sz="4" w:space="0" w:color="auto"/>
            </w:tcBorders>
            <w:vAlign w:val="center"/>
            <w:hideMark/>
          </w:tcPr>
          <w:p w14:paraId="147121B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stanovenie poplatku za vydanie stanoviska k uplatneniu zjednodušeného postupu poisťovňou s majetkovou účasťou alebo zaisťovňou s majetkovou účasťou pri majetkových účastiach v príbuzných spoločnostiach, ktoré sú nevýznamné (špecifický symbol 3515)</w:t>
            </w:r>
          </w:p>
        </w:tc>
        <w:tc>
          <w:tcPr>
            <w:tcW w:w="0" w:type="auto"/>
            <w:tcBorders>
              <w:top w:val="single" w:sz="4" w:space="0" w:color="auto"/>
              <w:left w:val="nil"/>
              <w:bottom w:val="single" w:sz="4" w:space="0" w:color="auto"/>
              <w:right w:val="single" w:sz="4" w:space="0" w:color="auto"/>
            </w:tcBorders>
            <w:vAlign w:val="center"/>
            <w:hideMark/>
          </w:tcPr>
          <w:p w14:paraId="5326277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39/2015 Z. z. v znení zákona č. .../2026 Z. z.</w:t>
            </w:r>
          </w:p>
        </w:tc>
        <w:tc>
          <w:tcPr>
            <w:tcW w:w="0" w:type="auto"/>
            <w:tcBorders>
              <w:top w:val="single" w:sz="4" w:space="0" w:color="auto"/>
              <w:left w:val="nil"/>
              <w:bottom w:val="single" w:sz="4" w:space="0" w:color="auto"/>
              <w:right w:val="single" w:sz="4" w:space="0" w:color="auto"/>
            </w:tcBorders>
            <w:vAlign w:val="center"/>
            <w:hideMark/>
          </w:tcPr>
          <w:p w14:paraId="79C5DC5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96 ods. 8</w:t>
            </w:r>
          </w:p>
        </w:tc>
        <w:tc>
          <w:tcPr>
            <w:tcW w:w="0" w:type="auto"/>
            <w:tcBorders>
              <w:top w:val="single" w:sz="4" w:space="0" w:color="auto"/>
              <w:left w:val="nil"/>
              <w:bottom w:val="single" w:sz="4" w:space="0" w:color="auto"/>
              <w:right w:val="single" w:sz="4" w:space="0" w:color="auto"/>
            </w:tcBorders>
            <w:vAlign w:val="center"/>
            <w:hideMark/>
          </w:tcPr>
          <w:p w14:paraId="36A3186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29ECDC3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30.01.27</w:t>
            </w:r>
          </w:p>
        </w:tc>
        <w:tc>
          <w:tcPr>
            <w:tcW w:w="0" w:type="auto"/>
            <w:tcBorders>
              <w:top w:val="single" w:sz="4" w:space="0" w:color="auto"/>
              <w:left w:val="nil"/>
              <w:bottom w:val="single" w:sz="4" w:space="0" w:color="auto"/>
              <w:right w:val="single" w:sz="4" w:space="0" w:color="auto"/>
            </w:tcBorders>
            <w:vAlign w:val="center"/>
            <w:hideMark/>
          </w:tcPr>
          <w:p w14:paraId="7EC858C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poisťovne, zaisťovne, pobočky zahraničných poisťovní a pobočky zahraničných zaisťovní</w:t>
            </w:r>
          </w:p>
        </w:tc>
        <w:tc>
          <w:tcPr>
            <w:tcW w:w="0" w:type="auto"/>
            <w:tcBorders>
              <w:top w:val="single" w:sz="4" w:space="0" w:color="auto"/>
              <w:left w:val="nil"/>
              <w:bottom w:val="single" w:sz="4" w:space="0" w:color="auto"/>
              <w:right w:val="single" w:sz="4" w:space="0" w:color="auto"/>
            </w:tcBorders>
            <w:vAlign w:val="center"/>
            <w:hideMark/>
          </w:tcPr>
          <w:p w14:paraId="6701E836"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9 </w:t>
            </w:r>
          </w:p>
        </w:tc>
        <w:tc>
          <w:tcPr>
            <w:tcW w:w="0" w:type="auto"/>
            <w:tcBorders>
              <w:top w:val="single" w:sz="4" w:space="0" w:color="auto"/>
              <w:left w:val="nil"/>
              <w:bottom w:val="single" w:sz="4" w:space="0" w:color="auto"/>
              <w:right w:val="single" w:sz="4" w:space="0" w:color="auto"/>
            </w:tcBorders>
            <w:vAlign w:val="center"/>
            <w:hideMark/>
          </w:tcPr>
          <w:p w14:paraId="4F36427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50</w:t>
            </w:r>
          </w:p>
        </w:tc>
        <w:tc>
          <w:tcPr>
            <w:tcW w:w="0" w:type="auto"/>
            <w:tcBorders>
              <w:top w:val="single" w:sz="4" w:space="0" w:color="auto"/>
              <w:left w:val="nil"/>
              <w:bottom w:val="single" w:sz="4" w:space="0" w:color="auto"/>
              <w:right w:val="single" w:sz="4" w:space="0" w:color="auto"/>
            </w:tcBorders>
            <w:vAlign w:val="center"/>
            <w:hideMark/>
          </w:tcPr>
          <w:p w14:paraId="6F9FFFA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450</w:t>
            </w:r>
          </w:p>
        </w:tc>
        <w:tc>
          <w:tcPr>
            <w:tcW w:w="0" w:type="auto"/>
            <w:tcBorders>
              <w:top w:val="single" w:sz="4" w:space="0" w:color="auto"/>
              <w:left w:val="nil"/>
              <w:bottom w:val="single" w:sz="4" w:space="0" w:color="auto"/>
              <w:right w:val="single" w:sz="4" w:space="0" w:color="auto"/>
            </w:tcBorders>
            <w:vAlign w:val="center"/>
            <w:hideMark/>
          </w:tcPr>
          <w:p w14:paraId="681FAD9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22545B4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450</w:t>
            </w:r>
          </w:p>
        </w:tc>
        <w:tc>
          <w:tcPr>
            <w:tcW w:w="0" w:type="auto"/>
            <w:tcBorders>
              <w:top w:val="single" w:sz="4" w:space="0" w:color="auto"/>
              <w:left w:val="nil"/>
              <w:bottom w:val="single" w:sz="4" w:space="0" w:color="auto"/>
              <w:right w:val="single" w:sz="4" w:space="0" w:color="auto"/>
            </w:tcBorders>
            <w:vAlign w:val="center"/>
            <w:hideMark/>
          </w:tcPr>
          <w:p w14:paraId="193F1E5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1891D763" w14:textId="77777777" w:rsidTr="00F3455B">
        <w:trPr>
          <w:cantSplit/>
          <w:trHeight w:val="2040"/>
        </w:trPr>
        <w:tc>
          <w:tcPr>
            <w:tcW w:w="0" w:type="auto"/>
            <w:tcBorders>
              <w:top w:val="nil"/>
              <w:left w:val="single" w:sz="4" w:space="0" w:color="auto"/>
              <w:bottom w:val="single" w:sz="4" w:space="0" w:color="auto"/>
              <w:right w:val="single" w:sz="4" w:space="0" w:color="auto"/>
            </w:tcBorders>
            <w:vAlign w:val="center"/>
            <w:hideMark/>
          </w:tcPr>
          <w:p w14:paraId="4297E52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86</w:t>
            </w:r>
          </w:p>
        </w:tc>
        <w:tc>
          <w:tcPr>
            <w:tcW w:w="0" w:type="auto"/>
            <w:tcBorders>
              <w:top w:val="nil"/>
              <w:left w:val="nil"/>
              <w:bottom w:val="single" w:sz="4" w:space="0" w:color="auto"/>
              <w:right w:val="single" w:sz="4" w:space="0" w:color="auto"/>
            </w:tcBorders>
            <w:vAlign w:val="center"/>
            <w:hideMark/>
          </w:tcPr>
          <w:p w14:paraId="583E99A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stanovenie poplatku za udelenie výnimky z predkladania údajov podľa § 79 ods. 11 zákona o poisťovníctve po jednotlivých položkách (špecifický symbol 3516)</w:t>
            </w:r>
          </w:p>
        </w:tc>
        <w:tc>
          <w:tcPr>
            <w:tcW w:w="0" w:type="auto"/>
            <w:tcBorders>
              <w:top w:val="nil"/>
              <w:left w:val="nil"/>
              <w:bottom w:val="single" w:sz="4" w:space="0" w:color="auto"/>
              <w:right w:val="single" w:sz="4" w:space="0" w:color="auto"/>
            </w:tcBorders>
            <w:vAlign w:val="center"/>
            <w:hideMark/>
          </w:tcPr>
          <w:p w14:paraId="7499740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39/2015 Z. z. v znení zákona č. .../2026 Z. z.</w:t>
            </w:r>
          </w:p>
        </w:tc>
        <w:tc>
          <w:tcPr>
            <w:tcW w:w="0" w:type="auto"/>
            <w:tcBorders>
              <w:top w:val="nil"/>
              <w:left w:val="nil"/>
              <w:bottom w:val="single" w:sz="4" w:space="0" w:color="auto"/>
              <w:right w:val="single" w:sz="4" w:space="0" w:color="auto"/>
            </w:tcBorders>
            <w:vAlign w:val="center"/>
            <w:hideMark/>
          </w:tcPr>
          <w:p w14:paraId="3E04507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79 ods. 16</w:t>
            </w:r>
          </w:p>
        </w:tc>
        <w:tc>
          <w:tcPr>
            <w:tcW w:w="0" w:type="auto"/>
            <w:tcBorders>
              <w:top w:val="nil"/>
              <w:left w:val="nil"/>
              <w:bottom w:val="single" w:sz="4" w:space="0" w:color="auto"/>
              <w:right w:val="single" w:sz="4" w:space="0" w:color="auto"/>
            </w:tcBorders>
            <w:vAlign w:val="center"/>
            <w:hideMark/>
          </w:tcPr>
          <w:p w14:paraId="4690844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nil"/>
              <w:left w:val="nil"/>
              <w:bottom w:val="single" w:sz="4" w:space="0" w:color="auto"/>
              <w:right w:val="single" w:sz="4" w:space="0" w:color="auto"/>
            </w:tcBorders>
            <w:vAlign w:val="center"/>
            <w:hideMark/>
          </w:tcPr>
          <w:p w14:paraId="312F92D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30.01.27</w:t>
            </w:r>
          </w:p>
        </w:tc>
        <w:tc>
          <w:tcPr>
            <w:tcW w:w="0" w:type="auto"/>
            <w:tcBorders>
              <w:top w:val="nil"/>
              <w:left w:val="nil"/>
              <w:bottom w:val="single" w:sz="4" w:space="0" w:color="auto"/>
              <w:right w:val="single" w:sz="4" w:space="0" w:color="auto"/>
            </w:tcBorders>
            <w:vAlign w:val="center"/>
            <w:hideMark/>
          </w:tcPr>
          <w:p w14:paraId="09208C3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poisťovne, zaisťovne, pobočky zahraničných poisťovní a pobočky zahraničných zaisťovní</w:t>
            </w:r>
          </w:p>
        </w:tc>
        <w:tc>
          <w:tcPr>
            <w:tcW w:w="0" w:type="auto"/>
            <w:tcBorders>
              <w:top w:val="nil"/>
              <w:left w:val="nil"/>
              <w:bottom w:val="single" w:sz="4" w:space="0" w:color="auto"/>
              <w:right w:val="single" w:sz="4" w:space="0" w:color="auto"/>
            </w:tcBorders>
            <w:vAlign w:val="center"/>
            <w:hideMark/>
          </w:tcPr>
          <w:p w14:paraId="40B09CA2"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9 </w:t>
            </w:r>
          </w:p>
        </w:tc>
        <w:tc>
          <w:tcPr>
            <w:tcW w:w="0" w:type="auto"/>
            <w:tcBorders>
              <w:top w:val="nil"/>
              <w:left w:val="nil"/>
              <w:bottom w:val="single" w:sz="4" w:space="0" w:color="auto"/>
              <w:right w:val="single" w:sz="4" w:space="0" w:color="auto"/>
            </w:tcBorders>
            <w:vAlign w:val="center"/>
            <w:hideMark/>
          </w:tcPr>
          <w:p w14:paraId="5275CD9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38</w:t>
            </w:r>
          </w:p>
        </w:tc>
        <w:tc>
          <w:tcPr>
            <w:tcW w:w="0" w:type="auto"/>
            <w:tcBorders>
              <w:top w:val="nil"/>
              <w:left w:val="nil"/>
              <w:bottom w:val="single" w:sz="4" w:space="0" w:color="auto"/>
              <w:right w:val="single" w:sz="4" w:space="0" w:color="auto"/>
            </w:tcBorders>
            <w:vAlign w:val="center"/>
            <w:hideMark/>
          </w:tcPr>
          <w:p w14:paraId="0C5CF26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338</w:t>
            </w:r>
          </w:p>
        </w:tc>
        <w:tc>
          <w:tcPr>
            <w:tcW w:w="0" w:type="auto"/>
            <w:tcBorders>
              <w:top w:val="nil"/>
              <w:left w:val="nil"/>
              <w:bottom w:val="single" w:sz="4" w:space="0" w:color="auto"/>
              <w:right w:val="single" w:sz="4" w:space="0" w:color="auto"/>
            </w:tcBorders>
            <w:vAlign w:val="center"/>
            <w:hideMark/>
          </w:tcPr>
          <w:p w14:paraId="64CCE78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nil"/>
              <w:left w:val="nil"/>
              <w:bottom w:val="single" w:sz="4" w:space="0" w:color="auto"/>
              <w:right w:val="single" w:sz="4" w:space="0" w:color="auto"/>
            </w:tcBorders>
            <w:vAlign w:val="center"/>
            <w:hideMark/>
          </w:tcPr>
          <w:p w14:paraId="23DB457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338</w:t>
            </w:r>
          </w:p>
        </w:tc>
        <w:tc>
          <w:tcPr>
            <w:tcW w:w="0" w:type="auto"/>
            <w:tcBorders>
              <w:top w:val="nil"/>
              <w:left w:val="nil"/>
              <w:bottom w:val="single" w:sz="4" w:space="0" w:color="auto"/>
              <w:right w:val="single" w:sz="4" w:space="0" w:color="auto"/>
            </w:tcBorders>
            <w:vAlign w:val="center"/>
            <w:hideMark/>
          </w:tcPr>
          <w:p w14:paraId="2E05BAA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726DE596" w14:textId="77777777" w:rsidTr="00AD56A0">
        <w:trPr>
          <w:cantSplit/>
          <w:trHeight w:val="3060"/>
        </w:trPr>
        <w:tc>
          <w:tcPr>
            <w:tcW w:w="0" w:type="auto"/>
            <w:tcBorders>
              <w:top w:val="single" w:sz="4" w:space="0" w:color="auto"/>
              <w:left w:val="single" w:sz="4" w:space="0" w:color="auto"/>
              <w:bottom w:val="single" w:sz="4" w:space="0" w:color="auto"/>
              <w:right w:val="single" w:sz="4" w:space="0" w:color="auto"/>
            </w:tcBorders>
            <w:vAlign w:val="center"/>
            <w:hideMark/>
          </w:tcPr>
          <w:p w14:paraId="2E00B20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lastRenderedPageBreak/>
              <w:t>87</w:t>
            </w:r>
          </w:p>
        </w:tc>
        <w:tc>
          <w:tcPr>
            <w:tcW w:w="0" w:type="auto"/>
            <w:tcBorders>
              <w:top w:val="single" w:sz="4" w:space="0" w:color="auto"/>
              <w:left w:val="nil"/>
              <w:bottom w:val="single" w:sz="4" w:space="0" w:color="auto"/>
              <w:right w:val="single" w:sz="4" w:space="0" w:color="auto"/>
            </w:tcBorders>
            <w:vAlign w:val="center"/>
            <w:hideMark/>
          </w:tcPr>
          <w:p w14:paraId="6BB99D5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zvýšenie poplatku za udelenie predchádzajúceho súhlasu na zvolenie osoby navrhovanej za člena predstavenstva dôchodkovej správcovskej spoločnosti a člena dozornej rady dôchodkovej správcovskej spoločnosti, na menovanie prokuristu dôchodkovej správcovskej spoločnosti a na ustanovenie za vedúceho zamestnanca v priamej riadiacej pôsobnosti predstavenstva zodpovedného za výkon odborných činností a na ustanovenie za zamestnanca zodpovedného za výkon vnútornej kontroly (špecifický symbol 4303 -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4AD4F4C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43/2004 Z. z. v znení neskorších predpisov</w:t>
            </w:r>
          </w:p>
        </w:tc>
        <w:tc>
          <w:tcPr>
            <w:tcW w:w="0" w:type="auto"/>
            <w:tcBorders>
              <w:top w:val="single" w:sz="4" w:space="0" w:color="auto"/>
              <w:left w:val="nil"/>
              <w:bottom w:val="single" w:sz="4" w:space="0" w:color="auto"/>
              <w:right w:val="single" w:sz="4" w:space="0" w:color="auto"/>
            </w:tcBorders>
            <w:vAlign w:val="center"/>
            <w:hideMark/>
          </w:tcPr>
          <w:p w14:paraId="66C06EA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52 ods. 1 písm. c)</w:t>
            </w:r>
          </w:p>
        </w:tc>
        <w:tc>
          <w:tcPr>
            <w:tcW w:w="0" w:type="auto"/>
            <w:tcBorders>
              <w:top w:val="single" w:sz="4" w:space="0" w:color="auto"/>
              <w:left w:val="nil"/>
              <w:bottom w:val="single" w:sz="4" w:space="0" w:color="auto"/>
              <w:right w:val="single" w:sz="4" w:space="0" w:color="auto"/>
            </w:tcBorders>
            <w:vAlign w:val="center"/>
            <w:hideMark/>
          </w:tcPr>
          <w:p w14:paraId="7F620B7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6F5F4F7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367863B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dôchodkové správcovské spoločnosti</w:t>
            </w:r>
          </w:p>
        </w:tc>
        <w:tc>
          <w:tcPr>
            <w:tcW w:w="0" w:type="auto"/>
            <w:tcBorders>
              <w:top w:val="single" w:sz="4" w:space="0" w:color="auto"/>
              <w:left w:val="nil"/>
              <w:bottom w:val="single" w:sz="4" w:space="0" w:color="auto"/>
              <w:right w:val="single" w:sz="4" w:space="0" w:color="auto"/>
            </w:tcBorders>
            <w:vAlign w:val="center"/>
            <w:hideMark/>
          </w:tcPr>
          <w:p w14:paraId="43965B71"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3 </w:t>
            </w:r>
          </w:p>
        </w:tc>
        <w:tc>
          <w:tcPr>
            <w:tcW w:w="0" w:type="auto"/>
            <w:tcBorders>
              <w:top w:val="single" w:sz="4" w:space="0" w:color="auto"/>
              <w:left w:val="nil"/>
              <w:bottom w:val="single" w:sz="4" w:space="0" w:color="auto"/>
              <w:right w:val="single" w:sz="4" w:space="0" w:color="auto"/>
            </w:tcBorders>
            <w:vAlign w:val="center"/>
            <w:hideMark/>
          </w:tcPr>
          <w:p w14:paraId="7A3ED07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28</w:t>
            </w:r>
          </w:p>
        </w:tc>
        <w:tc>
          <w:tcPr>
            <w:tcW w:w="0" w:type="auto"/>
            <w:tcBorders>
              <w:top w:val="single" w:sz="4" w:space="0" w:color="auto"/>
              <w:left w:val="nil"/>
              <w:bottom w:val="single" w:sz="4" w:space="0" w:color="auto"/>
              <w:right w:val="single" w:sz="4" w:space="0" w:color="auto"/>
            </w:tcBorders>
            <w:vAlign w:val="center"/>
            <w:hideMark/>
          </w:tcPr>
          <w:p w14:paraId="56D0844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83</w:t>
            </w:r>
          </w:p>
        </w:tc>
        <w:tc>
          <w:tcPr>
            <w:tcW w:w="0" w:type="auto"/>
            <w:tcBorders>
              <w:top w:val="single" w:sz="4" w:space="0" w:color="auto"/>
              <w:left w:val="nil"/>
              <w:bottom w:val="single" w:sz="4" w:space="0" w:color="auto"/>
              <w:right w:val="single" w:sz="4" w:space="0" w:color="auto"/>
            </w:tcBorders>
            <w:vAlign w:val="center"/>
            <w:hideMark/>
          </w:tcPr>
          <w:p w14:paraId="18706FC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2C7D6ED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83</w:t>
            </w:r>
          </w:p>
        </w:tc>
        <w:tc>
          <w:tcPr>
            <w:tcW w:w="0" w:type="auto"/>
            <w:tcBorders>
              <w:top w:val="single" w:sz="4" w:space="0" w:color="auto"/>
              <w:left w:val="nil"/>
              <w:bottom w:val="single" w:sz="4" w:space="0" w:color="auto"/>
              <w:right w:val="single" w:sz="4" w:space="0" w:color="auto"/>
            </w:tcBorders>
            <w:vAlign w:val="center"/>
            <w:hideMark/>
          </w:tcPr>
          <w:p w14:paraId="63126C3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1A438B5F" w14:textId="77777777" w:rsidTr="00AD56A0">
        <w:trPr>
          <w:cantSplit/>
          <w:trHeight w:val="2040"/>
        </w:trPr>
        <w:tc>
          <w:tcPr>
            <w:tcW w:w="0" w:type="auto"/>
            <w:tcBorders>
              <w:top w:val="single" w:sz="4" w:space="0" w:color="auto"/>
              <w:left w:val="single" w:sz="4" w:space="0" w:color="auto"/>
              <w:bottom w:val="single" w:sz="4" w:space="0" w:color="auto"/>
              <w:right w:val="single" w:sz="4" w:space="0" w:color="auto"/>
            </w:tcBorders>
            <w:vAlign w:val="center"/>
            <w:hideMark/>
          </w:tcPr>
          <w:p w14:paraId="7D0DA2A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lastRenderedPageBreak/>
              <w:t>88</w:t>
            </w:r>
          </w:p>
        </w:tc>
        <w:tc>
          <w:tcPr>
            <w:tcW w:w="0" w:type="auto"/>
            <w:tcBorders>
              <w:top w:val="single" w:sz="4" w:space="0" w:color="auto"/>
              <w:left w:val="nil"/>
              <w:bottom w:val="single" w:sz="4" w:space="0" w:color="auto"/>
              <w:right w:val="single" w:sz="4" w:space="0" w:color="auto"/>
            </w:tcBorders>
            <w:vAlign w:val="center"/>
            <w:hideMark/>
          </w:tcPr>
          <w:p w14:paraId="0F24CD2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zvýšenie poplatku za udelenie predchádzajúceho súhlasu na voľbu osôb navrhovaných za členov predstavenstva a členov dozornej rady a na vymenovanie vedúcich zamestnancov v priamej riadiacej pôsobnosti predstavenstva zodpovedných za riadenie investícií, osôb zodpovedných za výkon kľúčovej funkcie a prokuristu (špecifický symbol 4312 -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11DE78A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650/2004 Z. z. v znení neskorších predpisov</w:t>
            </w:r>
          </w:p>
        </w:tc>
        <w:tc>
          <w:tcPr>
            <w:tcW w:w="0" w:type="auto"/>
            <w:tcBorders>
              <w:top w:val="single" w:sz="4" w:space="0" w:color="auto"/>
              <w:left w:val="nil"/>
              <w:bottom w:val="single" w:sz="4" w:space="0" w:color="auto"/>
              <w:right w:val="single" w:sz="4" w:space="0" w:color="auto"/>
            </w:tcBorders>
            <w:vAlign w:val="center"/>
            <w:hideMark/>
          </w:tcPr>
          <w:p w14:paraId="1EC8713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26 ods. 1 písm. c)</w:t>
            </w:r>
          </w:p>
        </w:tc>
        <w:tc>
          <w:tcPr>
            <w:tcW w:w="0" w:type="auto"/>
            <w:tcBorders>
              <w:top w:val="single" w:sz="4" w:space="0" w:color="auto"/>
              <w:left w:val="nil"/>
              <w:bottom w:val="single" w:sz="4" w:space="0" w:color="auto"/>
              <w:right w:val="single" w:sz="4" w:space="0" w:color="auto"/>
            </w:tcBorders>
            <w:vAlign w:val="center"/>
            <w:hideMark/>
          </w:tcPr>
          <w:p w14:paraId="0AAB57A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6A4F000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73C1F71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doplnkové dôchodkové spoločnosti</w:t>
            </w:r>
          </w:p>
        </w:tc>
        <w:tc>
          <w:tcPr>
            <w:tcW w:w="0" w:type="auto"/>
            <w:tcBorders>
              <w:top w:val="single" w:sz="4" w:space="0" w:color="auto"/>
              <w:left w:val="nil"/>
              <w:bottom w:val="single" w:sz="4" w:space="0" w:color="auto"/>
              <w:right w:val="single" w:sz="4" w:space="0" w:color="auto"/>
            </w:tcBorders>
            <w:vAlign w:val="center"/>
            <w:hideMark/>
          </w:tcPr>
          <w:p w14:paraId="73323886"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3 </w:t>
            </w:r>
          </w:p>
        </w:tc>
        <w:tc>
          <w:tcPr>
            <w:tcW w:w="0" w:type="auto"/>
            <w:tcBorders>
              <w:top w:val="single" w:sz="4" w:space="0" w:color="auto"/>
              <w:left w:val="nil"/>
              <w:bottom w:val="single" w:sz="4" w:space="0" w:color="auto"/>
              <w:right w:val="single" w:sz="4" w:space="0" w:color="auto"/>
            </w:tcBorders>
            <w:vAlign w:val="center"/>
            <w:hideMark/>
          </w:tcPr>
          <w:p w14:paraId="68AF6BF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28</w:t>
            </w:r>
          </w:p>
        </w:tc>
        <w:tc>
          <w:tcPr>
            <w:tcW w:w="0" w:type="auto"/>
            <w:tcBorders>
              <w:top w:val="single" w:sz="4" w:space="0" w:color="auto"/>
              <w:left w:val="nil"/>
              <w:bottom w:val="single" w:sz="4" w:space="0" w:color="auto"/>
              <w:right w:val="single" w:sz="4" w:space="0" w:color="auto"/>
            </w:tcBorders>
            <w:vAlign w:val="center"/>
            <w:hideMark/>
          </w:tcPr>
          <w:p w14:paraId="2CCE6D6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83</w:t>
            </w:r>
          </w:p>
        </w:tc>
        <w:tc>
          <w:tcPr>
            <w:tcW w:w="0" w:type="auto"/>
            <w:tcBorders>
              <w:top w:val="single" w:sz="4" w:space="0" w:color="auto"/>
              <w:left w:val="nil"/>
              <w:bottom w:val="single" w:sz="4" w:space="0" w:color="auto"/>
              <w:right w:val="single" w:sz="4" w:space="0" w:color="auto"/>
            </w:tcBorders>
            <w:vAlign w:val="center"/>
            <w:hideMark/>
          </w:tcPr>
          <w:p w14:paraId="0647CD8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0BA3937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83</w:t>
            </w:r>
          </w:p>
        </w:tc>
        <w:tc>
          <w:tcPr>
            <w:tcW w:w="0" w:type="auto"/>
            <w:tcBorders>
              <w:top w:val="single" w:sz="4" w:space="0" w:color="auto"/>
              <w:left w:val="nil"/>
              <w:bottom w:val="single" w:sz="4" w:space="0" w:color="auto"/>
              <w:right w:val="single" w:sz="4" w:space="0" w:color="auto"/>
            </w:tcBorders>
            <w:vAlign w:val="center"/>
            <w:hideMark/>
          </w:tcPr>
          <w:p w14:paraId="1D5D58F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7E92726E" w14:textId="77777777" w:rsidTr="00F3455B">
        <w:trPr>
          <w:cantSplit/>
          <w:trHeight w:val="1020"/>
        </w:trPr>
        <w:tc>
          <w:tcPr>
            <w:tcW w:w="0" w:type="auto"/>
            <w:tcBorders>
              <w:top w:val="nil"/>
              <w:left w:val="single" w:sz="4" w:space="0" w:color="auto"/>
              <w:bottom w:val="single" w:sz="4" w:space="0" w:color="auto"/>
              <w:right w:val="single" w:sz="4" w:space="0" w:color="auto"/>
            </w:tcBorders>
            <w:vAlign w:val="center"/>
            <w:hideMark/>
          </w:tcPr>
          <w:p w14:paraId="2C467F0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89</w:t>
            </w:r>
          </w:p>
        </w:tc>
        <w:tc>
          <w:tcPr>
            <w:tcW w:w="0" w:type="auto"/>
            <w:tcBorders>
              <w:top w:val="nil"/>
              <w:left w:val="nil"/>
              <w:bottom w:val="single" w:sz="4" w:space="0" w:color="auto"/>
              <w:right w:val="single" w:sz="4" w:space="0" w:color="auto"/>
            </w:tcBorders>
            <w:vAlign w:val="center"/>
            <w:hideMark/>
          </w:tcPr>
          <w:p w14:paraId="2783D5E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vypustenie úkonu a poplatku za udelenie povolenia na poskytovanie iných úverov alebo pôžičiek spotrebiteľom (špecifický symbol 6107 - iba v opatrení č. 5/2021 v znení opatrenia č. 8/2024)</w:t>
            </w:r>
          </w:p>
        </w:tc>
        <w:tc>
          <w:tcPr>
            <w:tcW w:w="0" w:type="auto"/>
            <w:tcBorders>
              <w:top w:val="nil"/>
              <w:left w:val="nil"/>
              <w:bottom w:val="single" w:sz="4" w:space="0" w:color="auto"/>
              <w:right w:val="single" w:sz="4" w:space="0" w:color="auto"/>
            </w:tcBorders>
            <w:vAlign w:val="center"/>
            <w:hideMark/>
          </w:tcPr>
          <w:p w14:paraId="07B1FF2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129/2010 Z. z. v znení neskorších predpisov</w:t>
            </w:r>
          </w:p>
        </w:tc>
        <w:tc>
          <w:tcPr>
            <w:tcW w:w="0" w:type="auto"/>
            <w:tcBorders>
              <w:top w:val="nil"/>
              <w:left w:val="nil"/>
              <w:bottom w:val="single" w:sz="4" w:space="0" w:color="auto"/>
              <w:right w:val="single" w:sz="4" w:space="0" w:color="auto"/>
            </w:tcBorders>
            <w:vAlign w:val="center"/>
            <w:hideMark/>
          </w:tcPr>
          <w:p w14:paraId="529519E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24 ods. 1</w:t>
            </w:r>
          </w:p>
        </w:tc>
        <w:tc>
          <w:tcPr>
            <w:tcW w:w="0" w:type="auto"/>
            <w:tcBorders>
              <w:top w:val="nil"/>
              <w:left w:val="nil"/>
              <w:bottom w:val="single" w:sz="4" w:space="0" w:color="auto"/>
              <w:right w:val="single" w:sz="4" w:space="0" w:color="auto"/>
            </w:tcBorders>
            <w:vAlign w:val="center"/>
            <w:hideMark/>
          </w:tcPr>
          <w:p w14:paraId="3D10BF3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nil"/>
              <w:left w:val="nil"/>
              <w:bottom w:val="single" w:sz="4" w:space="0" w:color="auto"/>
              <w:right w:val="single" w:sz="4" w:space="0" w:color="auto"/>
            </w:tcBorders>
            <w:vAlign w:val="center"/>
            <w:hideMark/>
          </w:tcPr>
          <w:p w14:paraId="46846F3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61AB100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žiadatelia o udelenie povolenia pre iného veriteľa</w:t>
            </w:r>
          </w:p>
        </w:tc>
        <w:tc>
          <w:tcPr>
            <w:tcW w:w="0" w:type="auto"/>
            <w:tcBorders>
              <w:top w:val="nil"/>
              <w:left w:val="nil"/>
              <w:bottom w:val="single" w:sz="4" w:space="0" w:color="auto"/>
              <w:right w:val="single" w:sz="4" w:space="0" w:color="auto"/>
            </w:tcBorders>
            <w:vAlign w:val="center"/>
            <w:hideMark/>
          </w:tcPr>
          <w:p w14:paraId="7A91E8B3"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4A99224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6FC4AC0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67083EC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425DB8B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2083ABC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32946B41" w14:textId="77777777" w:rsidTr="00AD56A0">
        <w:trPr>
          <w:cantSplit/>
          <w:trHeight w:val="1785"/>
        </w:trPr>
        <w:tc>
          <w:tcPr>
            <w:tcW w:w="0" w:type="auto"/>
            <w:tcBorders>
              <w:top w:val="single" w:sz="4" w:space="0" w:color="auto"/>
              <w:left w:val="single" w:sz="4" w:space="0" w:color="auto"/>
              <w:bottom w:val="single" w:sz="4" w:space="0" w:color="auto"/>
              <w:right w:val="single" w:sz="4" w:space="0" w:color="auto"/>
            </w:tcBorders>
            <w:vAlign w:val="center"/>
            <w:hideMark/>
          </w:tcPr>
          <w:p w14:paraId="533CDD2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lastRenderedPageBreak/>
              <w:t>90</w:t>
            </w:r>
          </w:p>
        </w:tc>
        <w:tc>
          <w:tcPr>
            <w:tcW w:w="0" w:type="auto"/>
            <w:tcBorders>
              <w:top w:val="single" w:sz="4" w:space="0" w:color="auto"/>
              <w:left w:val="nil"/>
              <w:bottom w:val="single" w:sz="4" w:space="0" w:color="auto"/>
              <w:right w:val="single" w:sz="4" w:space="0" w:color="auto"/>
            </w:tcBorders>
            <w:vAlign w:val="center"/>
            <w:hideMark/>
          </w:tcPr>
          <w:p w14:paraId="60FDBA8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stanovenie poplatku za udelenie povolenia na poskytovanie spotrebiteľských úverov v rámci doplnkovej činnosti veriteľa, bezúročne a bez akýchkoľvek iných poplatkov okrem poplatkov, ktoré musí spotrebiteľ zaplatiť v súvislosti s omeškaním platby (špecifický symbol 6108)</w:t>
            </w:r>
          </w:p>
        </w:tc>
        <w:tc>
          <w:tcPr>
            <w:tcW w:w="0" w:type="auto"/>
            <w:tcBorders>
              <w:top w:val="single" w:sz="4" w:space="0" w:color="auto"/>
              <w:left w:val="nil"/>
              <w:bottom w:val="single" w:sz="4" w:space="0" w:color="auto"/>
              <w:right w:val="single" w:sz="4" w:space="0" w:color="auto"/>
            </w:tcBorders>
            <w:vAlign w:val="center"/>
            <w:hideMark/>
          </w:tcPr>
          <w:p w14:paraId="00E982D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312/2025 Z. z.</w:t>
            </w:r>
          </w:p>
        </w:tc>
        <w:tc>
          <w:tcPr>
            <w:tcW w:w="0" w:type="auto"/>
            <w:tcBorders>
              <w:top w:val="single" w:sz="4" w:space="0" w:color="auto"/>
              <w:left w:val="nil"/>
              <w:bottom w:val="single" w:sz="4" w:space="0" w:color="auto"/>
              <w:right w:val="single" w:sz="4" w:space="0" w:color="auto"/>
            </w:tcBorders>
            <w:vAlign w:val="center"/>
            <w:hideMark/>
          </w:tcPr>
          <w:p w14:paraId="194D5BF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28</w:t>
            </w:r>
          </w:p>
        </w:tc>
        <w:tc>
          <w:tcPr>
            <w:tcW w:w="0" w:type="auto"/>
            <w:tcBorders>
              <w:top w:val="single" w:sz="4" w:space="0" w:color="auto"/>
              <w:left w:val="nil"/>
              <w:bottom w:val="single" w:sz="4" w:space="0" w:color="auto"/>
              <w:right w:val="single" w:sz="4" w:space="0" w:color="auto"/>
            </w:tcBorders>
            <w:vAlign w:val="center"/>
            <w:hideMark/>
          </w:tcPr>
          <w:p w14:paraId="47CE78E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570167F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6BFF0EE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žiadatelia o udelenie povolenia podľa § 25 ods. 1 písm. c) zákona č. 312/2025 Z. z.</w:t>
            </w:r>
          </w:p>
        </w:tc>
        <w:tc>
          <w:tcPr>
            <w:tcW w:w="0" w:type="auto"/>
            <w:tcBorders>
              <w:top w:val="single" w:sz="4" w:space="0" w:color="auto"/>
              <w:left w:val="nil"/>
              <w:bottom w:val="single" w:sz="4" w:space="0" w:color="auto"/>
              <w:right w:val="single" w:sz="4" w:space="0" w:color="auto"/>
            </w:tcBorders>
            <w:vAlign w:val="center"/>
            <w:hideMark/>
          </w:tcPr>
          <w:p w14:paraId="32EBA463"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3 </w:t>
            </w:r>
          </w:p>
        </w:tc>
        <w:tc>
          <w:tcPr>
            <w:tcW w:w="0" w:type="auto"/>
            <w:tcBorders>
              <w:top w:val="single" w:sz="4" w:space="0" w:color="auto"/>
              <w:left w:val="nil"/>
              <w:bottom w:val="single" w:sz="4" w:space="0" w:color="auto"/>
              <w:right w:val="single" w:sz="4" w:space="0" w:color="auto"/>
            </w:tcBorders>
            <w:vAlign w:val="center"/>
            <w:hideMark/>
          </w:tcPr>
          <w:p w14:paraId="150E362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300</w:t>
            </w:r>
          </w:p>
        </w:tc>
        <w:tc>
          <w:tcPr>
            <w:tcW w:w="0" w:type="auto"/>
            <w:tcBorders>
              <w:top w:val="single" w:sz="4" w:space="0" w:color="auto"/>
              <w:left w:val="nil"/>
              <w:bottom w:val="single" w:sz="4" w:space="0" w:color="auto"/>
              <w:right w:val="single" w:sz="4" w:space="0" w:color="auto"/>
            </w:tcBorders>
            <w:vAlign w:val="center"/>
            <w:hideMark/>
          </w:tcPr>
          <w:p w14:paraId="5D40DF0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900</w:t>
            </w:r>
          </w:p>
        </w:tc>
        <w:tc>
          <w:tcPr>
            <w:tcW w:w="0" w:type="auto"/>
            <w:tcBorders>
              <w:top w:val="single" w:sz="4" w:space="0" w:color="auto"/>
              <w:left w:val="nil"/>
              <w:bottom w:val="single" w:sz="4" w:space="0" w:color="auto"/>
              <w:right w:val="single" w:sz="4" w:space="0" w:color="auto"/>
            </w:tcBorders>
            <w:vAlign w:val="center"/>
            <w:hideMark/>
          </w:tcPr>
          <w:p w14:paraId="1CB9978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16F679B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900</w:t>
            </w:r>
          </w:p>
        </w:tc>
        <w:tc>
          <w:tcPr>
            <w:tcW w:w="0" w:type="auto"/>
            <w:tcBorders>
              <w:top w:val="single" w:sz="4" w:space="0" w:color="auto"/>
              <w:left w:val="nil"/>
              <w:bottom w:val="single" w:sz="4" w:space="0" w:color="auto"/>
              <w:right w:val="single" w:sz="4" w:space="0" w:color="auto"/>
            </w:tcBorders>
            <w:vAlign w:val="center"/>
            <w:hideMark/>
          </w:tcPr>
          <w:p w14:paraId="08A86EB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5F390220" w14:textId="77777777" w:rsidTr="00F3455B">
        <w:trPr>
          <w:cantSplit/>
          <w:trHeight w:val="1275"/>
        </w:trPr>
        <w:tc>
          <w:tcPr>
            <w:tcW w:w="0" w:type="auto"/>
            <w:tcBorders>
              <w:top w:val="nil"/>
              <w:left w:val="single" w:sz="4" w:space="0" w:color="auto"/>
              <w:bottom w:val="single" w:sz="4" w:space="0" w:color="auto"/>
              <w:right w:val="single" w:sz="4" w:space="0" w:color="auto"/>
            </w:tcBorders>
            <w:vAlign w:val="center"/>
            <w:hideMark/>
          </w:tcPr>
          <w:p w14:paraId="02E35F4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91</w:t>
            </w:r>
          </w:p>
        </w:tc>
        <w:tc>
          <w:tcPr>
            <w:tcW w:w="0" w:type="auto"/>
            <w:tcBorders>
              <w:top w:val="nil"/>
              <w:left w:val="nil"/>
              <w:bottom w:val="single" w:sz="4" w:space="0" w:color="auto"/>
              <w:right w:val="single" w:sz="4" w:space="0" w:color="auto"/>
            </w:tcBorders>
            <w:vAlign w:val="center"/>
            <w:hideMark/>
          </w:tcPr>
          <w:p w14:paraId="67CBD9C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vypustenie úkonu a poplatku za zmenu rozhodnutia, ktorým bolo udelené povolenie na poskytovanie iných úverov alebo pôžičiek spotrebiteľom (špecifický symbol 6204 - iba v opatrení č. 5/2021 v znení opatrenia č. 8/2024)</w:t>
            </w:r>
          </w:p>
        </w:tc>
        <w:tc>
          <w:tcPr>
            <w:tcW w:w="0" w:type="auto"/>
            <w:tcBorders>
              <w:top w:val="nil"/>
              <w:left w:val="nil"/>
              <w:bottom w:val="single" w:sz="4" w:space="0" w:color="auto"/>
              <w:right w:val="single" w:sz="4" w:space="0" w:color="auto"/>
            </w:tcBorders>
            <w:vAlign w:val="center"/>
            <w:hideMark/>
          </w:tcPr>
          <w:p w14:paraId="126E61B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129/2010 Z. z. v znení neskorších predpisov</w:t>
            </w:r>
          </w:p>
        </w:tc>
        <w:tc>
          <w:tcPr>
            <w:tcW w:w="0" w:type="auto"/>
            <w:tcBorders>
              <w:top w:val="nil"/>
              <w:left w:val="nil"/>
              <w:bottom w:val="single" w:sz="4" w:space="0" w:color="auto"/>
              <w:right w:val="single" w:sz="4" w:space="0" w:color="auto"/>
            </w:tcBorders>
            <w:vAlign w:val="center"/>
            <w:hideMark/>
          </w:tcPr>
          <w:p w14:paraId="2FA8743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20 ods. 2</w:t>
            </w:r>
          </w:p>
        </w:tc>
        <w:tc>
          <w:tcPr>
            <w:tcW w:w="0" w:type="auto"/>
            <w:tcBorders>
              <w:top w:val="nil"/>
              <w:left w:val="nil"/>
              <w:bottom w:val="single" w:sz="4" w:space="0" w:color="auto"/>
              <w:right w:val="single" w:sz="4" w:space="0" w:color="auto"/>
            </w:tcBorders>
            <w:vAlign w:val="center"/>
            <w:hideMark/>
          </w:tcPr>
          <w:p w14:paraId="6C7F32A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nil"/>
              <w:left w:val="nil"/>
              <w:bottom w:val="single" w:sz="4" w:space="0" w:color="auto"/>
              <w:right w:val="single" w:sz="4" w:space="0" w:color="auto"/>
            </w:tcBorders>
            <w:vAlign w:val="center"/>
            <w:hideMark/>
          </w:tcPr>
          <w:p w14:paraId="66C808B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2304181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iní veritelia</w:t>
            </w:r>
          </w:p>
        </w:tc>
        <w:tc>
          <w:tcPr>
            <w:tcW w:w="0" w:type="auto"/>
            <w:tcBorders>
              <w:top w:val="nil"/>
              <w:left w:val="nil"/>
              <w:bottom w:val="single" w:sz="4" w:space="0" w:color="auto"/>
              <w:right w:val="single" w:sz="4" w:space="0" w:color="auto"/>
            </w:tcBorders>
            <w:vAlign w:val="center"/>
            <w:hideMark/>
          </w:tcPr>
          <w:p w14:paraId="6F1D3DF6"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   </w:t>
            </w:r>
          </w:p>
        </w:tc>
        <w:tc>
          <w:tcPr>
            <w:tcW w:w="0" w:type="auto"/>
            <w:tcBorders>
              <w:top w:val="nil"/>
              <w:left w:val="nil"/>
              <w:bottom w:val="single" w:sz="4" w:space="0" w:color="auto"/>
              <w:right w:val="single" w:sz="4" w:space="0" w:color="auto"/>
            </w:tcBorders>
            <w:vAlign w:val="center"/>
            <w:hideMark/>
          </w:tcPr>
          <w:p w14:paraId="4FDF002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3914ABE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6913CCC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37A3E4E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nil"/>
              <w:left w:val="nil"/>
              <w:bottom w:val="single" w:sz="4" w:space="0" w:color="auto"/>
              <w:right w:val="single" w:sz="4" w:space="0" w:color="auto"/>
            </w:tcBorders>
            <w:vAlign w:val="center"/>
            <w:hideMark/>
          </w:tcPr>
          <w:p w14:paraId="2591605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08107484" w14:textId="77777777" w:rsidTr="00AD56A0">
        <w:trPr>
          <w:cantSplit/>
          <w:trHeight w:val="1785"/>
        </w:trPr>
        <w:tc>
          <w:tcPr>
            <w:tcW w:w="0" w:type="auto"/>
            <w:tcBorders>
              <w:top w:val="single" w:sz="4" w:space="0" w:color="auto"/>
              <w:left w:val="single" w:sz="4" w:space="0" w:color="auto"/>
              <w:bottom w:val="single" w:sz="4" w:space="0" w:color="auto"/>
              <w:right w:val="single" w:sz="4" w:space="0" w:color="auto"/>
            </w:tcBorders>
            <w:vAlign w:val="center"/>
            <w:hideMark/>
          </w:tcPr>
          <w:p w14:paraId="29136E2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lastRenderedPageBreak/>
              <w:t>92</w:t>
            </w:r>
          </w:p>
        </w:tc>
        <w:tc>
          <w:tcPr>
            <w:tcW w:w="0" w:type="auto"/>
            <w:tcBorders>
              <w:top w:val="single" w:sz="4" w:space="0" w:color="auto"/>
              <w:left w:val="nil"/>
              <w:bottom w:val="single" w:sz="4" w:space="0" w:color="auto"/>
              <w:right w:val="single" w:sz="4" w:space="0" w:color="auto"/>
            </w:tcBorders>
            <w:vAlign w:val="center"/>
            <w:hideMark/>
          </w:tcPr>
          <w:p w14:paraId="6975908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stanovenie poplatku za zmenu rozhodnutia, ktorým bolo udelené povolenie na poskytovanie spotrebiteľských úverov v rámci doplnkovej činnosti veriteľa, bezúročne a bez akýchkoľvek iných poplatkov okrem poplatkov, ktoré musí spotrebiteľ zaplatiť v súvislosti s omeškaním platby (špecifický symbol 6205)</w:t>
            </w:r>
          </w:p>
        </w:tc>
        <w:tc>
          <w:tcPr>
            <w:tcW w:w="0" w:type="auto"/>
            <w:tcBorders>
              <w:top w:val="single" w:sz="4" w:space="0" w:color="auto"/>
              <w:left w:val="nil"/>
              <w:bottom w:val="single" w:sz="4" w:space="0" w:color="auto"/>
              <w:right w:val="single" w:sz="4" w:space="0" w:color="auto"/>
            </w:tcBorders>
            <w:vAlign w:val="center"/>
            <w:hideMark/>
          </w:tcPr>
          <w:p w14:paraId="5E376EE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312/2025 Z. z.</w:t>
            </w:r>
          </w:p>
        </w:tc>
        <w:tc>
          <w:tcPr>
            <w:tcW w:w="0" w:type="auto"/>
            <w:tcBorders>
              <w:top w:val="single" w:sz="4" w:space="0" w:color="auto"/>
              <w:left w:val="nil"/>
              <w:bottom w:val="single" w:sz="4" w:space="0" w:color="auto"/>
              <w:right w:val="single" w:sz="4" w:space="0" w:color="auto"/>
            </w:tcBorders>
            <w:vAlign w:val="center"/>
            <w:hideMark/>
          </w:tcPr>
          <w:p w14:paraId="0FA578A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25 ods. 2</w:t>
            </w:r>
          </w:p>
        </w:tc>
        <w:tc>
          <w:tcPr>
            <w:tcW w:w="0" w:type="auto"/>
            <w:tcBorders>
              <w:top w:val="single" w:sz="4" w:space="0" w:color="auto"/>
              <w:left w:val="nil"/>
              <w:bottom w:val="single" w:sz="4" w:space="0" w:color="auto"/>
              <w:right w:val="single" w:sz="4" w:space="0" w:color="auto"/>
            </w:tcBorders>
            <w:vAlign w:val="center"/>
            <w:hideMark/>
          </w:tcPr>
          <w:p w14:paraId="5A13042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2693F3D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4FE292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veritelia, ktorým bolo udelené povolenie podľa § 25 ods. 1 písm. c) zákona č. 312/2025 Z. z.</w:t>
            </w:r>
          </w:p>
        </w:tc>
        <w:tc>
          <w:tcPr>
            <w:tcW w:w="0" w:type="auto"/>
            <w:tcBorders>
              <w:top w:val="single" w:sz="4" w:space="0" w:color="auto"/>
              <w:left w:val="nil"/>
              <w:bottom w:val="single" w:sz="4" w:space="0" w:color="auto"/>
              <w:right w:val="single" w:sz="4" w:space="0" w:color="auto"/>
            </w:tcBorders>
            <w:vAlign w:val="center"/>
            <w:hideMark/>
          </w:tcPr>
          <w:p w14:paraId="757D2018"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5C4526A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3E8270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5C2E6CB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7C0DB09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343DC58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17D87B35" w14:textId="77777777" w:rsidTr="00F3455B">
        <w:trPr>
          <w:cantSplit/>
          <w:trHeight w:val="2040"/>
        </w:trPr>
        <w:tc>
          <w:tcPr>
            <w:tcW w:w="0" w:type="auto"/>
            <w:tcBorders>
              <w:top w:val="nil"/>
              <w:left w:val="single" w:sz="4" w:space="0" w:color="auto"/>
              <w:bottom w:val="single" w:sz="4" w:space="0" w:color="auto"/>
              <w:right w:val="single" w:sz="4" w:space="0" w:color="auto"/>
            </w:tcBorders>
            <w:vAlign w:val="center"/>
            <w:hideMark/>
          </w:tcPr>
          <w:p w14:paraId="7A529BA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93</w:t>
            </w:r>
          </w:p>
        </w:tc>
        <w:tc>
          <w:tcPr>
            <w:tcW w:w="0" w:type="auto"/>
            <w:tcBorders>
              <w:top w:val="nil"/>
              <w:left w:val="nil"/>
              <w:bottom w:val="single" w:sz="4" w:space="0" w:color="auto"/>
              <w:right w:val="single" w:sz="4" w:space="0" w:color="auto"/>
            </w:tcBorders>
            <w:vAlign w:val="center"/>
            <w:hideMark/>
          </w:tcPr>
          <w:p w14:paraId="4E2B571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vypustenie úkonu a poplatku za udelenie predchádzajúceho súhlasu na voľbu alebo vymenovanie osôb veriteľa, ktorý je právnickou  osobou, alebo osôb iného veriteľa, navrhovaných za členov štatutárneho  orgánu a členov dozornej rady, prokuristu, vedúceho organizačnej zložky, a vedúceho útvaru vnútornej kontroly (špecifický symbol 6302)</w:t>
            </w:r>
          </w:p>
        </w:tc>
        <w:tc>
          <w:tcPr>
            <w:tcW w:w="0" w:type="auto"/>
            <w:tcBorders>
              <w:top w:val="nil"/>
              <w:left w:val="nil"/>
              <w:bottom w:val="single" w:sz="4" w:space="0" w:color="auto"/>
              <w:right w:val="single" w:sz="4" w:space="0" w:color="auto"/>
            </w:tcBorders>
            <w:vAlign w:val="center"/>
            <w:hideMark/>
          </w:tcPr>
          <w:p w14:paraId="6FB941B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129/2010 Z. z. v znení zákona č. 35/2015 Z. z.</w:t>
            </w:r>
          </w:p>
        </w:tc>
        <w:tc>
          <w:tcPr>
            <w:tcW w:w="0" w:type="auto"/>
            <w:tcBorders>
              <w:top w:val="nil"/>
              <w:left w:val="nil"/>
              <w:bottom w:val="single" w:sz="4" w:space="0" w:color="auto"/>
              <w:right w:val="single" w:sz="4" w:space="0" w:color="auto"/>
            </w:tcBorders>
            <w:vAlign w:val="center"/>
            <w:hideMark/>
          </w:tcPr>
          <w:p w14:paraId="311A9E9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20d ods. 1 písm. a) a § 24 ods. 4</w:t>
            </w:r>
          </w:p>
        </w:tc>
        <w:tc>
          <w:tcPr>
            <w:tcW w:w="0" w:type="auto"/>
            <w:tcBorders>
              <w:top w:val="nil"/>
              <w:left w:val="nil"/>
              <w:bottom w:val="single" w:sz="4" w:space="0" w:color="auto"/>
              <w:right w:val="single" w:sz="4" w:space="0" w:color="auto"/>
            </w:tcBorders>
            <w:vAlign w:val="center"/>
            <w:hideMark/>
          </w:tcPr>
          <w:p w14:paraId="6543A93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nil"/>
              <w:left w:val="nil"/>
              <w:bottom w:val="single" w:sz="4" w:space="0" w:color="auto"/>
              <w:right w:val="single" w:sz="4" w:space="0" w:color="auto"/>
            </w:tcBorders>
            <w:vAlign w:val="center"/>
            <w:hideMark/>
          </w:tcPr>
          <w:p w14:paraId="6FBF044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nil"/>
              <w:left w:val="nil"/>
              <w:bottom w:val="single" w:sz="4" w:space="0" w:color="auto"/>
              <w:right w:val="single" w:sz="4" w:space="0" w:color="auto"/>
            </w:tcBorders>
            <w:vAlign w:val="center"/>
            <w:hideMark/>
          </w:tcPr>
          <w:p w14:paraId="0E13460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veritelia, ktorí sú právnickou osobou a iní veritelia</w:t>
            </w:r>
          </w:p>
        </w:tc>
        <w:tc>
          <w:tcPr>
            <w:tcW w:w="0" w:type="auto"/>
            <w:tcBorders>
              <w:top w:val="nil"/>
              <w:left w:val="nil"/>
              <w:bottom w:val="single" w:sz="4" w:space="0" w:color="auto"/>
              <w:right w:val="single" w:sz="4" w:space="0" w:color="auto"/>
            </w:tcBorders>
            <w:vAlign w:val="center"/>
            <w:hideMark/>
          </w:tcPr>
          <w:p w14:paraId="14730DC2"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25 </w:t>
            </w:r>
          </w:p>
        </w:tc>
        <w:tc>
          <w:tcPr>
            <w:tcW w:w="0" w:type="auto"/>
            <w:tcBorders>
              <w:top w:val="nil"/>
              <w:left w:val="nil"/>
              <w:bottom w:val="single" w:sz="4" w:space="0" w:color="auto"/>
              <w:right w:val="single" w:sz="4" w:space="0" w:color="auto"/>
            </w:tcBorders>
            <w:vAlign w:val="center"/>
            <w:hideMark/>
          </w:tcPr>
          <w:p w14:paraId="1CE3855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10</w:t>
            </w:r>
          </w:p>
        </w:tc>
        <w:tc>
          <w:tcPr>
            <w:tcW w:w="0" w:type="auto"/>
            <w:tcBorders>
              <w:top w:val="nil"/>
              <w:left w:val="nil"/>
              <w:bottom w:val="single" w:sz="4" w:space="0" w:color="auto"/>
              <w:right w:val="single" w:sz="4" w:space="0" w:color="auto"/>
            </w:tcBorders>
            <w:vAlign w:val="center"/>
            <w:hideMark/>
          </w:tcPr>
          <w:p w14:paraId="5F7E7D5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250</w:t>
            </w:r>
          </w:p>
        </w:tc>
        <w:tc>
          <w:tcPr>
            <w:tcW w:w="0" w:type="auto"/>
            <w:tcBorders>
              <w:top w:val="nil"/>
              <w:left w:val="nil"/>
              <w:bottom w:val="single" w:sz="4" w:space="0" w:color="auto"/>
              <w:right w:val="single" w:sz="4" w:space="0" w:color="auto"/>
            </w:tcBorders>
            <w:vAlign w:val="center"/>
            <w:hideMark/>
          </w:tcPr>
          <w:p w14:paraId="129A872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Out (znižuje náklady)</w:t>
            </w:r>
          </w:p>
        </w:tc>
        <w:tc>
          <w:tcPr>
            <w:tcW w:w="0" w:type="auto"/>
            <w:tcBorders>
              <w:top w:val="nil"/>
              <w:left w:val="nil"/>
              <w:bottom w:val="single" w:sz="4" w:space="0" w:color="auto"/>
              <w:right w:val="single" w:sz="4" w:space="0" w:color="auto"/>
            </w:tcBorders>
            <w:vAlign w:val="center"/>
            <w:hideMark/>
          </w:tcPr>
          <w:p w14:paraId="4D3FF79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250</w:t>
            </w:r>
          </w:p>
        </w:tc>
        <w:tc>
          <w:tcPr>
            <w:tcW w:w="0" w:type="auto"/>
            <w:tcBorders>
              <w:top w:val="nil"/>
              <w:left w:val="nil"/>
              <w:bottom w:val="single" w:sz="4" w:space="0" w:color="auto"/>
              <w:right w:val="single" w:sz="4" w:space="0" w:color="auto"/>
            </w:tcBorders>
            <w:vAlign w:val="center"/>
            <w:hideMark/>
          </w:tcPr>
          <w:p w14:paraId="2A0AA24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0BBD217D" w14:textId="77777777" w:rsidTr="00AD56A0">
        <w:trPr>
          <w:cantSplit/>
          <w:trHeight w:val="3825"/>
        </w:trPr>
        <w:tc>
          <w:tcPr>
            <w:tcW w:w="0" w:type="auto"/>
            <w:tcBorders>
              <w:top w:val="single" w:sz="4" w:space="0" w:color="auto"/>
              <w:left w:val="single" w:sz="4" w:space="0" w:color="auto"/>
              <w:bottom w:val="single" w:sz="4" w:space="0" w:color="auto"/>
              <w:right w:val="single" w:sz="4" w:space="0" w:color="auto"/>
            </w:tcBorders>
            <w:vAlign w:val="center"/>
            <w:hideMark/>
          </w:tcPr>
          <w:p w14:paraId="66FB4E0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lastRenderedPageBreak/>
              <w:t>94</w:t>
            </w:r>
          </w:p>
        </w:tc>
        <w:tc>
          <w:tcPr>
            <w:tcW w:w="0" w:type="auto"/>
            <w:tcBorders>
              <w:top w:val="single" w:sz="4" w:space="0" w:color="auto"/>
              <w:left w:val="nil"/>
              <w:bottom w:val="single" w:sz="4" w:space="0" w:color="auto"/>
              <w:right w:val="single" w:sz="4" w:space="0" w:color="auto"/>
            </w:tcBorders>
            <w:vAlign w:val="center"/>
            <w:hideMark/>
          </w:tcPr>
          <w:p w14:paraId="51ED886F" w14:textId="77777777" w:rsidR="00B1197B" w:rsidRPr="00AD56A0" w:rsidRDefault="00B1197B" w:rsidP="00F3455B">
            <w:pPr>
              <w:spacing w:after="0" w:line="240" w:lineRule="auto"/>
              <w:jc w:val="center"/>
              <w:rPr>
                <w:rFonts w:ascii="Times New Roman" w:eastAsia="Times New Roman" w:hAnsi="Times New Roman" w:cs="Times New Roman"/>
                <w:sz w:val="19"/>
                <w:szCs w:val="19"/>
                <w:lang w:eastAsia="sk-SK"/>
              </w:rPr>
            </w:pPr>
            <w:r w:rsidRPr="00AD56A0">
              <w:rPr>
                <w:rFonts w:ascii="Times New Roman" w:eastAsia="Times New Roman" w:hAnsi="Times New Roman" w:cs="Times New Roman"/>
                <w:sz w:val="19"/>
                <w:szCs w:val="19"/>
                <w:lang w:eastAsia="sk-SK"/>
              </w:rPr>
              <w:t>stanovenie poplatku za udelenie predchádzajúceho súhlasu na voľbu alebo vymenovanie osôb veriteľa, ktorý je právnickou  osobou, navrhovaných za členov štatutárneho  orgánu a členov dozornej rady, prokuristu, vedúceho organizačnej zložky, vedúceho útvaru vnútornej kontroly alebo vedúceho zamestnanca zodpovedného za výkon vnútornej kontroly, osobu, ktorá zabezpečuje plnenie úloh pri ochrane pred legalizáciou príjmov z trestnej činnosti a financovaním terorizmu, ohlasovanie neobvyklých obchodných operácií a prostredníctvom ktorej sa zabezpečuje priebežný styk s Finančnou spravodajskou jednotkou, a za osobu, ktorá je zodpovedná za poskytovanie spotrebiteľských úverov (špecifický symbol 6302)</w:t>
            </w:r>
          </w:p>
        </w:tc>
        <w:tc>
          <w:tcPr>
            <w:tcW w:w="0" w:type="auto"/>
            <w:tcBorders>
              <w:top w:val="single" w:sz="4" w:space="0" w:color="auto"/>
              <w:left w:val="nil"/>
              <w:bottom w:val="single" w:sz="4" w:space="0" w:color="auto"/>
              <w:right w:val="single" w:sz="4" w:space="0" w:color="auto"/>
            </w:tcBorders>
            <w:vAlign w:val="center"/>
            <w:hideMark/>
          </w:tcPr>
          <w:p w14:paraId="2097EA0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312/2025 Z. z.</w:t>
            </w:r>
          </w:p>
        </w:tc>
        <w:tc>
          <w:tcPr>
            <w:tcW w:w="0" w:type="auto"/>
            <w:tcBorders>
              <w:top w:val="single" w:sz="4" w:space="0" w:color="auto"/>
              <w:left w:val="nil"/>
              <w:bottom w:val="single" w:sz="4" w:space="0" w:color="auto"/>
              <w:right w:val="single" w:sz="4" w:space="0" w:color="auto"/>
            </w:tcBorders>
            <w:vAlign w:val="center"/>
            <w:hideMark/>
          </w:tcPr>
          <w:p w14:paraId="7EF926D7"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30 ods. 1 písm. a) a ods. 2 písm. a)</w:t>
            </w:r>
          </w:p>
        </w:tc>
        <w:tc>
          <w:tcPr>
            <w:tcW w:w="0" w:type="auto"/>
            <w:tcBorders>
              <w:top w:val="single" w:sz="4" w:space="0" w:color="auto"/>
              <w:left w:val="nil"/>
              <w:bottom w:val="single" w:sz="4" w:space="0" w:color="auto"/>
              <w:right w:val="single" w:sz="4" w:space="0" w:color="auto"/>
            </w:tcBorders>
            <w:vAlign w:val="center"/>
            <w:hideMark/>
          </w:tcPr>
          <w:p w14:paraId="3753F75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2B43F05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6866F9A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veritelia, ktorí sú právnickou osobou</w:t>
            </w:r>
          </w:p>
        </w:tc>
        <w:tc>
          <w:tcPr>
            <w:tcW w:w="0" w:type="auto"/>
            <w:tcBorders>
              <w:top w:val="single" w:sz="4" w:space="0" w:color="auto"/>
              <w:left w:val="nil"/>
              <w:bottom w:val="single" w:sz="4" w:space="0" w:color="auto"/>
              <w:right w:val="single" w:sz="4" w:space="0" w:color="auto"/>
            </w:tcBorders>
            <w:vAlign w:val="center"/>
            <w:hideMark/>
          </w:tcPr>
          <w:p w14:paraId="5183D47B"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25 </w:t>
            </w:r>
          </w:p>
        </w:tc>
        <w:tc>
          <w:tcPr>
            <w:tcW w:w="0" w:type="auto"/>
            <w:tcBorders>
              <w:top w:val="single" w:sz="4" w:space="0" w:color="auto"/>
              <w:left w:val="nil"/>
              <w:bottom w:val="single" w:sz="4" w:space="0" w:color="auto"/>
              <w:right w:val="single" w:sz="4" w:space="0" w:color="auto"/>
            </w:tcBorders>
            <w:vAlign w:val="center"/>
            <w:hideMark/>
          </w:tcPr>
          <w:p w14:paraId="497B4C9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10</w:t>
            </w:r>
          </w:p>
        </w:tc>
        <w:tc>
          <w:tcPr>
            <w:tcW w:w="0" w:type="auto"/>
            <w:tcBorders>
              <w:top w:val="single" w:sz="4" w:space="0" w:color="auto"/>
              <w:left w:val="nil"/>
              <w:bottom w:val="single" w:sz="4" w:space="0" w:color="auto"/>
              <w:right w:val="single" w:sz="4" w:space="0" w:color="auto"/>
            </w:tcBorders>
            <w:vAlign w:val="center"/>
            <w:hideMark/>
          </w:tcPr>
          <w:p w14:paraId="1A36623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250</w:t>
            </w:r>
          </w:p>
        </w:tc>
        <w:tc>
          <w:tcPr>
            <w:tcW w:w="0" w:type="auto"/>
            <w:tcBorders>
              <w:top w:val="single" w:sz="4" w:space="0" w:color="auto"/>
              <w:left w:val="nil"/>
              <w:bottom w:val="single" w:sz="4" w:space="0" w:color="auto"/>
              <w:right w:val="single" w:sz="4" w:space="0" w:color="auto"/>
            </w:tcBorders>
            <w:vAlign w:val="center"/>
            <w:hideMark/>
          </w:tcPr>
          <w:p w14:paraId="3362F9F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771CBA6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250</w:t>
            </w:r>
          </w:p>
        </w:tc>
        <w:tc>
          <w:tcPr>
            <w:tcW w:w="0" w:type="auto"/>
            <w:tcBorders>
              <w:top w:val="single" w:sz="4" w:space="0" w:color="auto"/>
              <w:left w:val="nil"/>
              <w:bottom w:val="single" w:sz="4" w:space="0" w:color="auto"/>
              <w:right w:val="single" w:sz="4" w:space="0" w:color="auto"/>
            </w:tcBorders>
            <w:vAlign w:val="center"/>
            <w:hideMark/>
          </w:tcPr>
          <w:p w14:paraId="2428897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5923EEEA" w14:textId="77777777" w:rsidTr="00AD56A0">
        <w:trPr>
          <w:cantSplit/>
          <w:trHeight w:val="2040"/>
        </w:trPr>
        <w:tc>
          <w:tcPr>
            <w:tcW w:w="0" w:type="auto"/>
            <w:tcBorders>
              <w:top w:val="single" w:sz="4" w:space="0" w:color="auto"/>
              <w:left w:val="single" w:sz="4" w:space="0" w:color="auto"/>
              <w:bottom w:val="single" w:sz="4" w:space="0" w:color="auto"/>
              <w:right w:val="single" w:sz="4" w:space="0" w:color="auto"/>
            </w:tcBorders>
            <w:vAlign w:val="center"/>
            <w:hideMark/>
          </w:tcPr>
          <w:p w14:paraId="71BA7B5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lastRenderedPageBreak/>
              <w:t>95</w:t>
            </w:r>
          </w:p>
        </w:tc>
        <w:tc>
          <w:tcPr>
            <w:tcW w:w="0" w:type="auto"/>
            <w:tcBorders>
              <w:top w:val="single" w:sz="4" w:space="0" w:color="auto"/>
              <w:left w:val="nil"/>
              <w:bottom w:val="single" w:sz="4" w:space="0" w:color="auto"/>
              <w:right w:val="single" w:sz="4" w:space="0" w:color="auto"/>
            </w:tcBorders>
            <w:vAlign w:val="center"/>
            <w:hideMark/>
          </w:tcPr>
          <w:p w14:paraId="1A19DA8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stanovenie poplatku za udelenie predchádzajúceho súhlasu na zrušenie veriteľa, ktorý poskytuje spotrebiteľské úvery v rámci doplnkovej činnosti veriteľa, bezúročne a bez akýchkoľvek iných poplatkov okrem poplatkov, ktoré musí spotrebiteľ zaplatiť v súvislosti s omeškaním platby, z iného dôvodu ako pre odobratie povolenia (špecifický symbol 6307)</w:t>
            </w:r>
          </w:p>
        </w:tc>
        <w:tc>
          <w:tcPr>
            <w:tcW w:w="0" w:type="auto"/>
            <w:tcBorders>
              <w:top w:val="single" w:sz="4" w:space="0" w:color="auto"/>
              <w:left w:val="nil"/>
              <w:bottom w:val="single" w:sz="4" w:space="0" w:color="auto"/>
              <w:right w:val="single" w:sz="4" w:space="0" w:color="auto"/>
            </w:tcBorders>
            <w:vAlign w:val="center"/>
            <w:hideMark/>
          </w:tcPr>
          <w:p w14:paraId="6CE00E9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312/2025 Z. z.</w:t>
            </w:r>
          </w:p>
        </w:tc>
        <w:tc>
          <w:tcPr>
            <w:tcW w:w="0" w:type="auto"/>
            <w:tcBorders>
              <w:top w:val="single" w:sz="4" w:space="0" w:color="auto"/>
              <w:left w:val="nil"/>
              <w:bottom w:val="single" w:sz="4" w:space="0" w:color="auto"/>
              <w:right w:val="single" w:sz="4" w:space="0" w:color="auto"/>
            </w:tcBorders>
            <w:vAlign w:val="center"/>
            <w:hideMark/>
          </w:tcPr>
          <w:p w14:paraId="6A9C38C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25 ods. 1 písm. c) a § 30 ods. 2 písm. c)</w:t>
            </w:r>
          </w:p>
        </w:tc>
        <w:tc>
          <w:tcPr>
            <w:tcW w:w="0" w:type="auto"/>
            <w:tcBorders>
              <w:top w:val="single" w:sz="4" w:space="0" w:color="auto"/>
              <w:left w:val="nil"/>
              <w:bottom w:val="single" w:sz="4" w:space="0" w:color="auto"/>
              <w:right w:val="single" w:sz="4" w:space="0" w:color="auto"/>
            </w:tcBorders>
            <w:vAlign w:val="center"/>
            <w:hideMark/>
          </w:tcPr>
          <w:p w14:paraId="063C063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47C620A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16DE750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veritelia, ktorým bolo udelené povolenie podľa § 25 ods. 1 písm. c) zákona č. 312/2025 Z. z.</w:t>
            </w:r>
          </w:p>
        </w:tc>
        <w:tc>
          <w:tcPr>
            <w:tcW w:w="0" w:type="auto"/>
            <w:tcBorders>
              <w:top w:val="single" w:sz="4" w:space="0" w:color="auto"/>
              <w:left w:val="nil"/>
              <w:bottom w:val="single" w:sz="4" w:space="0" w:color="auto"/>
              <w:right w:val="single" w:sz="4" w:space="0" w:color="auto"/>
            </w:tcBorders>
            <w:vAlign w:val="center"/>
            <w:hideMark/>
          </w:tcPr>
          <w:p w14:paraId="6F3BDA97"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   </w:t>
            </w:r>
          </w:p>
        </w:tc>
        <w:tc>
          <w:tcPr>
            <w:tcW w:w="0" w:type="auto"/>
            <w:tcBorders>
              <w:top w:val="single" w:sz="4" w:space="0" w:color="auto"/>
              <w:left w:val="nil"/>
              <w:bottom w:val="single" w:sz="4" w:space="0" w:color="auto"/>
              <w:right w:val="single" w:sz="4" w:space="0" w:color="auto"/>
            </w:tcBorders>
            <w:vAlign w:val="center"/>
            <w:hideMark/>
          </w:tcPr>
          <w:p w14:paraId="663DBF4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69DFDA5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4BC8036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5336C74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c>
          <w:tcPr>
            <w:tcW w:w="0" w:type="auto"/>
            <w:tcBorders>
              <w:top w:val="single" w:sz="4" w:space="0" w:color="auto"/>
              <w:left w:val="nil"/>
              <w:bottom w:val="single" w:sz="4" w:space="0" w:color="auto"/>
              <w:right w:val="single" w:sz="4" w:space="0" w:color="auto"/>
            </w:tcBorders>
            <w:vAlign w:val="center"/>
            <w:hideMark/>
          </w:tcPr>
          <w:p w14:paraId="7786DDB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1C41E59C" w14:textId="77777777" w:rsidTr="00AD56A0">
        <w:trPr>
          <w:cantSplit/>
          <w:trHeight w:val="1530"/>
        </w:trPr>
        <w:tc>
          <w:tcPr>
            <w:tcW w:w="0" w:type="auto"/>
            <w:tcBorders>
              <w:top w:val="single" w:sz="4" w:space="0" w:color="auto"/>
              <w:left w:val="single" w:sz="4" w:space="0" w:color="auto"/>
              <w:bottom w:val="single" w:sz="4" w:space="0" w:color="auto"/>
              <w:right w:val="single" w:sz="4" w:space="0" w:color="auto"/>
            </w:tcBorders>
            <w:vAlign w:val="center"/>
            <w:hideMark/>
          </w:tcPr>
          <w:p w14:paraId="52916AF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96</w:t>
            </w:r>
          </w:p>
        </w:tc>
        <w:tc>
          <w:tcPr>
            <w:tcW w:w="0" w:type="auto"/>
            <w:tcBorders>
              <w:top w:val="single" w:sz="4" w:space="0" w:color="auto"/>
              <w:left w:val="nil"/>
              <w:bottom w:val="single" w:sz="4" w:space="0" w:color="auto"/>
              <w:right w:val="single" w:sz="4" w:space="0" w:color="auto"/>
            </w:tcBorders>
            <w:vAlign w:val="center"/>
            <w:hideMark/>
          </w:tcPr>
          <w:p w14:paraId="2FC1450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vypustenie úkonu a poplatku za udelenie predchádzajúceho súhlasu na voľbu alebo vymenovanie osoby navrhovanej za člena dozornej rady platobnej inštitúcie alebo inštitúcie elektronických peňazí (špecifický symbol 8303 - iba v opatrení č. 5/2021 v znení opatrenia č. 8/2024)</w:t>
            </w:r>
          </w:p>
        </w:tc>
        <w:tc>
          <w:tcPr>
            <w:tcW w:w="0" w:type="auto"/>
            <w:tcBorders>
              <w:top w:val="single" w:sz="4" w:space="0" w:color="auto"/>
              <w:left w:val="nil"/>
              <w:bottom w:val="single" w:sz="4" w:space="0" w:color="auto"/>
              <w:right w:val="single" w:sz="4" w:space="0" w:color="auto"/>
            </w:tcBorders>
            <w:vAlign w:val="center"/>
            <w:hideMark/>
          </w:tcPr>
          <w:p w14:paraId="2482A37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492/2009 Z. z. v znení zákona č. 394/2011 Z. z.</w:t>
            </w:r>
          </w:p>
        </w:tc>
        <w:tc>
          <w:tcPr>
            <w:tcW w:w="0" w:type="auto"/>
            <w:tcBorders>
              <w:top w:val="single" w:sz="4" w:space="0" w:color="auto"/>
              <w:left w:val="nil"/>
              <w:bottom w:val="single" w:sz="4" w:space="0" w:color="auto"/>
              <w:right w:val="single" w:sz="4" w:space="0" w:color="auto"/>
            </w:tcBorders>
            <w:vAlign w:val="center"/>
            <w:hideMark/>
          </w:tcPr>
          <w:p w14:paraId="42C6F33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66 ods. 1 písm. b), § 81 ods. 1 a § 85 ods. 1 písm. b)</w:t>
            </w:r>
          </w:p>
        </w:tc>
        <w:tc>
          <w:tcPr>
            <w:tcW w:w="0" w:type="auto"/>
            <w:tcBorders>
              <w:top w:val="single" w:sz="4" w:space="0" w:color="auto"/>
              <w:left w:val="nil"/>
              <w:bottom w:val="single" w:sz="4" w:space="0" w:color="auto"/>
              <w:right w:val="single" w:sz="4" w:space="0" w:color="auto"/>
            </w:tcBorders>
            <w:vAlign w:val="center"/>
            <w:hideMark/>
          </w:tcPr>
          <w:p w14:paraId="656D41A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2B7D4245"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7F64224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platobné inštitúcie, inštutúcie elektronických peňazí</w:t>
            </w:r>
          </w:p>
        </w:tc>
        <w:tc>
          <w:tcPr>
            <w:tcW w:w="0" w:type="auto"/>
            <w:tcBorders>
              <w:top w:val="single" w:sz="4" w:space="0" w:color="auto"/>
              <w:left w:val="nil"/>
              <w:bottom w:val="single" w:sz="4" w:space="0" w:color="auto"/>
              <w:right w:val="single" w:sz="4" w:space="0" w:color="auto"/>
            </w:tcBorders>
            <w:vAlign w:val="center"/>
            <w:hideMark/>
          </w:tcPr>
          <w:p w14:paraId="3F8446D3"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4 </w:t>
            </w:r>
          </w:p>
        </w:tc>
        <w:tc>
          <w:tcPr>
            <w:tcW w:w="0" w:type="auto"/>
            <w:tcBorders>
              <w:top w:val="single" w:sz="4" w:space="0" w:color="auto"/>
              <w:left w:val="nil"/>
              <w:bottom w:val="single" w:sz="4" w:space="0" w:color="auto"/>
              <w:right w:val="single" w:sz="4" w:space="0" w:color="auto"/>
            </w:tcBorders>
            <w:vAlign w:val="center"/>
            <w:hideMark/>
          </w:tcPr>
          <w:p w14:paraId="509DF3A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10</w:t>
            </w:r>
          </w:p>
        </w:tc>
        <w:tc>
          <w:tcPr>
            <w:tcW w:w="0" w:type="auto"/>
            <w:tcBorders>
              <w:top w:val="single" w:sz="4" w:space="0" w:color="auto"/>
              <w:left w:val="nil"/>
              <w:bottom w:val="single" w:sz="4" w:space="0" w:color="auto"/>
              <w:right w:val="single" w:sz="4" w:space="0" w:color="auto"/>
            </w:tcBorders>
            <w:vAlign w:val="center"/>
            <w:hideMark/>
          </w:tcPr>
          <w:p w14:paraId="569A2AA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40</w:t>
            </w:r>
          </w:p>
        </w:tc>
        <w:tc>
          <w:tcPr>
            <w:tcW w:w="0" w:type="auto"/>
            <w:tcBorders>
              <w:top w:val="single" w:sz="4" w:space="0" w:color="auto"/>
              <w:left w:val="nil"/>
              <w:bottom w:val="single" w:sz="4" w:space="0" w:color="auto"/>
              <w:right w:val="single" w:sz="4" w:space="0" w:color="auto"/>
            </w:tcBorders>
            <w:vAlign w:val="center"/>
            <w:hideMark/>
          </w:tcPr>
          <w:p w14:paraId="7364588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Out (znižuje náklady)</w:t>
            </w:r>
          </w:p>
        </w:tc>
        <w:tc>
          <w:tcPr>
            <w:tcW w:w="0" w:type="auto"/>
            <w:tcBorders>
              <w:top w:val="single" w:sz="4" w:space="0" w:color="auto"/>
              <w:left w:val="nil"/>
              <w:bottom w:val="single" w:sz="4" w:space="0" w:color="auto"/>
              <w:right w:val="single" w:sz="4" w:space="0" w:color="auto"/>
            </w:tcBorders>
            <w:vAlign w:val="center"/>
            <w:hideMark/>
          </w:tcPr>
          <w:p w14:paraId="6BA64FB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40</w:t>
            </w:r>
          </w:p>
        </w:tc>
        <w:tc>
          <w:tcPr>
            <w:tcW w:w="0" w:type="auto"/>
            <w:tcBorders>
              <w:top w:val="single" w:sz="4" w:space="0" w:color="auto"/>
              <w:left w:val="nil"/>
              <w:bottom w:val="single" w:sz="4" w:space="0" w:color="auto"/>
              <w:right w:val="single" w:sz="4" w:space="0" w:color="auto"/>
            </w:tcBorders>
            <w:vAlign w:val="center"/>
            <w:hideMark/>
          </w:tcPr>
          <w:p w14:paraId="664E3E8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10D81B4C" w14:textId="77777777" w:rsidTr="00AD56A0">
        <w:trPr>
          <w:cantSplit/>
          <w:trHeight w:val="1530"/>
        </w:trPr>
        <w:tc>
          <w:tcPr>
            <w:tcW w:w="0" w:type="auto"/>
            <w:tcBorders>
              <w:top w:val="single" w:sz="4" w:space="0" w:color="auto"/>
              <w:left w:val="single" w:sz="4" w:space="0" w:color="auto"/>
              <w:bottom w:val="single" w:sz="4" w:space="0" w:color="auto"/>
              <w:right w:val="single" w:sz="4" w:space="0" w:color="auto"/>
            </w:tcBorders>
            <w:vAlign w:val="center"/>
            <w:hideMark/>
          </w:tcPr>
          <w:p w14:paraId="2712441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lastRenderedPageBreak/>
              <w:t>97</w:t>
            </w:r>
          </w:p>
        </w:tc>
        <w:tc>
          <w:tcPr>
            <w:tcW w:w="0" w:type="auto"/>
            <w:tcBorders>
              <w:top w:val="single" w:sz="4" w:space="0" w:color="auto"/>
              <w:left w:val="nil"/>
              <w:bottom w:val="single" w:sz="4" w:space="0" w:color="auto"/>
              <w:right w:val="single" w:sz="4" w:space="0" w:color="auto"/>
            </w:tcBorders>
            <w:vAlign w:val="center"/>
            <w:hideMark/>
          </w:tcPr>
          <w:p w14:paraId="02CB564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zvýšenie poplatku za udelenie predchádzajúceho súhlasu na voľbu osoby navrhovanej za člena predstavenstva správcovskej spoločnosti alebo za člena dozornej rady správcovskej spoločnosti alebo na menovanie prokuristu správcovskej spoločnosti (špecifický symbol 2303)</w:t>
            </w:r>
          </w:p>
        </w:tc>
        <w:tc>
          <w:tcPr>
            <w:tcW w:w="0" w:type="auto"/>
            <w:tcBorders>
              <w:top w:val="single" w:sz="4" w:space="0" w:color="auto"/>
              <w:left w:val="nil"/>
              <w:bottom w:val="single" w:sz="4" w:space="0" w:color="auto"/>
              <w:right w:val="single" w:sz="4" w:space="0" w:color="auto"/>
            </w:tcBorders>
            <w:vAlign w:val="center"/>
            <w:hideMark/>
          </w:tcPr>
          <w:p w14:paraId="4DBA1B3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203/2011 Z. z. v znení zákona č. 237/2017 Z. z.</w:t>
            </w:r>
          </w:p>
        </w:tc>
        <w:tc>
          <w:tcPr>
            <w:tcW w:w="0" w:type="auto"/>
            <w:tcBorders>
              <w:top w:val="single" w:sz="4" w:space="0" w:color="auto"/>
              <w:left w:val="nil"/>
              <w:bottom w:val="single" w:sz="4" w:space="0" w:color="auto"/>
              <w:right w:val="single" w:sz="4" w:space="0" w:color="auto"/>
            </w:tcBorders>
            <w:vAlign w:val="center"/>
            <w:hideMark/>
          </w:tcPr>
          <w:p w14:paraId="77B3E28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163 ods. 1 písm. c)</w:t>
            </w:r>
          </w:p>
        </w:tc>
        <w:tc>
          <w:tcPr>
            <w:tcW w:w="0" w:type="auto"/>
            <w:tcBorders>
              <w:top w:val="single" w:sz="4" w:space="0" w:color="auto"/>
              <w:left w:val="nil"/>
              <w:bottom w:val="single" w:sz="4" w:space="0" w:color="auto"/>
              <w:right w:val="single" w:sz="4" w:space="0" w:color="auto"/>
            </w:tcBorders>
            <w:vAlign w:val="center"/>
            <w:hideMark/>
          </w:tcPr>
          <w:p w14:paraId="4B055C8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27BCB0C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0CD7233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správcovské spoločnosti</w:t>
            </w:r>
          </w:p>
        </w:tc>
        <w:tc>
          <w:tcPr>
            <w:tcW w:w="0" w:type="auto"/>
            <w:tcBorders>
              <w:top w:val="single" w:sz="4" w:space="0" w:color="auto"/>
              <w:left w:val="nil"/>
              <w:bottom w:val="single" w:sz="4" w:space="0" w:color="auto"/>
              <w:right w:val="single" w:sz="4" w:space="0" w:color="auto"/>
            </w:tcBorders>
            <w:vAlign w:val="center"/>
            <w:hideMark/>
          </w:tcPr>
          <w:p w14:paraId="346F4CDA"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21 </w:t>
            </w:r>
          </w:p>
        </w:tc>
        <w:tc>
          <w:tcPr>
            <w:tcW w:w="0" w:type="auto"/>
            <w:tcBorders>
              <w:top w:val="single" w:sz="4" w:space="0" w:color="auto"/>
              <w:left w:val="nil"/>
              <w:bottom w:val="single" w:sz="4" w:space="0" w:color="auto"/>
              <w:right w:val="single" w:sz="4" w:space="0" w:color="auto"/>
            </w:tcBorders>
            <w:vAlign w:val="center"/>
            <w:hideMark/>
          </w:tcPr>
          <w:p w14:paraId="2CE4067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28</w:t>
            </w:r>
          </w:p>
        </w:tc>
        <w:tc>
          <w:tcPr>
            <w:tcW w:w="0" w:type="auto"/>
            <w:tcBorders>
              <w:top w:val="single" w:sz="4" w:space="0" w:color="auto"/>
              <w:left w:val="nil"/>
              <w:bottom w:val="single" w:sz="4" w:space="0" w:color="auto"/>
              <w:right w:val="single" w:sz="4" w:space="0" w:color="auto"/>
            </w:tcBorders>
            <w:vAlign w:val="center"/>
            <w:hideMark/>
          </w:tcPr>
          <w:p w14:paraId="42D7B5D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578</w:t>
            </w:r>
          </w:p>
        </w:tc>
        <w:tc>
          <w:tcPr>
            <w:tcW w:w="0" w:type="auto"/>
            <w:tcBorders>
              <w:top w:val="single" w:sz="4" w:space="0" w:color="auto"/>
              <w:left w:val="nil"/>
              <w:bottom w:val="single" w:sz="4" w:space="0" w:color="auto"/>
              <w:right w:val="single" w:sz="4" w:space="0" w:color="auto"/>
            </w:tcBorders>
            <w:vAlign w:val="center"/>
            <w:hideMark/>
          </w:tcPr>
          <w:p w14:paraId="68684AC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0408B0CC"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578</w:t>
            </w:r>
          </w:p>
        </w:tc>
        <w:tc>
          <w:tcPr>
            <w:tcW w:w="0" w:type="auto"/>
            <w:tcBorders>
              <w:top w:val="single" w:sz="4" w:space="0" w:color="auto"/>
              <w:left w:val="nil"/>
              <w:bottom w:val="single" w:sz="4" w:space="0" w:color="auto"/>
              <w:right w:val="single" w:sz="4" w:space="0" w:color="auto"/>
            </w:tcBorders>
            <w:vAlign w:val="center"/>
            <w:hideMark/>
          </w:tcPr>
          <w:p w14:paraId="5C733E0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572F55E4" w14:textId="77777777" w:rsidTr="00AD56A0">
        <w:trPr>
          <w:cantSplit/>
          <w:trHeight w:val="1530"/>
        </w:trPr>
        <w:tc>
          <w:tcPr>
            <w:tcW w:w="0" w:type="auto"/>
            <w:tcBorders>
              <w:top w:val="single" w:sz="4" w:space="0" w:color="auto"/>
              <w:left w:val="single" w:sz="4" w:space="0" w:color="auto"/>
              <w:bottom w:val="single" w:sz="4" w:space="0" w:color="auto"/>
              <w:right w:val="single" w:sz="4" w:space="0" w:color="auto"/>
            </w:tcBorders>
            <w:vAlign w:val="center"/>
            <w:hideMark/>
          </w:tcPr>
          <w:p w14:paraId="4D9BDE71"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98</w:t>
            </w:r>
          </w:p>
        </w:tc>
        <w:tc>
          <w:tcPr>
            <w:tcW w:w="0" w:type="auto"/>
            <w:tcBorders>
              <w:top w:val="single" w:sz="4" w:space="0" w:color="auto"/>
              <w:left w:val="nil"/>
              <w:bottom w:val="single" w:sz="4" w:space="0" w:color="auto"/>
              <w:right w:val="single" w:sz="4" w:space="0" w:color="auto"/>
            </w:tcBorders>
            <w:vAlign w:val="center"/>
            <w:hideMark/>
          </w:tcPr>
          <w:p w14:paraId="6FB178D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zvýšenie poplatku za udelenie predchádzajúceho súhlasu na voľbu člena predstavenstva, alebo na voľbu člena dozornej rady burzy cenných papierov, alebo na vymenovanie generálneho riaditeľa, alebo na vymenovanie vedúceho útvaru inšpekcie burzových obchodov (špecifický symbol 2337)</w:t>
            </w:r>
          </w:p>
        </w:tc>
        <w:tc>
          <w:tcPr>
            <w:tcW w:w="0" w:type="auto"/>
            <w:tcBorders>
              <w:top w:val="single" w:sz="4" w:space="0" w:color="auto"/>
              <w:left w:val="nil"/>
              <w:bottom w:val="single" w:sz="4" w:space="0" w:color="auto"/>
              <w:right w:val="single" w:sz="4" w:space="0" w:color="auto"/>
            </w:tcBorders>
            <w:vAlign w:val="center"/>
            <w:hideMark/>
          </w:tcPr>
          <w:p w14:paraId="0676414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429/2002 Z. z. v znení zákona č. 747/2004 Z. z.</w:t>
            </w:r>
          </w:p>
        </w:tc>
        <w:tc>
          <w:tcPr>
            <w:tcW w:w="0" w:type="auto"/>
            <w:tcBorders>
              <w:top w:val="single" w:sz="4" w:space="0" w:color="auto"/>
              <w:left w:val="nil"/>
              <w:bottom w:val="single" w:sz="4" w:space="0" w:color="auto"/>
              <w:right w:val="single" w:sz="4" w:space="0" w:color="auto"/>
            </w:tcBorders>
            <w:vAlign w:val="center"/>
            <w:hideMark/>
          </w:tcPr>
          <w:p w14:paraId="01B3F56D"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6 ods. 1 písm. b)</w:t>
            </w:r>
          </w:p>
        </w:tc>
        <w:tc>
          <w:tcPr>
            <w:tcW w:w="0" w:type="auto"/>
            <w:tcBorders>
              <w:top w:val="single" w:sz="4" w:space="0" w:color="auto"/>
              <w:left w:val="nil"/>
              <w:bottom w:val="single" w:sz="4" w:space="0" w:color="auto"/>
              <w:right w:val="single" w:sz="4" w:space="0" w:color="auto"/>
            </w:tcBorders>
            <w:vAlign w:val="center"/>
            <w:hideMark/>
          </w:tcPr>
          <w:p w14:paraId="6FDB10E4"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4223E0C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757437D8"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burza cenných papierov</w:t>
            </w:r>
          </w:p>
        </w:tc>
        <w:tc>
          <w:tcPr>
            <w:tcW w:w="0" w:type="auto"/>
            <w:tcBorders>
              <w:top w:val="single" w:sz="4" w:space="0" w:color="auto"/>
              <w:left w:val="nil"/>
              <w:bottom w:val="single" w:sz="4" w:space="0" w:color="auto"/>
              <w:right w:val="single" w:sz="4" w:space="0" w:color="auto"/>
            </w:tcBorders>
            <w:vAlign w:val="center"/>
            <w:hideMark/>
          </w:tcPr>
          <w:p w14:paraId="068F40B9"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2 </w:t>
            </w:r>
          </w:p>
        </w:tc>
        <w:tc>
          <w:tcPr>
            <w:tcW w:w="0" w:type="auto"/>
            <w:tcBorders>
              <w:top w:val="single" w:sz="4" w:space="0" w:color="auto"/>
              <w:left w:val="nil"/>
              <w:bottom w:val="single" w:sz="4" w:space="0" w:color="auto"/>
              <w:right w:val="single" w:sz="4" w:space="0" w:color="auto"/>
            </w:tcBorders>
            <w:vAlign w:val="center"/>
            <w:hideMark/>
          </w:tcPr>
          <w:p w14:paraId="40B2B85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28</w:t>
            </w:r>
          </w:p>
        </w:tc>
        <w:tc>
          <w:tcPr>
            <w:tcW w:w="0" w:type="auto"/>
            <w:tcBorders>
              <w:top w:val="single" w:sz="4" w:space="0" w:color="auto"/>
              <w:left w:val="nil"/>
              <w:bottom w:val="single" w:sz="4" w:space="0" w:color="auto"/>
              <w:right w:val="single" w:sz="4" w:space="0" w:color="auto"/>
            </w:tcBorders>
            <w:vAlign w:val="center"/>
            <w:hideMark/>
          </w:tcPr>
          <w:p w14:paraId="2357F313"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55</w:t>
            </w:r>
          </w:p>
        </w:tc>
        <w:tc>
          <w:tcPr>
            <w:tcW w:w="0" w:type="auto"/>
            <w:tcBorders>
              <w:top w:val="single" w:sz="4" w:space="0" w:color="auto"/>
              <w:left w:val="nil"/>
              <w:bottom w:val="single" w:sz="4" w:space="0" w:color="auto"/>
              <w:right w:val="single" w:sz="4" w:space="0" w:color="auto"/>
            </w:tcBorders>
            <w:vAlign w:val="center"/>
            <w:hideMark/>
          </w:tcPr>
          <w:p w14:paraId="0014DC3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3B5132A6"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55</w:t>
            </w:r>
          </w:p>
        </w:tc>
        <w:tc>
          <w:tcPr>
            <w:tcW w:w="0" w:type="auto"/>
            <w:tcBorders>
              <w:top w:val="single" w:sz="4" w:space="0" w:color="auto"/>
              <w:left w:val="nil"/>
              <w:bottom w:val="single" w:sz="4" w:space="0" w:color="auto"/>
              <w:right w:val="single" w:sz="4" w:space="0" w:color="auto"/>
            </w:tcBorders>
            <w:vAlign w:val="center"/>
            <w:hideMark/>
          </w:tcPr>
          <w:p w14:paraId="3510F02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r w:rsidR="00B1197B" w:rsidRPr="00F3455B" w14:paraId="3487357A" w14:textId="77777777" w:rsidTr="00AD56A0">
        <w:trPr>
          <w:cantSplit/>
          <w:trHeight w:val="1275"/>
        </w:trPr>
        <w:tc>
          <w:tcPr>
            <w:tcW w:w="0" w:type="auto"/>
            <w:tcBorders>
              <w:top w:val="single" w:sz="4" w:space="0" w:color="auto"/>
              <w:left w:val="single" w:sz="4" w:space="0" w:color="auto"/>
              <w:bottom w:val="single" w:sz="4" w:space="0" w:color="auto"/>
              <w:right w:val="single" w:sz="4" w:space="0" w:color="auto"/>
            </w:tcBorders>
            <w:vAlign w:val="center"/>
            <w:hideMark/>
          </w:tcPr>
          <w:p w14:paraId="4DFF00DE"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lastRenderedPageBreak/>
              <w:t>99</w:t>
            </w:r>
          </w:p>
        </w:tc>
        <w:tc>
          <w:tcPr>
            <w:tcW w:w="0" w:type="auto"/>
            <w:tcBorders>
              <w:top w:val="single" w:sz="4" w:space="0" w:color="auto"/>
              <w:left w:val="nil"/>
              <w:bottom w:val="single" w:sz="4" w:space="0" w:color="auto"/>
              <w:right w:val="single" w:sz="4" w:space="0" w:color="auto"/>
            </w:tcBorders>
            <w:vAlign w:val="center"/>
            <w:hideMark/>
          </w:tcPr>
          <w:p w14:paraId="4AD113D9"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zvýšenie poplatku za udelenie predchádzajúceho súhlasu na voľbu osoby navrhovanej za člena predstavenstva obchodníka s cennými papiermi, vedúceho pobočky zahraničného obchodníka s cennými papiermi (špecifický symbol 2340)</w:t>
            </w:r>
          </w:p>
        </w:tc>
        <w:tc>
          <w:tcPr>
            <w:tcW w:w="0" w:type="auto"/>
            <w:tcBorders>
              <w:top w:val="single" w:sz="4" w:space="0" w:color="auto"/>
              <w:left w:val="nil"/>
              <w:bottom w:val="single" w:sz="4" w:space="0" w:color="auto"/>
              <w:right w:val="single" w:sz="4" w:space="0" w:color="auto"/>
            </w:tcBorders>
            <w:vAlign w:val="center"/>
            <w:hideMark/>
          </w:tcPr>
          <w:p w14:paraId="51F3457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zákon č. 566/2001 Z. z. v znení neskorších predpisov</w:t>
            </w:r>
          </w:p>
        </w:tc>
        <w:tc>
          <w:tcPr>
            <w:tcW w:w="0" w:type="auto"/>
            <w:tcBorders>
              <w:top w:val="single" w:sz="4" w:space="0" w:color="auto"/>
              <w:left w:val="nil"/>
              <w:bottom w:val="single" w:sz="4" w:space="0" w:color="auto"/>
              <w:right w:val="single" w:sz="4" w:space="0" w:color="auto"/>
            </w:tcBorders>
            <w:vAlign w:val="center"/>
            <w:hideMark/>
          </w:tcPr>
          <w:p w14:paraId="7CBC098A"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70 ods. 1 písm. c)</w:t>
            </w:r>
          </w:p>
        </w:tc>
        <w:tc>
          <w:tcPr>
            <w:tcW w:w="0" w:type="auto"/>
            <w:tcBorders>
              <w:top w:val="single" w:sz="4" w:space="0" w:color="auto"/>
              <w:left w:val="nil"/>
              <w:bottom w:val="single" w:sz="4" w:space="0" w:color="auto"/>
              <w:right w:val="single" w:sz="4" w:space="0" w:color="auto"/>
            </w:tcBorders>
            <w:vAlign w:val="center"/>
            <w:hideMark/>
          </w:tcPr>
          <w:p w14:paraId="54C6FF3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1.SK</w:t>
            </w:r>
          </w:p>
        </w:tc>
        <w:tc>
          <w:tcPr>
            <w:tcW w:w="0" w:type="auto"/>
            <w:tcBorders>
              <w:top w:val="single" w:sz="4" w:space="0" w:color="auto"/>
              <w:left w:val="nil"/>
              <w:bottom w:val="single" w:sz="4" w:space="0" w:color="auto"/>
              <w:right w:val="single" w:sz="4" w:space="0" w:color="auto"/>
            </w:tcBorders>
            <w:vAlign w:val="center"/>
            <w:hideMark/>
          </w:tcPr>
          <w:p w14:paraId="713B078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01.01.27</w:t>
            </w:r>
          </w:p>
        </w:tc>
        <w:tc>
          <w:tcPr>
            <w:tcW w:w="0" w:type="auto"/>
            <w:tcBorders>
              <w:top w:val="single" w:sz="4" w:space="0" w:color="auto"/>
              <w:left w:val="nil"/>
              <w:bottom w:val="single" w:sz="4" w:space="0" w:color="auto"/>
              <w:right w:val="single" w:sz="4" w:space="0" w:color="auto"/>
            </w:tcBorders>
            <w:vAlign w:val="center"/>
            <w:hideMark/>
          </w:tcPr>
          <w:p w14:paraId="009B9DC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obchodníci s cennými papiermi</w:t>
            </w:r>
          </w:p>
        </w:tc>
        <w:tc>
          <w:tcPr>
            <w:tcW w:w="0" w:type="auto"/>
            <w:tcBorders>
              <w:top w:val="single" w:sz="4" w:space="0" w:color="auto"/>
              <w:left w:val="nil"/>
              <w:bottom w:val="single" w:sz="4" w:space="0" w:color="auto"/>
              <w:right w:val="single" w:sz="4" w:space="0" w:color="auto"/>
            </w:tcBorders>
            <w:vAlign w:val="center"/>
            <w:hideMark/>
          </w:tcPr>
          <w:p w14:paraId="6CFFD073" w14:textId="77777777" w:rsidR="00B1197B" w:rsidRPr="00F3455B" w:rsidRDefault="00B1197B" w:rsidP="00F3455B">
            <w:pPr>
              <w:spacing w:after="0" w:line="240" w:lineRule="auto"/>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 xml:space="preserve">                   8 </w:t>
            </w:r>
          </w:p>
        </w:tc>
        <w:tc>
          <w:tcPr>
            <w:tcW w:w="0" w:type="auto"/>
            <w:tcBorders>
              <w:top w:val="single" w:sz="4" w:space="0" w:color="auto"/>
              <w:left w:val="nil"/>
              <w:bottom w:val="single" w:sz="4" w:space="0" w:color="auto"/>
              <w:right w:val="single" w:sz="4" w:space="0" w:color="auto"/>
            </w:tcBorders>
            <w:vAlign w:val="center"/>
            <w:hideMark/>
          </w:tcPr>
          <w:p w14:paraId="2CECB5BB"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28</w:t>
            </w:r>
          </w:p>
        </w:tc>
        <w:tc>
          <w:tcPr>
            <w:tcW w:w="0" w:type="auto"/>
            <w:tcBorders>
              <w:top w:val="single" w:sz="4" w:space="0" w:color="auto"/>
              <w:left w:val="nil"/>
              <w:bottom w:val="single" w:sz="4" w:space="0" w:color="auto"/>
              <w:right w:val="single" w:sz="4" w:space="0" w:color="auto"/>
            </w:tcBorders>
            <w:vAlign w:val="center"/>
            <w:hideMark/>
          </w:tcPr>
          <w:p w14:paraId="10047FCF"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220</w:t>
            </w:r>
          </w:p>
        </w:tc>
        <w:tc>
          <w:tcPr>
            <w:tcW w:w="0" w:type="auto"/>
            <w:tcBorders>
              <w:top w:val="single" w:sz="4" w:space="0" w:color="auto"/>
              <w:left w:val="nil"/>
              <w:bottom w:val="single" w:sz="4" w:space="0" w:color="auto"/>
              <w:right w:val="single" w:sz="4" w:space="0" w:color="auto"/>
            </w:tcBorders>
            <w:vAlign w:val="center"/>
            <w:hideMark/>
          </w:tcPr>
          <w:p w14:paraId="17A7D68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In (zvyšuje náklady)</w:t>
            </w:r>
          </w:p>
        </w:tc>
        <w:tc>
          <w:tcPr>
            <w:tcW w:w="0" w:type="auto"/>
            <w:tcBorders>
              <w:top w:val="single" w:sz="4" w:space="0" w:color="auto"/>
              <w:left w:val="nil"/>
              <w:bottom w:val="single" w:sz="4" w:space="0" w:color="auto"/>
              <w:right w:val="single" w:sz="4" w:space="0" w:color="auto"/>
            </w:tcBorders>
            <w:vAlign w:val="center"/>
            <w:hideMark/>
          </w:tcPr>
          <w:p w14:paraId="1CDCF672"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220</w:t>
            </w:r>
          </w:p>
        </w:tc>
        <w:tc>
          <w:tcPr>
            <w:tcW w:w="0" w:type="auto"/>
            <w:tcBorders>
              <w:top w:val="single" w:sz="4" w:space="0" w:color="auto"/>
              <w:left w:val="nil"/>
              <w:bottom w:val="single" w:sz="4" w:space="0" w:color="auto"/>
              <w:right w:val="single" w:sz="4" w:space="0" w:color="auto"/>
            </w:tcBorders>
            <w:vAlign w:val="center"/>
            <w:hideMark/>
          </w:tcPr>
          <w:p w14:paraId="63E73640" w14:textId="77777777" w:rsidR="00B1197B" w:rsidRPr="00F3455B" w:rsidRDefault="00B1197B" w:rsidP="00F3455B">
            <w:pPr>
              <w:spacing w:after="0" w:line="240" w:lineRule="auto"/>
              <w:jc w:val="center"/>
              <w:rPr>
                <w:rFonts w:ascii="Times New Roman" w:eastAsia="Times New Roman" w:hAnsi="Times New Roman" w:cs="Times New Roman"/>
                <w:sz w:val="20"/>
                <w:szCs w:val="20"/>
                <w:lang w:eastAsia="sk-SK"/>
              </w:rPr>
            </w:pPr>
            <w:r w:rsidRPr="00F3455B">
              <w:rPr>
                <w:rFonts w:ascii="Times New Roman" w:eastAsia="Times New Roman" w:hAnsi="Times New Roman" w:cs="Times New Roman"/>
                <w:sz w:val="20"/>
                <w:szCs w:val="20"/>
                <w:lang w:eastAsia="sk-SK"/>
              </w:rPr>
              <w:t>0</w:t>
            </w:r>
          </w:p>
        </w:tc>
      </w:tr>
    </w:tbl>
    <w:p w14:paraId="798179FB" w14:textId="77777777" w:rsidR="00054C41" w:rsidRPr="00F3455B" w:rsidRDefault="00054C41" w:rsidP="00054C41">
      <w:pPr>
        <w:jc w:val="both"/>
        <w:rPr>
          <w:rFonts w:ascii="Times New Roman" w:eastAsia="Calibri" w:hAnsi="Times New Roman" w:cs="Times New Roman"/>
          <w:iCs/>
          <w:sz w:val="24"/>
          <w:szCs w:val="24"/>
        </w:rPr>
        <w:sectPr w:rsidR="00054C41" w:rsidRPr="00F3455B" w:rsidSect="00142154">
          <w:pgSz w:w="16838" w:h="11906" w:orient="landscape"/>
          <w:pgMar w:top="1417" w:right="1417" w:bottom="1417" w:left="1417" w:header="708" w:footer="708" w:gutter="0"/>
          <w:cols w:space="708"/>
          <w:docGrid w:linePitch="360"/>
        </w:sectPr>
      </w:pPr>
    </w:p>
    <w:p w14:paraId="77318665" w14:textId="77777777" w:rsidR="00054C41" w:rsidRPr="009C13B2" w:rsidRDefault="00511F8F" w:rsidP="00054C41">
      <w:pPr>
        <w:jc w:val="both"/>
        <w:rPr>
          <w:rFonts w:ascii="Times New Roman" w:eastAsia="Calibri" w:hAnsi="Times New Roman" w:cs="Times New Roman"/>
          <w:b/>
          <w:bCs/>
          <w:i/>
          <w:sz w:val="24"/>
          <w:szCs w:val="24"/>
          <w:u w:val="single"/>
        </w:rPr>
      </w:pPr>
      <w:r w:rsidRPr="009C13B2">
        <w:rPr>
          <w:rFonts w:ascii="Times New Roman" w:eastAsia="Calibri" w:hAnsi="Times New Roman" w:cs="Times New Roman"/>
          <w:b/>
          <w:bCs/>
          <w:i/>
          <w:sz w:val="24"/>
          <w:szCs w:val="24"/>
          <w:u w:val="single"/>
        </w:rPr>
        <w:lastRenderedPageBreak/>
        <w:t xml:space="preserve">3.1.3 </w:t>
      </w:r>
      <w:r w:rsidR="00054C41" w:rsidRPr="009C13B2">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21164988" w14:textId="77777777" w:rsidR="0058529E" w:rsidRPr="009C13B2" w:rsidRDefault="0058529E" w:rsidP="00B01196">
      <w:pPr>
        <w:spacing w:after="0"/>
        <w:jc w:val="both"/>
        <w:rPr>
          <w:rFonts w:ascii="Times New Roman" w:eastAsia="Calibri" w:hAnsi="Times New Roman" w:cs="Times New Roman"/>
          <w:b/>
          <w:sz w:val="24"/>
          <w:szCs w:val="24"/>
        </w:rPr>
      </w:pPr>
    </w:p>
    <w:p w14:paraId="1A5AEA58" w14:textId="77777777" w:rsidR="0076329B" w:rsidRPr="009C13B2" w:rsidRDefault="0076329B" w:rsidP="0076329B">
      <w:pPr>
        <w:spacing w:after="0"/>
        <w:jc w:val="both"/>
        <w:rPr>
          <w:rFonts w:ascii="Times New Roman" w:eastAsia="Calibri" w:hAnsi="Times New Roman" w:cs="Times New Roman"/>
          <w:b/>
          <w:sz w:val="24"/>
          <w:szCs w:val="24"/>
        </w:rPr>
      </w:pPr>
      <w:r w:rsidRPr="009C13B2">
        <w:rPr>
          <w:rFonts w:ascii="Times New Roman" w:eastAsia="Calibri" w:hAnsi="Times New Roman" w:cs="Times New Roman"/>
          <w:b/>
          <w:sz w:val="24"/>
          <w:szCs w:val="24"/>
        </w:rPr>
        <w:t>Všeobecné informácie k výpočtu predpokladaných vplyvov návrhu opatrenia na podnikateľské prostredie</w:t>
      </w:r>
    </w:p>
    <w:p w14:paraId="2CDCFA33" w14:textId="77777777" w:rsidR="0076329B" w:rsidRPr="009C13B2" w:rsidRDefault="0076329B" w:rsidP="0076329B">
      <w:pPr>
        <w:spacing w:after="0"/>
        <w:jc w:val="both"/>
        <w:rPr>
          <w:rFonts w:ascii="Times New Roman" w:eastAsia="Calibri" w:hAnsi="Times New Roman" w:cs="Times New Roman"/>
          <w:bCs/>
          <w:sz w:val="24"/>
          <w:szCs w:val="24"/>
        </w:rPr>
      </w:pPr>
    </w:p>
    <w:p w14:paraId="34775443" w14:textId="77777777"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Pri posúdení potenciálnych vplyvov návrhu opatrenia na podnikateľské prostredie Národná banka Slovenska vychádzala:</w:t>
      </w:r>
    </w:p>
    <w:p w14:paraId="60E87118" w14:textId="77777777"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 xml:space="preserve">z informácií uvedených vo verejných registroch, ktoré predmetný orgán vedie (najmä </w:t>
      </w:r>
      <w:hyperlink r:id="rId12" w:history="1">
        <w:r w:rsidRPr="009C13B2">
          <w:rPr>
            <w:rStyle w:val="Hyperlink"/>
            <w:rFonts w:ascii="Times New Roman" w:eastAsia="Calibri" w:hAnsi="Times New Roman" w:cs="Times New Roman"/>
            <w:bCs/>
            <w:color w:val="auto"/>
            <w:sz w:val="24"/>
            <w:szCs w:val="24"/>
          </w:rPr>
          <w:t>https://subjekty.nbs.sk/</w:t>
        </w:r>
      </w:hyperlink>
      <w:r w:rsidRPr="009C13B2">
        <w:rPr>
          <w:rFonts w:ascii="Times New Roman" w:eastAsia="Calibri" w:hAnsi="Times New Roman" w:cs="Times New Roman"/>
          <w:bCs/>
          <w:sz w:val="24"/>
          <w:szCs w:val="24"/>
        </w:rPr>
        <w:t xml:space="preserve">), </w:t>
      </w:r>
    </w:p>
    <w:p w14:paraId="50478EFE" w14:textId="77777777"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z informácií uvedených  v neverejných registroch, resp. interných evidenciách Národnej banky Slovenska,</w:t>
      </w:r>
    </w:p>
    <w:p w14:paraId="644587FA" w14:textId="77777777"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z informácií komunikovaných Národnej banke Slovenska v rámci konzultácií, resp. iných foriem spolupráce so zástupcami príslušných subjektov pôsobiacich na finančnom trhu, resp. zástupcami potenciálnych budúcich subjektov finančného trhu, ako aj so zástupcami príslušných štátnych orgánov (najmä Ministerstva financií Slovenskej republiky),</w:t>
      </w:r>
    </w:p>
    <w:p w14:paraId="5A7E7CA0" w14:textId="77777777"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z relevantných skutočností vyplývajúcich z príslušnej legislatívy Európskej únie, resp. právnych predpisov Slovenskej republiky.</w:t>
      </w:r>
    </w:p>
    <w:p w14:paraId="417FFB2A" w14:textId="77777777" w:rsidR="0076329B" w:rsidRPr="009C13B2" w:rsidRDefault="0076329B" w:rsidP="0076329B">
      <w:pPr>
        <w:spacing w:after="0"/>
        <w:jc w:val="both"/>
        <w:rPr>
          <w:rFonts w:ascii="Times New Roman" w:eastAsia="Calibri" w:hAnsi="Times New Roman" w:cs="Times New Roman"/>
          <w:bCs/>
          <w:sz w:val="24"/>
          <w:szCs w:val="24"/>
        </w:rPr>
      </w:pPr>
    </w:p>
    <w:p w14:paraId="65D34974" w14:textId="77777777"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Podľa § 41 ods. 1 zákona č. 747/2004 Z. z. o dohľade nad finančným trhom a o zmene a doplnení niektorých zákonov v znení neskorších predpisov sa poplatky uhrádzajú Národnej banke Slovenska, ak sa podľa tohto zákona alebo osobitných predpisov vykonávajú úkony alebo konanie Národnej banky Slovenska pri dohľade nad dohliadanými subjektmi (ďalej len „úkony“) na základe</w:t>
      </w:r>
    </w:p>
    <w:p w14:paraId="75B5E71D" w14:textId="77777777"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a) </w:t>
      </w:r>
      <w:r w:rsidRPr="009C13B2">
        <w:rPr>
          <w:rFonts w:ascii="Times New Roman" w:eastAsia="Calibri" w:hAnsi="Times New Roman" w:cs="Times New Roman"/>
          <w:bCs/>
          <w:sz w:val="24"/>
          <w:szCs w:val="24"/>
        </w:rPr>
        <w:tab/>
        <w:t>žiadosti o</w:t>
      </w:r>
    </w:p>
    <w:p w14:paraId="5E704D07" w14:textId="77777777" w:rsidR="0076329B" w:rsidRPr="009C13B2" w:rsidRDefault="0076329B" w:rsidP="0076329B">
      <w:pPr>
        <w:spacing w:after="0"/>
        <w:ind w:left="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1. udelenie povolenia alebo licencie,</w:t>
      </w:r>
    </w:p>
    <w:p w14:paraId="1547EB60" w14:textId="77777777" w:rsidR="0076329B" w:rsidRPr="009C13B2" w:rsidRDefault="0076329B" w:rsidP="0076329B">
      <w:pPr>
        <w:spacing w:after="0"/>
        <w:ind w:left="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2. rozšírenie alebo inú zmenu udeleného povolenia alebo licencie,</w:t>
      </w:r>
    </w:p>
    <w:p w14:paraId="031D6F96" w14:textId="77777777" w:rsidR="0076329B" w:rsidRPr="009C13B2" w:rsidRDefault="0076329B" w:rsidP="0076329B">
      <w:pPr>
        <w:spacing w:after="0"/>
        <w:ind w:left="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3. udelenie súhlasu alebo predchádzajúceho súhlasu,</w:t>
      </w:r>
    </w:p>
    <w:p w14:paraId="1B4E7954" w14:textId="77777777" w:rsidR="0076329B" w:rsidRPr="009C13B2" w:rsidRDefault="0076329B" w:rsidP="0076329B">
      <w:pPr>
        <w:spacing w:after="0"/>
        <w:ind w:left="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4. zmenu udeleného súhlasu alebo predchádzajúceho súhlasu,</w:t>
      </w:r>
    </w:p>
    <w:p w14:paraId="2C9148F6" w14:textId="77777777" w:rsidR="0076329B" w:rsidRPr="009C13B2" w:rsidRDefault="0076329B" w:rsidP="0076329B">
      <w:pPr>
        <w:spacing w:after="0"/>
        <w:ind w:left="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5. schválenie úkonu, prospektu alebo iného dokumentu,</w:t>
      </w:r>
    </w:p>
    <w:p w14:paraId="5CA8CDBF" w14:textId="77777777"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b) </w:t>
      </w:r>
      <w:r w:rsidRPr="009C13B2">
        <w:rPr>
          <w:rFonts w:ascii="Times New Roman" w:eastAsia="Calibri" w:hAnsi="Times New Roman" w:cs="Times New Roman"/>
          <w:bCs/>
          <w:sz w:val="24"/>
          <w:szCs w:val="24"/>
        </w:rPr>
        <w:tab/>
        <w:t>rozkladu proti prvostupňovému rozhodnutiu o žiadosti podľa písmena a),</w:t>
      </w:r>
    </w:p>
    <w:p w14:paraId="52EA040F" w14:textId="77777777"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c) </w:t>
      </w:r>
      <w:r w:rsidRPr="009C13B2">
        <w:rPr>
          <w:rFonts w:ascii="Times New Roman" w:eastAsia="Calibri" w:hAnsi="Times New Roman" w:cs="Times New Roman"/>
          <w:bCs/>
          <w:sz w:val="24"/>
          <w:szCs w:val="24"/>
        </w:rPr>
        <w:tab/>
        <w:t>žiadosti o vydanie duplikátu povolenia, duplikátu licencie, duplikátu schválenia, duplikátu súhlasu, duplikátu predchádzajúceho súhlasu alebo duplikátu iného rozhodnutia Národnej banky Slovenska,</w:t>
      </w:r>
    </w:p>
    <w:p w14:paraId="76AA8DF6" w14:textId="77777777"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d) </w:t>
      </w:r>
      <w:r w:rsidRPr="009C13B2">
        <w:rPr>
          <w:rFonts w:ascii="Times New Roman" w:eastAsia="Calibri" w:hAnsi="Times New Roman" w:cs="Times New Roman"/>
          <w:bCs/>
          <w:sz w:val="24"/>
          <w:szCs w:val="24"/>
        </w:rPr>
        <w:tab/>
        <w:t>inej žiadosti podľa tohto zákona alebo osobitného predpisu.</w:t>
      </w:r>
    </w:p>
    <w:p w14:paraId="08150065" w14:textId="77777777" w:rsidR="0076329B" w:rsidRPr="009C13B2" w:rsidRDefault="0076329B" w:rsidP="0076329B">
      <w:pPr>
        <w:spacing w:after="0"/>
        <w:jc w:val="both"/>
        <w:rPr>
          <w:rFonts w:ascii="Times New Roman" w:eastAsia="Calibri" w:hAnsi="Times New Roman" w:cs="Times New Roman"/>
          <w:bCs/>
          <w:sz w:val="24"/>
          <w:szCs w:val="24"/>
        </w:rPr>
      </w:pPr>
    </w:p>
    <w:p w14:paraId="28BCD711" w14:textId="052CFF42"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Ako vyplýva z § 41 ods. 2 zákona č. 747/2004 Z. z. v znení neskorších predpisov, poplatky za jednotlivé druhy úkonov sa ustanovujú predovšetkým v závislosti od rozsahu, náročnosti a zložitosti príslušných druhov úkonov. Poplatky za úkony Národnej banky Slovenska sú, v súlade s predmetným ustanovením zákona, v návrhu opatrenia, resp. v opatrení Národnej banky Slovenska</w:t>
      </w:r>
      <w:r w:rsidR="001F2152" w:rsidRPr="009C13B2">
        <w:rPr>
          <w:rFonts w:ascii="Times New Roman" w:eastAsia="Calibri" w:hAnsi="Times New Roman" w:cs="Times New Roman"/>
          <w:bCs/>
          <w:sz w:val="24"/>
          <w:szCs w:val="24"/>
        </w:rPr>
        <w:t xml:space="preserve"> z 25. mája 2021</w:t>
      </w:r>
      <w:r w:rsidRPr="009C13B2">
        <w:rPr>
          <w:rFonts w:ascii="Times New Roman" w:eastAsia="Calibri" w:hAnsi="Times New Roman" w:cs="Times New Roman"/>
          <w:bCs/>
          <w:sz w:val="24"/>
          <w:szCs w:val="24"/>
        </w:rPr>
        <w:t xml:space="preserve"> č. 5/2021</w:t>
      </w:r>
      <w:r w:rsidR="001F2152"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 xml:space="preserve">o poplatkoch za úkony Národnej banky Slovenska </w:t>
      </w:r>
      <w:r w:rsidR="001F2152" w:rsidRPr="009C13B2">
        <w:rPr>
          <w:rFonts w:ascii="Times New Roman" w:eastAsia="Calibri" w:hAnsi="Times New Roman" w:cs="Times New Roman"/>
          <w:bCs/>
          <w:sz w:val="24"/>
          <w:szCs w:val="24"/>
        </w:rPr>
        <w:t xml:space="preserve">v znení opatrenia z 3. decembra 2024 č. 8/2024 </w:t>
      </w:r>
      <w:r w:rsidRPr="009C13B2">
        <w:rPr>
          <w:rFonts w:ascii="Times New Roman" w:eastAsia="Calibri" w:hAnsi="Times New Roman" w:cs="Times New Roman"/>
          <w:bCs/>
          <w:sz w:val="24"/>
          <w:szCs w:val="24"/>
        </w:rPr>
        <w:t>(</w:t>
      </w:r>
      <w:r w:rsidR="001F2152" w:rsidRPr="009C13B2">
        <w:rPr>
          <w:rFonts w:ascii="Times New Roman" w:eastAsia="Calibri" w:hAnsi="Times New Roman" w:cs="Times New Roman"/>
          <w:bCs/>
          <w:sz w:val="24"/>
          <w:szCs w:val="24"/>
        </w:rPr>
        <w:t xml:space="preserve">ďalej len „opatrenie č. 5/2021”), </w:t>
      </w:r>
      <w:r w:rsidRPr="009C13B2">
        <w:rPr>
          <w:rFonts w:ascii="Times New Roman" w:eastAsia="Calibri" w:hAnsi="Times New Roman" w:cs="Times New Roman"/>
          <w:bCs/>
          <w:sz w:val="24"/>
          <w:szCs w:val="24"/>
        </w:rPr>
        <w:t xml:space="preserve">ktoré má byť návrhom opatrenia novelizované, </w:t>
      </w:r>
      <w:r w:rsidR="001F2152" w:rsidRPr="009C13B2">
        <w:rPr>
          <w:rFonts w:ascii="Times New Roman" w:eastAsia="Calibri" w:hAnsi="Times New Roman" w:cs="Times New Roman"/>
          <w:bCs/>
          <w:sz w:val="24"/>
          <w:szCs w:val="24"/>
        </w:rPr>
        <w:t xml:space="preserve">určené </w:t>
      </w:r>
      <w:r w:rsidRPr="009C13B2">
        <w:rPr>
          <w:rFonts w:ascii="Times New Roman" w:eastAsia="Calibri" w:hAnsi="Times New Roman" w:cs="Times New Roman"/>
          <w:bCs/>
          <w:sz w:val="24"/>
          <w:szCs w:val="24"/>
        </w:rPr>
        <w:t>pevnou sumou.</w:t>
      </w:r>
    </w:p>
    <w:p w14:paraId="6F937FBD" w14:textId="77777777"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Vplyv poplatkov (spojených s úkonmi identifikovanými v návrhu opatrenia) na podnikateľské prostredie z povahy veci nie je možné spoľahlivo predikovať, a teda ani exaktne kvantifikovať, s ohľadom na skutočnosť, že vykonanie úkonov identifikovaných v návrhu opatrenia, ktoré by </w:t>
      </w:r>
      <w:r w:rsidRPr="009C13B2">
        <w:rPr>
          <w:rFonts w:ascii="Times New Roman" w:eastAsia="Calibri" w:hAnsi="Times New Roman" w:cs="Times New Roman"/>
          <w:bCs/>
          <w:sz w:val="24"/>
          <w:szCs w:val="24"/>
        </w:rPr>
        <w:lastRenderedPageBreak/>
        <w:t>potenciálne mohli mať vplyv na podnikateľské prostredie, závisí od viacerých, vopred nepredvídateľných aspektov viažucich sa na činnosť príslušných subjektov, pričom v prípade každého z takýchto subjektov sa povinnosť uhradiť Národnej banke Slovenska poplatok viaže na jeho podanie smerujúce k vykonaniu úkonu a doručené Národnej banke Slovenska v zmysle vyššie spomínaného § 41 ods. 1 zákona č. 747/2004 Z. z. v znení neskorších predpisov.</w:t>
      </w:r>
    </w:p>
    <w:p w14:paraId="0F176D1B" w14:textId="069F93A4"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V naznačenom kontexte bol pre účely kvantifikovania vplyvov na podnikateľské prostredie v tabuľke č. 2 využitý expertný odhad, opierajúci sa o analýzu počtu vykonaných úkonov, resp. obdobných úkonov za obdobie predchádzajúcich troch rokov. Pri posudzovaní vplyvu na podnikateľské prostredie boli zvažované takisto rámcové informácie ohľadom budúcich plánov príslušných subjektov finančného trhu, ktoré má Národná banka Slovenska k dispozícii (napr. prostredníctvom stretnutí so zástupcami takýchto subjektov</w:t>
      </w:r>
      <w:r w:rsidR="001F2152"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 xml:space="preserve">S cieľom lepšie reflektovať náročnosť určitých úkonov má návrhom opatrenia dôjsť k zvýšeniu k ním prislúchajúcich poplatkov. </w:t>
      </w:r>
    </w:p>
    <w:p w14:paraId="10C15B96" w14:textId="77777777"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Pre úplnosť si zároveň dovoľujeme uviesť, že stanovené poplatky (resp. ich zvýšenia) nebudú predstavovať významné finančné zaťaženie príslušných subjektov pri zvážení celkovej miery nákladov viažucich sa na ich činnosť (alebo budúcu plánovanú činnosť), resp. viaceré poplatky budú mať z praktického hľadiska na náklady subjektov iba zanedbateľný vplyv.</w:t>
      </w:r>
    </w:p>
    <w:p w14:paraId="64E33480" w14:textId="77777777" w:rsidR="0076329B" w:rsidRPr="009C13B2" w:rsidRDefault="0076329B" w:rsidP="0076329B">
      <w:pPr>
        <w:spacing w:after="0"/>
        <w:jc w:val="both"/>
        <w:rPr>
          <w:rFonts w:ascii="Times New Roman" w:eastAsia="Calibri" w:hAnsi="Times New Roman" w:cs="Times New Roman"/>
          <w:bCs/>
          <w:sz w:val="24"/>
          <w:szCs w:val="24"/>
        </w:rPr>
      </w:pPr>
    </w:p>
    <w:p w14:paraId="7B61F660" w14:textId="77777777" w:rsidR="0076329B" w:rsidRPr="009C13B2" w:rsidRDefault="0076329B" w:rsidP="0076329B">
      <w:pPr>
        <w:spacing w:after="0"/>
        <w:jc w:val="both"/>
        <w:rPr>
          <w:rFonts w:ascii="Times New Roman" w:eastAsia="Calibri" w:hAnsi="Times New Roman" w:cs="Times New Roman"/>
          <w:bCs/>
          <w:sz w:val="24"/>
          <w:szCs w:val="24"/>
          <w:u w:val="single"/>
        </w:rPr>
      </w:pPr>
      <w:r w:rsidRPr="009C13B2">
        <w:rPr>
          <w:rFonts w:ascii="Times New Roman" w:eastAsia="Calibri" w:hAnsi="Times New Roman" w:cs="Times New Roman"/>
          <w:bCs/>
          <w:sz w:val="24"/>
          <w:szCs w:val="24"/>
          <w:u w:val="single"/>
        </w:rPr>
        <w:t>Všeobecné informácie k spôsobu vyplnenia tabuľky č. 2</w:t>
      </w:r>
    </w:p>
    <w:p w14:paraId="7835C5F2" w14:textId="68B75736"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V návrhu opatrenia boli (s ohľadom na jeho účel, t.j. aktualizáciu opatrenia </w:t>
      </w:r>
      <w:r w:rsidR="001F2152" w:rsidRPr="009C13B2">
        <w:rPr>
          <w:rFonts w:ascii="Times New Roman" w:eastAsia="Calibri" w:hAnsi="Times New Roman" w:cs="Times New Roman"/>
          <w:bCs/>
          <w:sz w:val="24"/>
          <w:szCs w:val="24"/>
        </w:rPr>
        <w:t>č. 5/2021</w:t>
      </w:r>
      <w:r w:rsidRPr="009C13B2">
        <w:rPr>
          <w:rFonts w:ascii="Times New Roman" w:eastAsia="Calibri" w:hAnsi="Times New Roman" w:cs="Times New Roman"/>
          <w:bCs/>
          <w:sz w:val="24"/>
          <w:szCs w:val="24"/>
        </w:rPr>
        <w:t>, ktoré ustanovuje poplatky za úkony Národnej banky Slovenska) identifikované iba priame finančné náklady (B. Iné poplatky). Nepriame finančné náklady, pokuty, sankcie, ani administratívne náklady neboli v návrhu opatrenia identifikované.</w:t>
      </w:r>
    </w:p>
    <w:p w14:paraId="41F7C588" w14:textId="77777777"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Frekvencia plnenia povinnosti bola pri všetkých priamych nákladoch identifikovaná ako jednorazová vzhľadom na skutočnosť, že poplatok za vykonanie úkonu sa uhrádza jednorazovo (t. j. v tejto súvislosti, pre účely návrhu opatrenia, po úhrade poplatku nedochádza k pravidelnej, resp. nepravidelnej úhrade iných platieb).  </w:t>
      </w:r>
    </w:p>
    <w:p w14:paraId="5961CC8B" w14:textId="6CBCDDFD"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V tabuľke č. 2 sa pri každom úkone uvádza, či návrhom opatrenia má dôjsť k jeho prvotnému stanoveniu, resp. či dochádza k úprave výšky poplatku, ktorý už je ustanovený v opatrení č.</w:t>
      </w:r>
      <w:r w:rsidR="00924C01" w:rsidRPr="009C13B2">
        <w:rPr>
          <w:rFonts w:ascii="Times New Roman" w:eastAsia="Calibri" w:hAnsi="Times New Roman" w:cs="Times New Roman"/>
          <w:bCs/>
          <w:sz w:val="24"/>
          <w:szCs w:val="24"/>
        </w:rPr>
        <w:t> </w:t>
      </w:r>
      <w:r w:rsidRPr="009C13B2">
        <w:rPr>
          <w:rFonts w:ascii="Times New Roman" w:eastAsia="Calibri" w:hAnsi="Times New Roman" w:cs="Times New Roman"/>
          <w:bCs/>
          <w:sz w:val="24"/>
          <w:szCs w:val="24"/>
        </w:rPr>
        <w:t>5/2021. Pri zmene výšky poplatku sa v tejto súvislosti v tabuľke 2 zohľadňuje iba rozdiel medzi pôvodnou a novou výškou poplatku.</w:t>
      </w:r>
    </w:p>
    <w:p w14:paraId="17F0DE0B" w14:textId="249D2E05"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Stanovenie poplatkov v opatrení č. 5/2021, resp. v návrhu opatrenia, je vnútroštátnou (slovenskou) právnou úpravou, a teda z uvedeného dôvodu sa v stĺpci „pôvod regulácie” pri všetkých úkonoch uvádza označenie „SK”.</w:t>
      </w:r>
    </w:p>
    <w:p w14:paraId="0E8314E8" w14:textId="1B00F99E"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Pre účely uplatňovania mechanizmu znižovania byrokracie a nákladov sa v stĺpci tabuľky č. 2 s názvom "druh vplyvu" používa označenie „in” v prípade, keď má návrhom opatrenia dôjsť k stanoveniu nového poplatku, resp. k zvýšeniu poplatku už ustanoveného v opatrení č. 5/2021 a označenie „out” sa používa v prípade, ak návrhom opatrenia má dôjsť k vypusteniu úkonu a k nemu prislúchajúceho poplatku</w:t>
      </w:r>
      <w:r w:rsidR="00924C01"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ustanoveného v opatrení č. 5/2021.</w:t>
      </w:r>
    </w:p>
    <w:p w14:paraId="55C5B1A4" w14:textId="58E5B1F1"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V stĺpci tabuľky č. 2 s označením „Účinnosť regulácie” je pri </w:t>
      </w:r>
      <w:r w:rsidR="006416C2" w:rsidRPr="009C13B2">
        <w:rPr>
          <w:rFonts w:ascii="Times New Roman" w:eastAsia="Calibri" w:hAnsi="Times New Roman" w:cs="Times New Roman"/>
          <w:bCs/>
          <w:sz w:val="24"/>
          <w:szCs w:val="24"/>
        </w:rPr>
        <w:t>väčšine riadkov</w:t>
      </w:r>
      <w:r w:rsidRPr="009C13B2">
        <w:rPr>
          <w:rFonts w:ascii="Times New Roman" w:eastAsia="Calibri" w:hAnsi="Times New Roman" w:cs="Times New Roman"/>
          <w:bCs/>
          <w:sz w:val="24"/>
          <w:szCs w:val="24"/>
        </w:rPr>
        <w:t xml:space="preserve"> tabuľky uvedený dátum „1. januára 202</w:t>
      </w:r>
      <w:r w:rsidR="006416C2" w:rsidRPr="009C13B2">
        <w:rPr>
          <w:rFonts w:ascii="Times New Roman" w:eastAsia="Calibri" w:hAnsi="Times New Roman" w:cs="Times New Roman"/>
          <w:bCs/>
          <w:sz w:val="24"/>
          <w:szCs w:val="24"/>
        </w:rPr>
        <w:t>7</w:t>
      </w:r>
      <w:r w:rsidRPr="009C13B2">
        <w:rPr>
          <w:rFonts w:ascii="Times New Roman" w:eastAsia="Calibri" w:hAnsi="Times New Roman" w:cs="Times New Roman"/>
          <w:bCs/>
          <w:sz w:val="24"/>
          <w:szCs w:val="24"/>
        </w:rPr>
        <w:t>”, ktorý predstavuje navrhovanú účinnosť opatrenia - v súlade s požiadavkou ohľadom možného dátumu účinnosti právneho predpisu, ktorý má podľa doložky vplyvov alebo analýzy vplyvov vplyv na podnikateľské prostredie, podľa § 19 ods. 6 zákona č. 400/2015 Z. z. o tvorbe právnych predpisov a o Zbierke zákonov Slovenskej republiky a o zmene a doplnení niektorých zákonov v znení neskorších predpisov.</w:t>
      </w:r>
      <w:r w:rsidR="006416C2" w:rsidRPr="009C13B2">
        <w:rPr>
          <w:rFonts w:ascii="Times New Roman" w:eastAsia="Calibri" w:hAnsi="Times New Roman" w:cs="Times New Roman"/>
          <w:bCs/>
          <w:sz w:val="24"/>
          <w:szCs w:val="24"/>
        </w:rPr>
        <w:t xml:space="preserve"> Okrem uvedenej účinnosti sa pri jednom úkone navrhuje účinnosť 11. januára 2027, s cieľom zosúladenia s účinnosťou </w:t>
      </w:r>
      <w:r w:rsidR="006416C2" w:rsidRPr="009C13B2">
        <w:rPr>
          <w:rFonts w:ascii="Times New Roman" w:eastAsia="Calibri" w:hAnsi="Times New Roman" w:cs="Times New Roman"/>
          <w:bCs/>
          <w:sz w:val="24"/>
          <w:szCs w:val="24"/>
        </w:rPr>
        <w:lastRenderedPageBreak/>
        <w:t xml:space="preserve">právnej úpravy v zákone, na ktorú sa úkon v návrhu opatrenia viaže. V tejto súvislosti sa zároveň účinnosť úkonov, ktoré sú uvedené v návrhu opatrenia, viaže na 30. januára 2027. </w:t>
      </w:r>
    </w:p>
    <w:p w14:paraId="1C3CC49C" w14:textId="7E0D5658"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Vplyv na kategóriu dotknutých subjektov v € je pri každom úkone Národnej banky Slovenska, ktorý má byť návrhom opatrenia aktualizovaný, vypočítaný ako súčin predpokladaného počtu potenciálnych doručených podnetov smerujúcich k vykonaniu úkonu (t. j. počtu dotknutých subjektov spolu) a stanoveného, zvýšeného, resp. vypusteného (x 0) poplatku vzťahujúceho sa k predmetnému úkonu (ktorý zároveň predstavuje vplyv na 1 podnikateľa v €, prípadne má hodnotu 0). </w:t>
      </w:r>
    </w:p>
    <w:p w14:paraId="19612B05" w14:textId="77777777" w:rsidR="0076329B" w:rsidRPr="009C13B2" w:rsidRDefault="0076329B" w:rsidP="0076329B">
      <w:pPr>
        <w:spacing w:after="0"/>
        <w:jc w:val="both"/>
        <w:rPr>
          <w:rFonts w:ascii="Times New Roman" w:eastAsia="Calibri" w:hAnsi="Times New Roman" w:cs="Times New Roman"/>
          <w:bCs/>
          <w:sz w:val="24"/>
          <w:szCs w:val="24"/>
        </w:rPr>
      </w:pPr>
    </w:p>
    <w:p w14:paraId="71E6FC6B" w14:textId="77777777" w:rsidR="00DE6E6F" w:rsidRPr="009C13B2" w:rsidRDefault="00DE6E6F" w:rsidP="0076329B">
      <w:pPr>
        <w:spacing w:after="0"/>
        <w:jc w:val="both"/>
        <w:rPr>
          <w:rFonts w:ascii="Times New Roman" w:eastAsia="Calibri" w:hAnsi="Times New Roman" w:cs="Times New Roman"/>
          <w:bCs/>
          <w:sz w:val="24"/>
          <w:szCs w:val="24"/>
        </w:rPr>
      </w:pPr>
    </w:p>
    <w:p w14:paraId="3FBC1344" w14:textId="77777777" w:rsidR="0076329B" w:rsidRPr="009C13B2" w:rsidRDefault="0076329B" w:rsidP="0076329B">
      <w:pPr>
        <w:spacing w:after="0"/>
        <w:jc w:val="both"/>
        <w:rPr>
          <w:rFonts w:ascii="Times New Roman" w:eastAsia="Calibri" w:hAnsi="Times New Roman" w:cs="Times New Roman"/>
          <w:b/>
          <w:sz w:val="24"/>
          <w:szCs w:val="24"/>
        </w:rPr>
      </w:pPr>
      <w:r w:rsidRPr="009C13B2">
        <w:rPr>
          <w:rFonts w:ascii="Times New Roman" w:eastAsia="Calibri" w:hAnsi="Times New Roman" w:cs="Times New Roman"/>
          <w:b/>
          <w:sz w:val="24"/>
          <w:szCs w:val="24"/>
        </w:rPr>
        <w:t>Podrobnejšie informácie k výpočtu predpokladaných vplyvov návrhu opatrenia na podnikateľské prostredie</w:t>
      </w:r>
    </w:p>
    <w:p w14:paraId="2D3BF73D" w14:textId="77777777" w:rsidR="0076329B" w:rsidRPr="009C13B2" w:rsidRDefault="0076329B" w:rsidP="0076329B">
      <w:pPr>
        <w:spacing w:after="0"/>
        <w:jc w:val="both"/>
        <w:rPr>
          <w:rFonts w:ascii="Times New Roman" w:eastAsia="Calibri" w:hAnsi="Times New Roman" w:cs="Times New Roman"/>
          <w:b/>
          <w:sz w:val="24"/>
          <w:szCs w:val="24"/>
        </w:rPr>
      </w:pPr>
    </w:p>
    <w:p w14:paraId="7088A956" w14:textId="0F1E9B74"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Národná banka Slovenska v predmetnom návrhu opatrenia identifikovala celkovo </w:t>
      </w:r>
      <w:r w:rsidR="00BC3B75" w:rsidRPr="009C13B2">
        <w:rPr>
          <w:rFonts w:ascii="Times New Roman" w:eastAsia="Calibri" w:hAnsi="Times New Roman" w:cs="Times New Roman"/>
          <w:bCs/>
          <w:sz w:val="24"/>
          <w:szCs w:val="24"/>
        </w:rPr>
        <w:t>99</w:t>
      </w:r>
      <w:r w:rsidRPr="009C13B2">
        <w:rPr>
          <w:rFonts w:ascii="Times New Roman" w:eastAsia="Calibri" w:hAnsi="Times New Roman" w:cs="Times New Roman"/>
          <w:bCs/>
          <w:sz w:val="24"/>
          <w:szCs w:val="24"/>
        </w:rPr>
        <w:t xml:space="preserve"> úkonov (uvedených v tabuľke č. 2), pri ktorých má dôjsť k úprave poplatku a ktoré by v tejto súvislosti mohli mať potenciálny vplyv na podnikateľské prostredie, pričom:</w:t>
      </w:r>
    </w:p>
    <w:p w14:paraId="45D541B3" w14:textId="561CABD9"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 xml:space="preserve">pri </w:t>
      </w:r>
      <w:r w:rsidR="008262C4" w:rsidRPr="009C13B2">
        <w:rPr>
          <w:rFonts w:ascii="Times New Roman" w:eastAsia="Calibri" w:hAnsi="Times New Roman" w:cs="Times New Roman"/>
          <w:bCs/>
          <w:sz w:val="24"/>
          <w:szCs w:val="24"/>
        </w:rPr>
        <w:t>26</w:t>
      </w:r>
      <w:r w:rsidRPr="009C13B2">
        <w:rPr>
          <w:rFonts w:ascii="Times New Roman" w:eastAsia="Calibri" w:hAnsi="Times New Roman" w:cs="Times New Roman"/>
          <w:bCs/>
          <w:sz w:val="24"/>
          <w:szCs w:val="24"/>
        </w:rPr>
        <w:t xml:space="preserve"> úkonoch Národná banka Slovenska nepredpokladá, na základe expertného odhadu, že jej v blízkej budúcnosti bude doručený podnet smerujúci k vykonaniu predmetných úkonov, </w:t>
      </w:r>
    </w:p>
    <w:p w14:paraId="21465ACD" w14:textId="74CAD69F"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 xml:space="preserve">pri </w:t>
      </w:r>
      <w:r w:rsidR="008262C4" w:rsidRPr="009C13B2">
        <w:rPr>
          <w:rFonts w:ascii="Times New Roman" w:eastAsia="Calibri" w:hAnsi="Times New Roman" w:cs="Times New Roman"/>
          <w:bCs/>
          <w:sz w:val="24"/>
          <w:szCs w:val="24"/>
        </w:rPr>
        <w:t>21</w:t>
      </w:r>
      <w:r w:rsidRPr="009C13B2">
        <w:rPr>
          <w:rFonts w:ascii="Times New Roman" w:eastAsia="Calibri" w:hAnsi="Times New Roman" w:cs="Times New Roman"/>
          <w:bCs/>
          <w:sz w:val="24"/>
          <w:szCs w:val="24"/>
        </w:rPr>
        <w:t xml:space="preserve"> úkonoch Národná banka Slovenska predpokladá, na základe expertného odhadu, možnosť doručenia podnetu smerujúceho k vykonaniu niektorého z predmetných úkonov,</w:t>
      </w:r>
    </w:p>
    <w:p w14:paraId="23163E18" w14:textId="2F466454" w:rsidR="0076329B" w:rsidRPr="009C13B2" w:rsidRDefault="0076329B" w:rsidP="0076329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w:t>
      </w:r>
      <w:r w:rsidRPr="009C13B2">
        <w:rPr>
          <w:rFonts w:ascii="Times New Roman" w:eastAsia="Calibri" w:hAnsi="Times New Roman" w:cs="Times New Roman"/>
          <w:bCs/>
          <w:sz w:val="24"/>
          <w:szCs w:val="24"/>
        </w:rPr>
        <w:tab/>
        <w:t xml:space="preserve">pri </w:t>
      </w:r>
      <w:r w:rsidR="008262C4" w:rsidRPr="009C13B2">
        <w:rPr>
          <w:rFonts w:ascii="Times New Roman" w:eastAsia="Calibri" w:hAnsi="Times New Roman" w:cs="Times New Roman"/>
          <w:bCs/>
          <w:sz w:val="24"/>
          <w:szCs w:val="24"/>
        </w:rPr>
        <w:t>45</w:t>
      </w:r>
      <w:r w:rsidRPr="009C13B2">
        <w:rPr>
          <w:rFonts w:ascii="Times New Roman" w:eastAsia="Calibri" w:hAnsi="Times New Roman" w:cs="Times New Roman"/>
          <w:bCs/>
          <w:sz w:val="24"/>
          <w:szCs w:val="24"/>
        </w:rPr>
        <w:t xml:space="preserve"> úkonoch má podľa návrhu opatrenia dôjsť k vypusteniu </w:t>
      </w:r>
      <w:r w:rsidR="008262C4" w:rsidRPr="009C13B2">
        <w:rPr>
          <w:rFonts w:ascii="Times New Roman" w:eastAsia="Calibri" w:hAnsi="Times New Roman" w:cs="Times New Roman"/>
          <w:bCs/>
          <w:sz w:val="24"/>
          <w:szCs w:val="24"/>
        </w:rPr>
        <w:t>poplatkov</w:t>
      </w:r>
      <w:r w:rsidRPr="009C13B2">
        <w:rPr>
          <w:rFonts w:ascii="Times New Roman" w:eastAsia="Calibri" w:hAnsi="Times New Roman" w:cs="Times New Roman"/>
          <w:bCs/>
          <w:sz w:val="24"/>
          <w:szCs w:val="24"/>
        </w:rPr>
        <w:t xml:space="preserve"> z opatrenia Národnej banky Slovenska č. 5/2021,</w:t>
      </w:r>
    </w:p>
    <w:p w14:paraId="199AEAC4" w14:textId="0C8F395A" w:rsidR="0076329B" w:rsidRPr="009C13B2" w:rsidRDefault="0076329B" w:rsidP="00D27A73">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 xml:space="preserve">pri </w:t>
      </w:r>
      <w:r w:rsidR="00BC3B75" w:rsidRPr="009C13B2">
        <w:rPr>
          <w:rFonts w:ascii="Times New Roman" w:eastAsia="Calibri" w:hAnsi="Times New Roman" w:cs="Times New Roman"/>
          <w:bCs/>
          <w:sz w:val="24"/>
          <w:szCs w:val="24"/>
        </w:rPr>
        <w:t>7</w:t>
      </w:r>
      <w:r w:rsidRPr="009C13B2">
        <w:rPr>
          <w:rFonts w:ascii="Times New Roman" w:eastAsia="Calibri" w:hAnsi="Times New Roman" w:cs="Times New Roman"/>
          <w:bCs/>
          <w:sz w:val="24"/>
          <w:szCs w:val="24"/>
        </w:rPr>
        <w:t xml:space="preserve"> úkonoch má podľa návrhu opatrenia dôjsť k zvýšeniu poplatku za predmetné úkony (v porovnaní s úpravou v opatrení Národnej banky Slovenska č. 5/2021).</w:t>
      </w:r>
    </w:p>
    <w:p w14:paraId="672D1055" w14:textId="77777777" w:rsidR="0076329B" w:rsidRPr="009C13B2" w:rsidRDefault="0076329B" w:rsidP="0076329B">
      <w:pPr>
        <w:spacing w:after="0"/>
        <w:ind w:left="284" w:hanging="284"/>
        <w:jc w:val="both"/>
        <w:rPr>
          <w:rFonts w:ascii="Times New Roman" w:eastAsia="Calibri" w:hAnsi="Times New Roman" w:cs="Times New Roman"/>
          <w:bCs/>
          <w:sz w:val="24"/>
          <w:szCs w:val="24"/>
        </w:rPr>
      </w:pPr>
    </w:p>
    <w:p w14:paraId="46D87062" w14:textId="77777777" w:rsidR="0076329B" w:rsidRPr="009C13B2" w:rsidRDefault="0076329B" w:rsidP="0076329B">
      <w:pPr>
        <w:spacing w:after="0"/>
        <w:jc w:val="both"/>
        <w:rPr>
          <w:rFonts w:ascii="Times New Roman" w:eastAsia="Calibri" w:hAnsi="Times New Roman" w:cs="Times New Roman"/>
          <w:bCs/>
          <w:sz w:val="24"/>
          <w:szCs w:val="24"/>
        </w:rPr>
      </w:pPr>
    </w:p>
    <w:p w14:paraId="785C41D4" w14:textId="77777777" w:rsidR="0076329B" w:rsidRPr="009C13B2" w:rsidRDefault="0076329B" w:rsidP="0076329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Nižšie si dovoľujeme uviesť podrobnejšie informácie k predpokladaným vplyvom novelizačných zmien vyplývajúcim z návrhu opatrenia, ku ktorým má dôjsť v právnej úprave poplatkov za úkony Národnej banky Slovenska. V záujme väčšej prehľadnosti sú poplatky rozdelené do skupín podľa oblastí, ktorých sa vecne týkajú a sú pri nich uvedené príslušné špecifické symboly, ktoré sa na ne viažu.</w:t>
      </w:r>
    </w:p>
    <w:p w14:paraId="0656673E" w14:textId="77777777" w:rsidR="0076329B" w:rsidRPr="009C13B2" w:rsidRDefault="0076329B" w:rsidP="000378AB">
      <w:pPr>
        <w:spacing w:after="0"/>
        <w:jc w:val="both"/>
        <w:rPr>
          <w:rFonts w:ascii="Times New Roman" w:eastAsia="Calibri" w:hAnsi="Times New Roman" w:cs="Times New Roman"/>
          <w:bCs/>
          <w:sz w:val="24"/>
          <w:szCs w:val="24"/>
        </w:rPr>
      </w:pPr>
    </w:p>
    <w:p w14:paraId="21CFDDBB" w14:textId="77777777" w:rsidR="008E50AC" w:rsidRPr="009C13B2" w:rsidRDefault="008E50AC" w:rsidP="000378AB">
      <w:pPr>
        <w:spacing w:after="0"/>
        <w:jc w:val="both"/>
        <w:rPr>
          <w:rFonts w:ascii="Times New Roman" w:eastAsia="Calibri" w:hAnsi="Times New Roman" w:cs="Times New Roman"/>
          <w:bCs/>
          <w:sz w:val="24"/>
          <w:szCs w:val="24"/>
        </w:rPr>
      </w:pPr>
    </w:p>
    <w:p w14:paraId="3BC36780" w14:textId="77777777" w:rsidR="0076329B" w:rsidRPr="009C13B2" w:rsidRDefault="0076329B" w:rsidP="000378AB">
      <w:pPr>
        <w:pStyle w:val="ListParagraph"/>
        <w:numPr>
          <w:ilvl w:val="0"/>
          <w:numId w:val="15"/>
        </w:numPr>
        <w:spacing w:after="0"/>
        <w:ind w:left="284" w:hanging="284"/>
        <w:jc w:val="both"/>
        <w:rPr>
          <w:rFonts w:ascii="Times New Roman" w:eastAsia="Calibri" w:hAnsi="Times New Roman" w:cs="Times New Roman"/>
          <w:b/>
          <w:sz w:val="24"/>
          <w:szCs w:val="24"/>
          <w:u w:val="single"/>
        </w:rPr>
      </w:pPr>
      <w:r w:rsidRPr="009C13B2">
        <w:rPr>
          <w:rFonts w:ascii="Times New Roman" w:eastAsia="Calibri" w:hAnsi="Times New Roman" w:cs="Times New Roman"/>
          <w:b/>
          <w:sz w:val="24"/>
          <w:szCs w:val="24"/>
          <w:u w:val="single"/>
        </w:rPr>
        <w:t>Bankovníctvo</w:t>
      </w:r>
    </w:p>
    <w:p w14:paraId="6A2C6B92" w14:textId="77777777" w:rsidR="000139E2" w:rsidRPr="009C13B2" w:rsidRDefault="000139E2" w:rsidP="000378AB">
      <w:pPr>
        <w:spacing w:after="0"/>
        <w:jc w:val="both"/>
        <w:rPr>
          <w:rFonts w:ascii="Times New Roman" w:eastAsia="Calibri" w:hAnsi="Times New Roman" w:cs="Times New Roman"/>
          <w:bCs/>
          <w:sz w:val="24"/>
          <w:szCs w:val="24"/>
        </w:rPr>
      </w:pPr>
    </w:p>
    <w:p w14:paraId="5B6F0111" w14:textId="45B3400F" w:rsidR="00AE372F" w:rsidRPr="009C13B2" w:rsidRDefault="00AE372F"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V oblasti bankovníctva má návrhom opatrenia dôjsť k stanoveniu poplatku za úkon udelenia predchádzajúceho súhlasu na zlúčenie alebo splynutie banky, finančnej holdingovej spoločnosti alebo zmiešanej finančnej holdingovej spoločnosti alebo na rozdelenie banky, finančnej holdingovej spoločnosti alebo zmiešanej finančnej holdingovej spoločnosti (špecifický symbol 1334), ako aj za úkon udelenia predchádzajúceho súhlasu na ustanovenie osoby podľa §</w:t>
      </w:r>
      <w:r w:rsidR="008475AC">
        <w:rPr>
          <w:rFonts w:ascii="Times New Roman" w:eastAsia="Calibri" w:hAnsi="Times New Roman" w:cs="Times New Roman"/>
          <w:bCs/>
          <w:sz w:val="24"/>
          <w:szCs w:val="24"/>
        </w:rPr>
        <w:t> </w:t>
      </w:r>
      <w:r w:rsidRPr="009C13B2">
        <w:rPr>
          <w:rFonts w:ascii="Times New Roman" w:eastAsia="Calibri" w:hAnsi="Times New Roman" w:cs="Times New Roman"/>
          <w:bCs/>
          <w:sz w:val="24"/>
          <w:szCs w:val="24"/>
        </w:rPr>
        <w:t>8e</w:t>
      </w:r>
      <w:r w:rsidR="008475AC">
        <w:rPr>
          <w:rFonts w:ascii="Times New Roman" w:eastAsia="Calibri" w:hAnsi="Times New Roman" w:cs="Times New Roman"/>
          <w:bCs/>
          <w:sz w:val="24"/>
          <w:szCs w:val="24"/>
        </w:rPr>
        <w:t> </w:t>
      </w:r>
      <w:r w:rsidRPr="009C13B2">
        <w:rPr>
          <w:rFonts w:ascii="Times New Roman" w:eastAsia="Calibri" w:hAnsi="Times New Roman" w:cs="Times New Roman"/>
          <w:bCs/>
          <w:sz w:val="24"/>
          <w:szCs w:val="24"/>
        </w:rPr>
        <w:t>ods.</w:t>
      </w:r>
      <w:r w:rsidR="008475AC">
        <w:rPr>
          <w:rFonts w:ascii="Times New Roman" w:eastAsia="Calibri" w:hAnsi="Times New Roman" w:cs="Times New Roman"/>
          <w:bCs/>
          <w:sz w:val="24"/>
          <w:szCs w:val="24"/>
        </w:rPr>
        <w:t> </w:t>
      </w:r>
      <w:r w:rsidRPr="009C13B2">
        <w:rPr>
          <w:rFonts w:ascii="Times New Roman" w:eastAsia="Calibri" w:hAnsi="Times New Roman" w:cs="Times New Roman"/>
          <w:bCs/>
          <w:sz w:val="24"/>
          <w:szCs w:val="24"/>
        </w:rPr>
        <w:t>1 zákona o bankách alebo člena riadiaceho výboru podľa § 8e ods. 3 zákona o bankách (špecifický symbol 1336). Národná banka Slovenska s ohľadom na informácie, ktoré má k dispozícii, resp. podľa expertného odhadu, nepredpokladá vykonanie predmetných úkonov v blízkej budúcnosti, a teda nepredpokladá ich vplyv na podnikateľské prostredie.</w:t>
      </w:r>
    </w:p>
    <w:p w14:paraId="414DC513" w14:textId="79AE58D1" w:rsidR="00117048" w:rsidRDefault="00117048"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Zároveň, návrhom opatrenia má dôjsť k stanoveniu poplatku za úkon udelenia predchádzajúceho súhlasu na nadobudnutie významného podielu bankou, finančnou </w:t>
      </w:r>
      <w:r w:rsidRPr="009C13B2">
        <w:rPr>
          <w:rFonts w:ascii="Times New Roman" w:eastAsia="Calibri" w:hAnsi="Times New Roman" w:cs="Times New Roman"/>
          <w:bCs/>
          <w:sz w:val="24"/>
          <w:szCs w:val="24"/>
        </w:rPr>
        <w:lastRenderedPageBreak/>
        <w:t>holdingovou spoločnosťou alebo zmiešanou finančnou holdingovou spoločnosťou (špecifický symbol 1333). Národná banka Slovenska s ohľadom na informácie, ktoré má k dispozícii, resp. podľa expertného odhadu, predpokladá vykonanie predmetného úkonu v blízkej budúcnosti v 1 potenciálnom prípade, resp. z hľadiska nákladov predpokladá vplyv na podnikateľské prostredie uvedený v tabuľke č. 2.</w:t>
      </w:r>
    </w:p>
    <w:p w14:paraId="4123E7A7" w14:textId="77777777" w:rsidR="003E45D2" w:rsidRPr="009C13B2" w:rsidRDefault="003E45D2" w:rsidP="003E45D2">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Návrhom opatrenia má dôjsť aj k zvýšeniu poplatku za úkon udelenia predchádzajúceho súhlasu na zmenu člena alebo zvolenie nového člena  štatutárneho orgánu (špecifický symbol 1316). Národná banka Slovenska s ohľadom na informácie, ktoré má k dispozícii, resp. podľa expertného odhadu, predpokladá vykonanie predmetného úkonu v blízkej budúcnosti v 15  potenciálnych prípadoch, resp. z hľadiska nákladov predpokladá vplyv na podnikateľské prostredie uvedený v tabuľke č. 2.</w:t>
      </w:r>
    </w:p>
    <w:p w14:paraId="5B28460E" w14:textId="1EEB5696" w:rsidR="003E45D2" w:rsidRPr="00776F0E" w:rsidRDefault="003E45D2"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Zároveň, navrhuje sa zvýšiť poplatok za úkon predchádzajúceho súhlasu na zmenu člena alebo zvolenie nového člena dozornej rady (špecifický symbol 1317). Národná banka Slovenska s ohľadom na informácie, ktoré má k dispozícii, resp. podľa expertného odhadu, predpokladá vykona</w:t>
      </w:r>
      <w:r w:rsidRPr="00776F0E">
        <w:rPr>
          <w:rFonts w:ascii="Times New Roman" w:eastAsia="Calibri" w:hAnsi="Times New Roman" w:cs="Times New Roman"/>
          <w:bCs/>
          <w:sz w:val="24"/>
          <w:szCs w:val="24"/>
        </w:rPr>
        <w:t>nie predmetného úkonu v blízkej budúcnosti v 20  potenciálnych prípadoch, resp. z hľadiska nákladov predpokladá vplyv na podnikateľské prostredie uvedený v tabuľke č. 2.</w:t>
      </w:r>
    </w:p>
    <w:p w14:paraId="26FE3B4C" w14:textId="4E41C517" w:rsidR="000139E2" w:rsidRPr="00826333" w:rsidRDefault="00117048" w:rsidP="000378AB">
      <w:pPr>
        <w:spacing w:after="0"/>
        <w:jc w:val="both"/>
        <w:rPr>
          <w:rFonts w:ascii="Times New Roman" w:eastAsia="Calibri" w:hAnsi="Times New Roman" w:cs="Times New Roman"/>
          <w:bCs/>
          <w:sz w:val="24"/>
          <w:szCs w:val="24"/>
        </w:rPr>
      </w:pPr>
      <w:r w:rsidRPr="00826333">
        <w:rPr>
          <w:rFonts w:ascii="Times New Roman" w:eastAsia="Calibri" w:hAnsi="Times New Roman" w:cs="Times New Roman"/>
          <w:bCs/>
          <w:sz w:val="24"/>
          <w:szCs w:val="24"/>
        </w:rPr>
        <w:t xml:space="preserve">Takisto, navrhuje sa ustanoviť poplatok za úkon </w:t>
      </w:r>
      <w:r w:rsidR="00955F08" w:rsidRPr="00826333">
        <w:rPr>
          <w:rFonts w:ascii="Times New Roman" w:eastAsia="Calibri" w:hAnsi="Times New Roman" w:cs="Times New Roman"/>
          <w:bCs/>
          <w:sz w:val="24"/>
          <w:szCs w:val="24"/>
        </w:rPr>
        <w:t xml:space="preserve">udelenia predchádzajúceho súhlasu na ustanovenie osoby zastávajúcej kľúčovú funkciu podľa § 5 písm. an) zákona o bankách (špecifický symbol 1335). </w:t>
      </w:r>
      <w:r w:rsidRPr="00826333">
        <w:rPr>
          <w:rFonts w:ascii="Times New Roman" w:eastAsia="Calibri" w:hAnsi="Times New Roman" w:cs="Times New Roman"/>
          <w:bCs/>
          <w:sz w:val="24"/>
          <w:szCs w:val="24"/>
        </w:rPr>
        <w:t>Národná banka Slovenska s ohľadom na informácie, ktoré má k dispozícii, resp. podľa expertného odhadu, predpokladá vykonanie predmetného úkonu v blízkej budúcnosti v</w:t>
      </w:r>
      <w:r w:rsidR="00955F08" w:rsidRPr="00826333">
        <w:rPr>
          <w:rFonts w:ascii="Times New Roman" w:eastAsia="Calibri" w:hAnsi="Times New Roman" w:cs="Times New Roman"/>
          <w:bCs/>
          <w:sz w:val="24"/>
          <w:szCs w:val="24"/>
        </w:rPr>
        <w:t xml:space="preserve"> 20</w:t>
      </w:r>
      <w:r w:rsidRPr="00826333">
        <w:rPr>
          <w:rFonts w:ascii="Times New Roman" w:eastAsia="Calibri" w:hAnsi="Times New Roman" w:cs="Times New Roman"/>
          <w:bCs/>
          <w:sz w:val="24"/>
          <w:szCs w:val="24"/>
        </w:rPr>
        <w:t xml:space="preserve">  potenciálnych prípadoch, resp. z hľadiska nákladov predpokladá vplyv na podnikateľské prostredie uvedený v tabuľke č. 2.</w:t>
      </w:r>
      <w:r w:rsidR="003E45D2" w:rsidRPr="00826333">
        <w:rPr>
          <w:rFonts w:ascii="Times New Roman" w:eastAsia="Calibri" w:hAnsi="Times New Roman" w:cs="Times New Roman"/>
          <w:bCs/>
          <w:sz w:val="24"/>
          <w:szCs w:val="24"/>
        </w:rPr>
        <w:t xml:space="preserve"> Pre úplnosť je potrebné poukázať na skutočnosť, že v kalkulačke nákladov podnikateľského prostredia sa pri predmetnom úkone uvádza zámerne hodnota 110 eur </w:t>
      </w:r>
      <w:r w:rsidR="00776F0E" w:rsidRPr="00826333">
        <w:rPr>
          <w:rFonts w:ascii="Times New Roman" w:eastAsia="Calibri" w:hAnsi="Times New Roman" w:cs="Times New Roman"/>
          <w:bCs/>
          <w:sz w:val="24"/>
          <w:szCs w:val="24"/>
        </w:rPr>
        <w:t>(v stĺpci „</w:t>
      </w:r>
      <w:r w:rsidR="00400205" w:rsidRPr="00826333">
        <w:rPr>
          <w:rFonts w:ascii="Times New Roman" w:eastAsia="Calibri" w:hAnsi="Times New Roman" w:cs="Times New Roman"/>
          <w:bCs/>
          <w:sz w:val="24"/>
          <w:szCs w:val="24"/>
        </w:rPr>
        <w:t xml:space="preserve">Priame finančné náklady / B. iné poplatky) </w:t>
      </w:r>
      <w:r w:rsidR="003E45D2" w:rsidRPr="00826333">
        <w:rPr>
          <w:rFonts w:ascii="Times New Roman" w:eastAsia="Calibri" w:hAnsi="Times New Roman" w:cs="Times New Roman"/>
          <w:bCs/>
          <w:sz w:val="24"/>
          <w:szCs w:val="24"/>
        </w:rPr>
        <w:t>z rovnakého dôvodu, ako v prípade zvýšenia poplatku pri vyššie spomínaných úkonoch so špecifickým</w:t>
      </w:r>
      <w:r w:rsidR="00776F0E" w:rsidRPr="00826333">
        <w:rPr>
          <w:rFonts w:ascii="Times New Roman" w:eastAsia="Calibri" w:hAnsi="Times New Roman" w:cs="Times New Roman"/>
          <w:bCs/>
          <w:sz w:val="24"/>
          <w:szCs w:val="24"/>
        </w:rPr>
        <w:t>i</w:t>
      </w:r>
      <w:r w:rsidR="003E45D2" w:rsidRPr="00826333">
        <w:rPr>
          <w:rFonts w:ascii="Times New Roman" w:eastAsia="Calibri" w:hAnsi="Times New Roman" w:cs="Times New Roman"/>
          <w:bCs/>
          <w:sz w:val="24"/>
          <w:szCs w:val="24"/>
        </w:rPr>
        <w:t xml:space="preserve"> symbolm</w:t>
      </w:r>
      <w:r w:rsidR="00776F0E" w:rsidRPr="00826333">
        <w:rPr>
          <w:rFonts w:ascii="Times New Roman" w:eastAsia="Calibri" w:hAnsi="Times New Roman" w:cs="Times New Roman"/>
          <w:bCs/>
          <w:sz w:val="24"/>
          <w:szCs w:val="24"/>
        </w:rPr>
        <w:t>i</w:t>
      </w:r>
      <w:r w:rsidR="003E45D2" w:rsidRPr="00826333">
        <w:rPr>
          <w:rFonts w:ascii="Times New Roman" w:eastAsia="Calibri" w:hAnsi="Times New Roman" w:cs="Times New Roman"/>
          <w:bCs/>
          <w:sz w:val="24"/>
          <w:szCs w:val="24"/>
        </w:rPr>
        <w:t xml:space="preserve"> 1316 a 1317. Predmetné úkony spolu vecne </w:t>
      </w:r>
      <w:r w:rsidR="00400205" w:rsidRPr="00826333">
        <w:rPr>
          <w:rFonts w:ascii="Times New Roman" w:eastAsia="Calibri" w:hAnsi="Times New Roman" w:cs="Times New Roman"/>
          <w:bCs/>
          <w:sz w:val="24"/>
          <w:szCs w:val="24"/>
        </w:rPr>
        <w:t>súvisia</w:t>
      </w:r>
      <w:r w:rsidR="003E45D2" w:rsidRPr="00826333">
        <w:rPr>
          <w:rFonts w:ascii="Times New Roman" w:eastAsia="Calibri" w:hAnsi="Times New Roman" w:cs="Times New Roman"/>
          <w:bCs/>
          <w:sz w:val="24"/>
          <w:szCs w:val="24"/>
        </w:rPr>
        <w:t>; pri úkone so špecifickým symbolom 1335 ide o „stanovenie poplatku“ (na rozdiel od „zvýšenia poplatku“ pri úkonoch so špecifickými symbolmi 1316 a 1317) z dôvodu, že sa okrem zvýšenia poplatku navrhuje aj preformulovanie znenia úkonu (pre účely zosúladenia so znením príslušnej právnej úpravy, z ktorej úkon vyplýva), avšak úkony so špecifckými symbolmi 1316, 1317 a 1335 spája obdobná vecná podstata. Pri všetkých spomínaných reguláciách je hodnota 110 eur odvodená z rozdielu 150 eur (výšky poplatku po jeho navrhovanom zvýšení) a 40 eur (výšky poplatku ustanovenej v opatrení č. 5/2021, t.j. pred novelizáciou zo strany predloženého návrhu opatrenia).</w:t>
      </w:r>
    </w:p>
    <w:p w14:paraId="396A7410" w14:textId="1E07F097" w:rsidR="00336F03" w:rsidRPr="009C13B2" w:rsidRDefault="009C4372"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Okrem vyššie uvedeného, navrhuje sa vypustenie úkonu a poplatku za udelenie predchádzajúceho súhlasu na zmenu vedúceho pobočky zahraničnej banky (špecifický symbol 1320).  </w:t>
      </w:r>
      <w:r w:rsidR="00336F03" w:rsidRPr="009C13B2">
        <w:rPr>
          <w:rFonts w:ascii="Times New Roman" w:eastAsia="Calibri" w:hAnsi="Times New Roman" w:cs="Times New Roman"/>
          <w:bCs/>
          <w:sz w:val="24"/>
          <w:szCs w:val="24"/>
        </w:rPr>
        <w:t>Národná banka Slovenska s ohľadom na informácie, ktoré má k dispozícii, resp. podľa expertného odhadu, predpokladá, že v prípade nevypustenia úkonu by príslušné subjekty nepožiadali o jeho vykonanie v blízkej budúcnosti, a teda z hľadiska nákladov predpokladá, že vypustenie predmetného úkonu nebude mať vplyv na podnikateľské prostredie.</w:t>
      </w:r>
    </w:p>
    <w:p w14:paraId="0A305C3D" w14:textId="77777777" w:rsidR="00DE73EB" w:rsidRPr="00776F0E" w:rsidRDefault="00DE73EB" w:rsidP="000378AB">
      <w:pPr>
        <w:spacing w:after="0"/>
        <w:jc w:val="both"/>
        <w:rPr>
          <w:rFonts w:ascii="Times New Roman" w:eastAsia="Calibri" w:hAnsi="Times New Roman" w:cs="Times New Roman"/>
          <w:bCs/>
          <w:sz w:val="24"/>
          <w:szCs w:val="24"/>
        </w:rPr>
      </w:pPr>
    </w:p>
    <w:p w14:paraId="69B335FE" w14:textId="77777777" w:rsidR="00724AF6" w:rsidRPr="009C13B2" w:rsidRDefault="00724AF6" w:rsidP="000378AB">
      <w:pPr>
        <w:spacing w:after="0"/>
        <w:jc w:val="both"/>
        <w:rPr>
          <w:rFonts w:ascii="Times New Roman" w:eastAsia="Calibri" w:hAnsi="Times New Roman" w:cs="Times New Roman"/>
          <w:bCs/>
          <w:sz w:val="24"/>
          <w:szCs w:val="24"/>
        </w:rPr>
      </w:pPr>
    </w:p>
    <w:p w14:paraId="7C4F3D7D" w14:textId="77777777" w:rsidR="00DE73EB" w:rsidRPr="009C13B2" w:rsidRDefault="00DE73EB" w:rsidP="000378AB">
      <w:pPr>
        <w:pStyle w:val="ListParagraph"/>
        <w:numPr>
          <w:ilvl w:val="0"/>
          <w:numId w:val="15"/>
        </w:numPr>
        <w:spacing w:after="0"/>
        <w:ind w:left="284" w:hanging="284"/>
        <w:jc w:val="both"/>
        <w:rPr>
          <w:rFonts w:ascii="Times New Roman" w:eastAsia="Calibri" w:hAnsi="Times New Roman" w:cs="Times New Roman"/>
          <w:b/>
          <w:sz w:val="24"/>
          <w:szCs w:val="24"/>
          <w:u w:val="single"/>
        </w:rPr>
      </w:pPr>
      <w:r w:rsidRPr="009C13B2">
        <w:rPr>
          <w:rFonts w:ascii="Times New Roman" w:eastAsia="Calibri" w:hAnsi="Times New Roman" w:cs="Times New Roman"/>
          <w:b/>
          <w:sz w:val="24"/>
          <w:szCs w:val="24"/>
          <w:u w:val="single"/>
        </w:rPr>
        <w:t>Obchodníci s cennými papiermi</w:t>
      </w:r>
    </w:p>
    <w:p w14:paraId="06F6E07F" w14:textId="77777777" w:rsidR="00DE73EB" w:rsidRPr="009C13B2" w:rsidRDefault="00DE73EB" w:rsidP="000378AB">
      <w:pPr>
        <w:spacing w:after="0"/>
        <w:jc w:val="both"/>
        <w:rPr>
          <w:rFonts w:ascii="Times New Roman" w:eastAsia="Calibri" w:hAnsi="Times New Roman" w:cs="Times New Roman"/>
          <w:bCs/>
          <w:sz w:val="24"/>
          <w:szCs w:val="24"/>
        </w:rPr>
      </w:pPr>
    </w:p>
    <w:p w14:paraId="06DD5C75" w14:textId="6F06770C" w:rsidR="00100EF1" w:rsidRPr="009C13B2" w:rsidRDefault="00100EF1"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Návrhom opatrenia má dôjsť k stanoveniu poplatku za úkon udelenia povolenia na zahrnutie predbežných alebo koncoročných ziskov do vlastného kapitálu Tier 1 (špecifický symbol </w:t>
      </w:r>
      <w:r w:rsidRPr="009C13B2">
        <w:rPr>
          <w:rFonts w:ascii="Times New Roman" w:eastAsia="Calibri" w:hAnsi="Times New Roman" w:cs="Times New Roman"/>
          <w:bCs/>
          <w:sz w:val="24"/>
          <w:szCs w:val="24"/>
        </w:rPr>
        <w:lastRenderedPageBreak/>
        <w:t>2128). Takisto sa navrhuje ustanoviť poplatok za úkon udelenia povolenia na používanie alternatívnych interných modelov na výpočet požiadaviek na vlastné zdroje (špecifický symbol 2129). Národná banka Slovenska s ohľadom na informácie, ktoré má k dispozícii, resp. podľa expertného odhadu, nepredpokladá vykonanie predmetných úkonov v blízkej budúcnosti, a teda nepredpokladá ich vplyv na podnikateľské prostredie.</w:t>
      </w:r>
    </w:p>
    <w:p w14:paraId="5E1BF37E" w14:textId="15EE20D9" w:rsidR="004022A8" w:rsidRDefault="00100EF1"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Návrhom opatrenia má dôjsť aj k zvýšeniu poplatku za úkon udelenia predchádzajúceho súhlasu na voľbu osoby navrhovanej za člena predstavenstva obchodníka s cennými papiermi, vedúceho pobočky zahraničného obchodníka s cennými papiermi (špecifický symbol 2340). Národná banka Slovenska s ohľadom na informácie, ktoré má k dispozícii, resp. podľa expertného odhadu, predpokladá vykonanie predmetného úkonu v blízkej budúcnosti v 8 potenciálnych prípadoch, resp. z hľadiska nákladov predpokladá vplyv na podnikateľské prostredie uvedený v tabuľke č. 2.</w:t>
      </w:r>
    </w:p>
    <w:p w14:paraId="5AA6D78C" w14:textId="77777777" w:rsidR="00B07ED9" w:rsidRDefault="00B07ED9" w:rsidP="000378AB">
      <w:pPr>
        <w:spacing w:after="0"/>
        <w:jc w:val="both"/>
        <w:rPr>
          <w:rFonts w:ascii="Times New Roman" w:eastAsia="Calibri" w:hAnsi="Times New Roman" w:cs="Times New Roman"/>
          <w:bCs/>
          <w:sz w:val="24"/>
          <w:szCs w:val="24"/>
        </w:rPr>
      </w:pPr>
    </w:p>
    <w:p w14:paraId="3E2D9D01" w14:textId="77777777" w:rsidR="00B07ED9" w:rsidRPr="009C13B2" w:rsidRDefault="00B07ED9" w:rsidP="000378AB">
      <w:pPr>
        <w:spacing w:after="0"/>
        <w:jc w:val="both"/>
        <w:rPr>
          <w:rFonts w:ascii="Times New Roman" w:eastAsia="Calibri" w:hAnsi="Times New Roman" w:cs="Times New Roman"/>
          <w:bCs/>
          <w:color w:val="000000"/>
          <w:sz w:val="24"/>
          <w:szCs w:val="24"/>
        </w:rPr>
      </w:pPr>
    </w:p>
    <w:p w14:paraId="7F4F161E" w14:textId="77777777" w:rsidR="00B97126" w:rsidRPr="009C13B2" w:rsidRDefault="00B97126" w:rsidP="000378AB">
      <w:pPr>
        <w:pStyle w:val="ListParagraph"/>
        <w:numPr>
          <w:ilvl w:val="0"/>
          <w:numId w:val="15"/>
        </w:numPr>
        <w:spacing w:after="0"/>
        <w:ind w:left="284" w:hanging="284"/>
        <w:jc w:val="both"/>
        <w:rPr>
          <w:rFonts w:ascii="Times New Roman" w:eastAsia="Calibri" w:hAnsi="Times New Roman" w:cs="Times New Roman"/>
          <w:b/>
          <w:sz w:val="24"/>
          <w:szCs w:val="24"/>
          <w:u w:val="single"/>
        </w:rPr>
      </w:pPr>
      <w:r w:rsidRPr="009C13B2">
        <w:rPr>
          <w:rFonts w:ascii="Times New Roman" w:eastAsia="Calibri" w:hAnsi="Times New Roman" w:cs="Times New Roman"/>
          <w:b/>
          <w:sz w:val="24"/>
          <w:szCs w:val="24"/>
          <w:u w:val="single"/>
        </w:rPr>
        <w:t>Kolektívne investovanie</w:t>
      </w:r>
    </w:p>
    <w:p w14:paraId="18107C0E" w14:textId="77777777" w:rsidR="00B97126" w:rsidRPr="009C13B2" w:rsidRDefault="00B97126" w:rsidP="000378AB">
      <w:pPr>
        <w:spacing w:after="0"/>
        <w:jc w:val="both"/>
        <w:rPr>
          <w:rFonts w:ascii="Times New Roman" w:eastAsia="Calibri" w:hAnsi="Times New Roman" w:cs="Times New Roman"/>
          <w:bCs/>
          <w:sz w:val="24"/>
          <w:szCs w:val="24"/>
        </w:rPr>
      </w:pPr>
    </w:p>
    <w:p w14:paraId="4B73ED8B" w14:textId="7E86F742" w:rsidR="00B97126" w:rsidRPr="009C13B2" w:rsidRDefault="00B97126"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V oblasti kolektívneho investovania má návrhom opatrenia dôjsť k</w:t>
      </w:r>
      <w:r w:rsidR="00100EF1" w:rsidRPr="009C13B2">
        <w:rPr>
          <w:rFonts w:ascii="Times New Roman" w:eastAsia="Calibri" w:hAnsi="Times New Roman" w:cs="Times New Roman"/>
          <w:bCs/>
          <w:sz w:val="24"/>
          <w:szCs w:val="24"/>
        </w:rPr>
        <w:t> stanoveniu poplatku za úkon udelenia predchádzajúceho súhlasu na predĺženie časového obdobia podľa §</w:t>
      </w:r>
      <w:r w:rsidR="001444D3" w:rsidRPr="009C13B2">
        <w:rPr>
          <w:rFonts w:ascii="Times New Roman" w:eastAsia="Calibri" w:hAnsi="Times New Roman" w:cs="Times New Roman"/>
          <w:bCs/>
          <w:sz w:val="24"/>
          <w:szCs w:val="24"/>
        </w:rPr>
        <w:t> </w:t>
      </w:r>
      <w:r w:rsidR="00100EF1" w:rsidRPr="009C13B2">
        <w:rPr>
          <w:rFonts w:ascii="Times New Roman" w:eastAsia="Calibri" w:hAnsi="Times New Roman" w:cs="Times New Roman"/>
          <w:bCs/>
          <w:sz w:val="24"/>
          <w:szCs w:val="24"/>
        </w:rPr>
        <w:t>37e</w:t>
      </w:r>
      <w:r w:rsidR="001444D3" w:rsidRPr="009C13B2">
        <w:rPr>
          <w:rFonts w:ascii="Times New Roman" w:eastAsia="Calibri" w:hAnsi="Times New Roman" w:cs="Times New Roman"/>
          <w:bCs/>
          <w:sz w:val="24"/>
          <w:szCs w:val="24"/>
        </w:rPr>
        <w:t> </w:t>
      </w:r>
      <w:r w:rsidR="00100EF1" w:rsidRPr="009C13B2">
        <w:rPr>
          <w:rFonts w:ascii="Times New Roman" w:eastAsia="Calibri" w:hAnsi="Times New Roman" w:cs="Times New Roman"/>
          <w:bCs/>
          <w:sz w:val="24"/>
          <w:szCs w:val="24"/>
        </w:rPr>
        <w:t>ods.</w:t>
      </w:r>
      <w:r w:rsidR="001444D3" w:rsidRPr="009C13B2">
        <w:rPr>
          <w:rFonts w:ascii="Times New Roman" w:eastAsia="Calibri" w:hAnsi="Times New Roman" w:cs="Times New Roman"/>
          <w:bCs/>
          <w:sz w:val="24"/>
          <w:szCs w:val="24"/>
        </w:rPr>
        <w:t> </w:t>
      </w:r>
      <w:r w:rsidR="00100EF1" w:rsidRPr="009C13B2">
        <w:rPr>
          <w:rFonts w:ascii="Times New Roman" w:eastAsia="Calibri" w:hAnsi="Times New Roman" w:cs="Times New Roman"/>
          <w:bCs/>
          <w:sz w:val="24"/>
          <w:szCs w:val="24"/>
        </w:rPr>
        <w:t>10</w:t>
      </w:r>
      <w:r w:rsidR="001444D3" w:rsidRPr="009C13B2">
        <w:rPr>
          <w:rFonts w:ascii="Times New Roman" w:eastAsia="Calibri" w:hAnsi="Times New Roman" w:cs="Times New Roman"/>
          <w:bCs/>
          <w:sz w:val="24"/>
          <w:szCs w:val="24"/>
        </w:rPr>
        <w:t> </w:t>
      </w:r>
      <w:r w:rsidR="00100EF1" w:rsidRPr="009C13B2">
        <w:rPr>
          <w:rFonts w:ascii="Times New Roman" w:eastAsia="Calibri" w:hAnsi="Times New Roman" w:cs="Times New Roman"/>
          <w:bCs/>
          <w:sz w:val="24"/>
          <w:szCs w:val="24"/>
        </w:rPr>
        <w:t>písm.</w:t>
      </w:r>
      <w:r w:rsidR="001444D3" w:rsidRPr="009C13B2">
        <w:rPr>
          <w:rFonts w:ascii="Times New Roman" w:eastAsia="Calibri" w:hAnsi="Times New Roman" w:cs="Times New Roman"/>
          <w:bCs/>
          <w:sz w:val="24"/>
          <w:szCs w:val="24"/>
        </w:rPr>
        <w:t> </w:t>
      </w:r>
      <w:r w:rsidR="00100EF1" w:rsidRPr="009C13B2">
        <w:rPr>
          <w:rFonts w:ascii="Times New Roman" w:eastAsia="Calibri" w:hAnsi="Times New Roman" w:cs="Times New Roman"/>
          <w:bCs/>
          <w:sz w:val="24"/>
          <w:szCs w:val="24"/>
        </w:rPr>
        <w:t>a) zákona č. 203/2011 Z. z. v znení neskorších predpisov najviac o  ďalších 12 mesiacov (špecifický symbol 2371). Národná banka Slovenska s ohľadom na informácie, ktoré má k dispozícii, resp. podľa expertného odhadu, nepredpokladá vykonanie predmetného úkonu v blízkej budúcnosti, a teda nepredpokladá jeho vplyv na podnikateľské prostredie.</w:t>
      </w:r>
    </w:p>
    <w:p w14:paraId="52F1398E" w14:textId="59374EA8" w:rsidR="008B174C" w:rsidRPr="009C13B2" w:rsidRDefault="008B174C"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Návrhom opatrenia má dôjsť aj k zvýšeniu poplatku za úkon udelenia predchádzajúceho súhlasu na voľbu osoby navrhovanej za člena predstavenstva správcovskej spoločnosti alebo za člena dozornej rady správcovskej spoločnosti alebo na menovanie prokuristu správcovskej spoločnosti (špecifický symbol 2303).</w:t>
      </w:r>
      <w:r w:rsidRPr="009C13B2">
        <w:rPr>
          <w:rFonts w:ascii="Times New Roman" w:hAnsi="Times New Roman" w:cs="Times New Roman"/>
        </w:rPr>
        <w:t xml:space="preserve"> </w:t>
      </w:r>
      <w:r w:rsidRPr="009C13B2">
        <w:rPr>
          <w:rFonts w:ascii="Times New Roman" w:eastAsia="Calibri" w:hAnsi="Times New Roman" w:cs="Times New Roman"/>
          <w:bCs/>
          <w:sz w:val="24"/>
          <w:szCs w:val="24"/>
        </w:rPr>
        <w:t>Národná banka Slovenska s ohľadom na informácie, ktoré má k dispozícii, resp. podľa expertného odhadu, predpokladá vykonanie predmetného úkonu v blízkej budúcnosti v</w:t>
      </w:r>
      <w:r w:rsidR="00CB1D58" w:rsidRPr="009C13B2">
        <w:rPr>
          <w:rFonts w:ascii="Times New Roman" w:eastAsia="Calibri" w:hAnsi="Times New Roman" w:cs="Times New Roman"/>
          <w:bCs/>
          <w:sz w:val="24"/>
          <w:szCs w:val="24"/>
        </w:rPr>
        <w:t> </w:t>
      </w:r>
      <w:r w:rsidRPr="009C13B2">
        <w:rPr>
          <w:rFonts w:ascii="Times New Roman" w:eastAsia="Calibri" w:hAnsi="Times New Roman" w:cs="Times New Roman"/>
          <w:bCs/>
          <w:sz w:val="24"/>
          <w:szCs w:val="24"/>
        </w:rPr>
        <w:t>21</w:t>
      </w:r>
      <w:r w:rsidR="00CB1D58"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potenciálnych prípadoch, resp. z hľadiska nákladov predpokladá vplyv na podnikateľské prostredie uvedený v tabuľke č. 2.</w:t>
      </w:r>
    </w:p>
    <w:p w14:paraId="5EEEF8EA" w14:textId="77777777" w:rsidR="008B174C" w:rsidRPr="009C13B2" w:rsidRDefault="008B174C" w:rsidP="000378AB">
      <w:pPr>
        <w:spacing w:after="0"/>
        <w:jc w:val="both"/>
        <w:rPr>
          <w:rFonts w:ascii="Times New Roman" w:eastAsia="Calibri" w:hAnsi="Times New Roman" w:cs="Times New Roman"/>
          <w:bCs/>
          <w:sz w:val="24"/>
          <w:szCs w:val="24"/>
        </w:rPr>
      </w:pPr>
    </w:p>
    <w:p w14:paraId="5CD7A229" w14:textId="77777777" w:rsidR="00B97126" w:rsidRPr="009C13B2" w:rsidRDefault="00B97126" w:rsidP="000378AB">
      <w:pPr>
        <w:spacing w:after="0"/>
        <w:jc w:val="both"/>
        <w:rPr>
          <w:rFonts w:ascii="Times New Roman" w:eastAsia="Calibri" w:hAnsi="Times New Roman" w:cs="Times New Roman"/>
          <w:bCs/>
          <w:color w:val="000000"/>
          <w:sz w:val="24"/>
          <w:szCs w:val="24"/>
        </w:rPr>
      </w:pPr>
    </w:p>
    <w:p w14:paraId="3DD766AA" w14:textId="68CA2FBE" w:rsidR="00B97126" w:rsidRPr="009C13B2" w:rsidRDefault="00B97126" w:rsidP="000378AB">
      <w:pPr>
        <w:pStyle w:val="ListParagraph"/>
        <w:numPr>
          <w:ilvl w:val="0"/>
          <w:numId w:val="15"/>
        </w:numPr>
        <w:spacing w:after="0"/>
        <w:ind w:left="284" w:hanging="284"/>
        <w:jc w:val="both"/>
        <w:rPr>
          <w:rFonts w:ascii="Times New Roman" w:eastAsia="Calibri" w:hAnsi="Times New Roman" w:cs="Times New Roman"/>
          <w:b/>
          <w:sz w:val="24"/>
          <w:szCs w:val="24"/>
          <w:u w:val="single"/>
        </w:rPr>
      </w:pPr>
      <w:r w:rsidRPr="009C13B2">
        <w:rPr>
          <w:rFonts w:ascii="Times New Roman" w:eastAsia="Calibri" w:hAnsi="Times New Roman" w:cs="Times New Roman"/>
          <w:b/>
          <w:sz w:val="24"/>
          <w:szCs w:val="24"/>
          <w:u w:val="single"/>
        </w:rPr>
        <w:t>Garančný fond investícií</w:t>
      </w:r>
    </w:p>
    <w:p w14:paraId="5884F857" w14:textId="77777777" w:rsidR="006D0B65" w:rsidRPr="009C13B2" w:rsidRDefault="006D0B65" w:rsidP="000378AB">
      <w:pPr>
        <w:spacing w:after="0"/>
        <w:jc w:val="both"/>
        <w:rPr>
          <w:rFonts w:ascii="Times New Roman" w:eastAsia="Calibri" w:hAnsi="Times New Roman" w:cs="Times New Roman"/>
          <w:bCs/>
          <w:color w:val="000000"/>
          <w:sz w:val="24"/>
          <w:szCs w:val="24"/>
        </w:rPr>
      </w:pPr>
    </w:p>
    <w:p w14:paraId="7F656E32" w14:textId="36950D56" w:rsidR="006D0B65" w:rsidRPr="009C13B2" w:rsidRDefault="006D0B65"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w:t>
      </w:r>
      <w:r w:rsidR="00E6141D" w:rsidRPr="009C13B2">
        <w:rPr>
          <w:rFonts w:ascii="Times New Roman" w:eastAsia="Calibri" w:hAnsi="Times New Roman" w:cs="Times New Roman"/>
          <w:bCs/>
          <w:sz w:val="24"/>
          <w:szCs w:val="24"/>
        </w:rPr>
        <w:t>a</w:t>
      </w:r>
      <w:r w:rsidRPr="009C13B2">
        <w:rPr>
          <w:rFonts w:ascii="Times New Roman" w:eastAsia="Calibri" w:hAnsi="Times New Roman" w:cs="Times New Roman"/>
          <w:bCs/>
          <w:sz w:val="24"/>
          <w:szCs w:val="24"/>
        </w:rPr>
        <w:t xml:space="preserve">vrhuje sa stanoviť poplatok za úkon udelenia predchádzajúceho súhlasu na vydanie Všeobecných podmienok vyplácania náhrad za nedostupný klientsky majetok Garančným fondom investícií (špecifický symbol 2372). Národná banka Slovenska s ohľadom na informácie, ktoré má k dispozícii, resp. podľa expertného odhadu, nepredpokladá vykonanie predmetného úkonu v blízkej budúcnosti, a teda nepredpokladá jeho vplyv na podnikateľské prostredie.  </w:t>
      </w:r>
    </w:p>
    <w:p w14:paraId="1FDBD490" w14:textId="76ECF1E6" w:rsidR="000D7476" w:rsidRPr="00B07ED9" w:rsidRDefault="006D0B65"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Zároveň, návrhom opatrenia má dôjsť k stanoveniu poplatku za úkon udelenia predchádzajúceho súhlasu na zmenu Všeobecných podmienok vyplácania náhrad za nedostupný klientsky majetok Garančným fondom investícií (špecifický symbol 2373). Národná banka Slovenska s ohľadom na informácie, ktoré má k dispozícii, resp. podľa expertného odhadu, predpokladá vykonanie predmetného úkonu v blízkej budúcnosti v 1  potenciálnom prípade, resp. z hľadiska nákladov predpokladá vplyv na podnikateľské prostredie uvedený v tabuľke č. 2.</w:t>
      </w:r>
    </w:p>
    <w:p w14:paraId="0C5BE0A5" w14:textId="458083C9" w:rsidR="005549D0" w:rsidRPr="009C13B2" w:rsidRDefault="005549D0" w:rsidP="000378AB">
      <w:pPr>
        <w:pStyle w:val="ListParagraph"/>
        <w:numPr>
          <w:ilvl w:val="0"/>
          <w:numId w:val="15"/>
        </w:numPr>
        <w:spacing w:after="0"/>
        <w:ind w:left="284" w:hanging="284"/>
        <w:jc w:val="both"/>
        <w:rPr>
          <w:rFonts w:ascii="Times New Roman" w:eastAsia="Calibri" w:hAnsi="Times New Roman" w:cs="Times New Roman"/>
          <w:b/>
          <w:sz w:val="24"/>
          <w:szCs w:val="24"/>
          <w:u w:val="single"/>
        </w:rPr>
      </w:pPr>
      <w:r w:rsidRPr="009C13B2">
        <w:rPr>
          <w:rFonts w:ascii="Times New Roman" w:eastAsia="Calibri" w:hAnsi="Times New Roman" w:cs="Times New Roman"/>
          <w:b/>
          <w:sz w:val="24"/>
          <w:szCs w:val="24"/>
          <w:u w:val="single"/>
        </w:rPr>
        <w:lastRenderedPageBreak/>
        <w:t>Burza cenných papierov</w:t>
      </w:r>
    </w:p>
    <w:p w14:paraId="31463270" w14:textId="77777777" w:rsidR="005549D0" w:rsidRPr="009C13B2" w:rsidRDefault="005549D0" w:rsidP="000378AB">
      <w:pPr>
        <w:spacing w:after="0"/>
        <w:jc w:val="both"/>
        <w:rPr>
          <w:rFonts w:ascii="Times New Roman" w:eastAsia="Calibri" w:hAnsi="Times New Roman" w:cs="Times New Roman"/>
          <w:bCs/>
          <w:color w:val="000000"/>
          <w:sz w:val="24"/>
          <w:szCs w:val="24"/>
        </w:rPr>
      </w:pPr>
    </w:p>
    <w:p w14:paraId="4341BED5" w14:textId="601A8DE0" w:rsidR="00AF2CBE" w:rsidRPr="009C13B2" w:rsidRDefault="00AF2CBE"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Návrhom opatrenia má dôjsť aj k zvýšeniu poplatku za úkon</w:t>
      </w:r>
      <w:r w:rsidRPr="009C13B2">
        <w:rPr>
          <w:rFonts w:ascii="Times New Roman" w:hAnsi="Times New Roman" w:cs="Times New Roman"/>
        </w:rPr>
        <w:t xml:space="preserve"> </w:t>
      </w:r>
      <w:r w:rsidRPr="009C13B2">
        <w:rPr>
          <w:rFonts w:ascii="Times New Roman" w:eastAsia="Calibri" w:hAnsi="Times New Roman" w:cs="Times New Roman"/>
          <w:bCs/>
          <w:sz w:val="24"/>
          <w:szCs w:val="24"/>
        </w:rPr>
        <w:t>udelenia predchádzajúceho súhlasu na voľbu člena predstavenstva, alebo na voľbu člena dozornej rady burzy cenných papierov, alebo na vymenovanie generálneho riaditeľa, alebo na vymenovanie vedúceho útvaru inšpekcie burzových obchodov (špecifický symbol 2337). Národná banka Slovenska s ohľadom na informácie, ktoré má k dispozícii, resp. podľa expertného odhadu, predpokladá vykonanie predmetného úkonu v blízkej budúcnosti v 2 potenciálnych prípadoch, resp. z hľadiska nákladov predpokladá vplyv na podnikateľské prostredie uvedený v tabuľke č. 2.</w:t>
      </w:r>
    </w:p>
    <w:p w14:paraId="1E90E254" w14:textId="77777777" w:rsidR="005549D0" w:rsidRPr="009C13B2" w:rsidRDefault="005549D0" w:rsidP="000378AB">
      <w:pPr>
        <w:spacing w:after="0"/>
        <w:jc w:val="both"/>
        <w:rPr>
          <w:rFonts w:ascii="Times New Roman" w:eastAsia="Calibri" w:hAnsi="Times New Roman" w:cs="Times New Roman"/>
          <w:bCs/>
          <w:sz w:val="24"/>
          <w:szCs w:val="24"/>
        </w:rPr>
      </w:pPr>
    </w:p>
    <w:p w14:paraId="495DD2BD" w14:textId="77777777" w:rsidR="005549D0" w:rsidRPr="009C13B2" w:rsidRDefault="005549D0" w:rsidP="000378AB">
      <w:pPr>
        <w:spacing w:after="0"/>
        <w:jc w:val="both"/>
        <w:rPr>
          <w:rFonts w:ascii="Times New Roman" w:eastAsia="Calibri" w:hAnsi="Times New Roman" w:cs="Times New Roman"/>
          <w:bCs/>
          <w:sz w:val="24"/>
          <w:szCs w:val="24"/>
        </w:rPr>
      </w:pPr>
    </w:p>
    <w:p w14:paraId="2159A94C" w14:textId="77777777" w:rsidR="005549D0" w:rsidRPr="009C13B2" w:rsidRDefault="005549D0" w:rsidP="000378AB">
      <w:pPr>
        <w:spacing w:after="0"/>
        <w:jc w:val="both"/>
        <w:rPr>
          <w:rFonts w:ascii="Times New Roman" w:eastAsia="Calibri" w:hAnsi="Times New Roman" w:cs="Times New Roman"/>
          <w:bCs/>
          <w:sz w:val="24"/>
          <w:szCs w:val="24"/>
        </w:rPr>
      </w:pPr>
    </w:p>
    <w:p w14:paraId="6928353F" w14:textId="77777777" w:rsidR="00615E56" w:rsidRPr="009C13B2" w:rsidRDefault="00615E56" w:rsidP="000378AB">
      <w:pPr>
        <w:pStyle w:val="ListParagraph"/>
        <w:numPr>
          <w:ilvl w:val="0"/>
          <w:numId w:val="15"/>
        </w:numPr>
        <w:spacing w:after="0"/>
        <w:ind w:left="284" w:hanging="284"/>
        <w:jc w:val="both"/>
        <w:rPr>
          <w:rFonts w:ascii="Times New Roman" w:eastAsia="Calibri" w:hAnsi="Times New Roman" w:cs="Times New Roman"/>
          <w:b/>
          <w:sz w:val="24"/>
          <w:szCs w:val="24"/>
          <w:u w:val="single"/>
        </w:rPr>
      </w:pPr>
      <w:r w:rsidRPr="009C13B2">
        <w:rPr>
          <w:rFonts w:ascii="Times New Roman" w:eastAsia="Calibri" w:hAnsi="Times New Roman" w:cs="Times New Roman"/>
          <w:b/>
          <w:sz w:val="24"/>
          <w:szCs w:val="24"/>
          <w:u w:val="single"/>
        </w:rPr>
        <w:t>Prospekty</w:t>
      </w:r>
    </w:p>
    <w:p w14:paraId="12687DBA" w14:textId="77777777" w:rsidR="005E08D1" w:rsidRPr="009C13B2" w:rsidRDefault="005E08D1" w:rsidP="000378AB">
      <w:pPr>
        <w:spacing w:after="0"/>
        <w:jc w:val="both"/>
        <w:rPr>
          <w:rFonts w:ascii="Times New Roman" w:hAnsi="Times New Roman" w:cs="Times New Roman"/>
        </w:rPr>
      </w:pPr>
    </w:p>
    <w:p w14:paraId="59EF6415" w14:textId="4B66DD87" w:rsidR="00E6141D" w:rsidRPr="009C13B2" w:rsidRDefault="008D51BA"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Návrhom opatrenia má dôjsť k vypusteniu úkonu a poplatku za schválenie základného prospektu cenného papiera vypracovaného ako jeden dokument, ak je žiadateľom emitent (špecifický symbol 2427 - iba v opatrení č. 5/2021)</w:t>
      </w:r>
      <w:r w:rsidR="00DA066F" w:rsidRPr="009C13B2">
        <w:rPr>
          <w:rFonts w:ascii="Times New Roman" w:eastAsia="Calibri" w:hAnsi="Times New Roman" w:cs="Times New Roman"/>
          <w:bCs/>
          <w:sz w:val="24"/>
          <w:szCs w:val="24"/>
        </w:rPr>
        <w:t xml:space="preserve">. </w:t>
      </w:r>
      <w:r w:rsidR="00217C3A" w:rsidRPr="009C13B2">
        <w:rPr>
          <w:rFonts w:ascii="Times New Roman" w:eastAsia="Calibri" w:hAnsi="Times New Roman" w:cs="Times New Roman"/>
          <w:bCs/>
          <w:sz w:val="24"/>
          <w:szCs w:val="24"/>
        </w:rPr>
        <w:t>Národná banka Slovenska s ohľadom na informácie, ktoré má k dispozícii, resp. podľa expertného odhadu, predpokladá</w:t>
      </w:r>
      <w:r w:rsidR="001820F0" w:rsidRPr="009C13B2">
        <w:rPr>
          <w:rFonts w:ascii="Times New Roman" w:eastAsia="Calibri" w:hAnsi="Times New Roman" w:cs="Times New Roman"/>
          <w:bCs/>
          <w:sz w:val="24"/>
          <w:szCs w:val="24"/>
        </w:rPr>
        <w:t>, že v prípade nevypustenia úkonu by príslušné subjekty</w:t>
      </w:r>
      <w:r w:rsidR="00217C3A" w:rsidRPr="009C13B2">
        <w:rPr>
          <w:rFonts w:ascii="Times New Roman" w:eastAsia="Calibri" w:hAnsi="Times New Roman" w:cs="Times New Roman"/>
          <w:bCs/>
          <w:sz w:val="24"/>
          <w:szCs w:val="24"/>
        </w:rPr>
        <w:t xml:space="preserve"> potenciáln</w:t>
      </w:r>
      <w:r w:rsidR="001820F0" w:rsidRPr="009C13B2">
        <w:rPr>
          <w:rFonts w:ascii="Times New Roman" w:eastAsia="Calibri" w:hAnsi="Times New Roman" w:cs="Times New Roman"/>
          <w:bCs/>
          <w:sz w:val="24"/>
          <w:szCs w:val="24"/>
        </w:rPr>
        <w:t>e</w:t>
      </w:r>
      <w:r w:rsidR="00217C3A" w:rsidRPr="009C13B2">
        <w:rPr>
          <w:rFonts w:ascii="Times New Roman" w:eastAsia="Calibri" w:hAnsi="Times New Roman" w:cs="Times New Roman"/>
          <w:bCs/>
          <w:sz w:val="24"/>
          <w:szCs w:val="24"/>
        </w:rPr>
        <w:t xml:space="preserve"> </w:t>
      </w:r>
      <w:r w:rsidR="001820F0" w:rsidRPr="009C13B2">
        <w:rPr>
          <w:rFonts w:ascii="Times New Roman" w:eastAsia="Calibri" w:hAnsi="Times New Roman" w:cs="Times New Roman"/>
          <w:bCs/>
          <w:sz w:val="24"/>
          <w:szCs w:val="24"/>
        </w:rPr>
        <w:t xml:space="preserve">podali </w:t>
      </w:r>
      <w:r w:rsidR="00D856DF" w:rsidRPr="009C13B2">
        <w:rPr>
          <w:rFonts w:ascii="Times New Roman" w:eastAsia="Calibri" w:hAnsi="Times New Roman" w:cs="Times New Roman"/>
          <w:bCs/>
          <w:sz w:val="24"/>
          <w:szCs w:val="24"/>
        </w:rPr>
        <w:t xml:space="preserve">19 </w:t>
      </w:r>
      <w:r w:rsidR="001820F0" w:rsidRPr="009C13B2">
        <w:rPr>
          <w:rFonts w:ascii="Times New Roman" w:eastAsia="Calibri" w:hAnsi="Times New Roman" w:cs="Times New Roman"/>
          <w:bCs/>
          <w:sz w:val="24"/>
          <w:szCs w:val="24"/>
        </w:rPr>
        <w:t xml:space="preserve">žiadostí </w:t>
      </w:r>
      <w:r w:rsidR="00217C3A" w:rsidRPr="009C13B2">
        <w:rPr>
          <w:rFonts w:ascii="Times New Roman" w:eastAsia="Calibri" w:hAnsi="Times New Roman" w:cs="Times New Roman"/>
          <w:bCs/>
          <w:sz w:val="24"/>
          <w:szCs w:val="24"/>
        </w:rPr>
        <w:t>o</w:t>
      </w:r>
      <w:r w:rsidR="00DA066F" w:rsidRPr="009C13B2">
        <w:rPr>
          <w:rFonts w:ascii="Times New Roman" w:eastAsia="Calibri" w:hAnsi="Times New Roman" w:cs="Times New Roman"/>
          <w:bCs/>
          <w:sz w:val="24"/>
          <w:szCs w:val="24"/>
        </w:rPr>
        <w:t xml:space="preserve"> jeho </w:t>
      </w:r>
      <w:r w:rsidR="00217C3A" w:rsidRPr="009C13B2">
        <w:rPr>
          <w:rFonts w:ascii="Times New Roman" w:eastAsia="Calibri" w:hAnsi="Times New Roman" w:cs="Times New Roman"/>
          <w:bCs/>
          <w:sz w:val="24"/>
          <w:szCs w:val="24"/>
        </w:rPr>
        <w:t>vykonanie v blízkej budúcnosti</w:t>
      </w:r>
      <w:r w:rsidR="00DA066F" w:rsidRPr="009C13B2">
        <w:rPr>
          <w:rFonts w:ascii="Times New Roman" w:eastAsia="Calibri" w:hAnsi="Times New Roman" w:cs="Times New Roman"/>
          <w:bCs/>
          <w:sz w:val="24"/>
          <w:szCs w:val="24"/>
        </w:rPr>
        <w:t xml:space="preserve">, pričom </w:t>
      </w:r>
      <w:r w:rsidR="00D856DF" w:rsidRPr="009C13B2">
        <w:rPr>
          <w:rFonts w:ascii="Times New Roman" w:eastAsia="Calibri" w:hAnsi="Times New Roman" w:cs="Times New Roman"/>
          <w:bCs/>
          <w:sz w:val="24"/>
          <w:szCs w:val="24"/>
        </w:rPr>
        <w:t>z hľadiska nákladov predpokladá</w:t>
      </w:r>
      <w:r w:rsidR="00DA066F" w:rsidRPr="009C13B2">
        <w:rPr>
          <w:rFonts w:ascii="Times New Roman" w:eastAsia="Calibri" w:hAnsi="Times New Roman" w:cs="Times New Roman"/>
          <w:bCs/>
          <w:sz w:val="24"/>
          <w:szCs w:val="24"/>
        </w:rPr>
        <w:t>, že vypustenie predmetného úkonu bude mať</w:t>
      </w:r>
      <w:r w:rsidR="00D856DF" w:rsidRPr="009C13B2">
        <w:rPr>
          <w:rFonts w:ascii="Times New Roman" w:eastAsia="Calibri" w:hAnsi="Times New Roman" w:cs="Times New Roman"/>
          <w:bCs/>
          <w:sz w:val="24"/>
          <w:szCs w:val="24"/>
        </w:rPr>
        <w:t xml:space="preserve"> vplyv na podnikateľské prostredie uvedený v tabuľke č. 2</w:t>
      </w:r>
      <w:r w:rsidR="00217C3A" w:rsidRPr="009C13B2">
        <w:rPr>
          <w:rFonts w:ascii="Times New Roman" w:eastAsia="Calibri" w:hAnsi="Times New Roman" w:cs="Times New Roman"/>
          <w:bCs/>
          <w:sz w:val="24"/>
          <w:szCs w:val="24"/>
        </w:rPr>
        <w:t>.</w:t>
      </w:r>
    </w:p>
    <w:p w14:paraId="5A9CA453" w14:textId="2CF1DC12" w:rsidR="00DA066F" w:rsidRPr="009C13B2" w:rsidRDefault="00DA066F"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Zároveň, navrhuje sa vypustiť úkon a poplatok za schválenie prospektu cenného papiera vypracovaného ako jeden dokument, ak je žiadateľom emitent (špecifický symbol 2411 - iba v opatrení č. 5/2021). Národná banka Slovenska s ohľadom na informácie, ktoré má k dispozícii, resp. podľa expertného odhadu, predpokladá, že v prípade nevypustenia úkonu by príslušné subjekty potenciálne podali 29 žiadostí o jeho vykonanie v blízkej budúcnosti, pričom z hľadiska nákladov predpokladá, že vypustenie predmetného úkonu bude mať vplyv na podnikateľské prostredie uvedený v tabuľke č. 2.</w:t>
      </w:r>
    </w:p>
    <w:p w14:paraId="297B85A1" w14:textId="10B902BC" w:rsidR="00E24B3A" w:rsidRPr="009C13B2" w:rsidRDefault="00DA066F"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Okrem uvedeného, návrhom opatrenia má dôjsť aj k vypusteniu úkonu a poplatku za schválenie prospektu cenného papiera vypracovaného ako jeden dokument,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2418 - iba v opatrení č.</w:t>
      </w:r>
      <w:r w:rsidR="00021B1A">
        <w:rPr>
          <w:rFonts w:ascii="Times New Roman" w:eastAsia="Calibri" w:hAnsi="Times New Roman" w:cs="Times New Roman"/>
          <w:bCs/>
          <w:sz w:val="24"/>
          <w:szCs w:val="24"/>
        </w:rPr>
        <w:t> </w:t>
      </w:r>
      <w:r w:rsidRPr="009C13B2">
        <w:rPr>
          <w:rFonts w:ascii="Times New Roman" w:eastAsia="Calibri" w:hAnsi="Times New Roman" w:cs="Times New Roman"/>
          <w:bCs/>
          <w:sz w:val="24"/>
          <w:szCs w:val="24"/>
        </w:rPr>
        <w:t xml:space="preserve">5/2021). Takisto, navrhuje sa vypustiť úkon a poplatok za schválenie rastového prospektu EÚ vypracovaného ako jeden dokument,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2448 - iba v opatrení č. </w:t>
      </w:r>
      <w:r w:rsidRPr="00C80C8B">
        <w:rPr>
          <w:rFonts w:ascii="Times New Roman" w:eastAsia="Calibri" w:hAnsi="Times New Roman" w:cs="Times New Roman"/>
          <w:bCs/>
          <w:sz w:val="24"/>
          <w:szCs w:val="24"/>
        </w:rPr>
        <w:t>5/2021).</w:t>
      </w:r>
      <w:r w:rsidRPr="009C13B2">
        <w:rPr>
          <w:rFonts w:ascii="Times New Roman" w:eastAsia="Calibri" w:hAnsi="Times New Roman" w:cs="Times New Roman"/>
          <w:bCs/>
          <w:sz w:val="24"/>
          <w:szCs w:val="24"/>
        </w:rPr>
        <w:t xml:space="preserve"> Pri obidvoch spomínaných úkonoch Národná banka Slovenska s ohľadom na informácie, ktoré má k dispozícii, resp. podľa expertného odhadu, predpokladá, že v prípade nevypustenia úkonov by v blízkej budúcnosti príslušné subjekty potenciálne podali 1 žiadosť o vykonanie každého z úkonov, pričom z hľadiska nákladov predpokladá, že vypustenie predmetných úkonov bude mať vplyv na podnikateľské prostredie uvedený v tabuľke č. 2.</w:t>
      </w:r>
    </w:p>
    <w:p w14:paraId="70224862" w14:textId="24AA902F" w:rsidR="00E24B3A" w:rsidRPr="009C13B2" w:rsidRDefault="00EC58EB"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Návrhom opatrenia má dôjsť aj k vypusteniu úkonu a poplatku za schválenie rastového prospektu EÚ vypracovaného ako jeden dokument, ak je žiadateľom emitent (špecifický symbol 2444 - iba v opatrení č. 5/2021). Národná banka Slovenska s ohľadom na informácie, </w:t>
      </w:r>
      <w:r w:rsidRPr="009C13B2">
        <w:rPr>
          <w:rFonts w:ascii="Times New Roman" w:eastAsia="Calibri" w:hAnsi="Times New Roman" w:cs="Times New Roman"/>
          <w:bCs/>
          <w:sz w:val="24"/>
          <w:szCs w:val="24"/>
        </w:rPr>
        <w:lastRenderedPageBreak/>
        <w:t>ktoré má k dispozícii, resp. podľa expertného odhadu, predpokladá, že v prípade nevypustenia úkonu by príslušné subjekty potenciálne podali 8 žiadostí o jeho vykonanie v blízkej budúcnosti, pričom z hľadiska nákladov predpokladá, že vypustenie predmetného úkonu bude mať vplyv na podnikateľské prostredie uvedený v tabuľke č. 2.</w:t>
      </w:r>
    </w:p>
    <w:p w14:paraId="1DAD2912" w14:textId="3E6A2328" w:rsidR="005E08D1" w:rsidRPr="009C13B2" w:rsidRDefault="00EB3604"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Zároveň sa navrhuje vypustenie úkonu a poplatku za schválenie dodatku k prospektu cenného papiera alebo k jeho súčasti (špecifický symbol 2415 - iba v opatrení č. 5/2021). Národná banka Slovenska s ohľadom na informácie, ktoré má k dispozícii, resp.</w:t>
      </w:r>
      <w:r w:rsidRPr="009C13B2">
        <w:rPr>
          <w:rFonts w:ascii="Times New Roman" w:eastAsia="Calibri" w:hAnsi="Times New Roman" w:cs="Times New Roman"/>
          <w:bCs/>
          <w:color w:val="00B050"/>
          <w:sz w:val="24"/>
          <w:szCs w:val="24"/>
        </w:rPr>
        <w:t xml:space="preserve"> </w:t>
      </w:r>
      <w:r w:rsidRPr="009C13B2">
        <w:rPr>
          <w:rFonts w:ascii="Times New Roman" w:eastAsia="Calibri" w:hAnsi="Times New Roman" w:cs="Times New Roman"/>
          <w:bCs/>
          <w:sz w:val="24"/>
          <w:szCs w:val="24"/>
        </w:rPr>
        <w:t>podľa expertného odhadu, predpokladá, že v prípade nevypustenia úkonu by príslušné subjekty potenciálne podali 25 žiadostí o jeho vykonanie v blízkej budúcnosti, pričom z hľadiska nákladov predpokladá, že vypustenie predmetného úkonu bude mať vplyv na podnikateľské prostredie uvedený v tabuľke č. 2.</w:t>
      </w:r>
    </w:p>
    <w:p w14:paraId="47067337" w14:textId="77777777" w:rsidR="0054149B" w:rsidRPr="009C13B2" w:rsidRDefault="0054149B" w:rsidP="000378AB">
      <w:pPr>
        <w:spacing w:after="0"/>
        <w:jc w:val="both"/>
        <w:rPr>
          <w:rFonts w:ascii="Times New Roman" w:eastAsia="Calibri" w:hAnsi="Times New Roman" w:cs="Times New Roman"/>
          <w:bCs/>
          <w:sz w:val="24"/>
          <w:szCs w:val="24"/>
        </w:rPr>
      </w:pPr>
    </w:p>
    <w:p w14:paraId="346A4ADC" w14:textId="7EFA3A4F" w:rsidR="005D3D3C" w:rsidRPr="009C13B2" w:rsidRDefault="005D3D3C" w:rsidP="000378AB">
      <w:pPr>
        <w:spacing w:after="0"/>
        <w:jc w:val="both"/>
        <w:rPr>
          <w:rFonts w:ascii="Times New Roman" w:hAnsi="Times New Roman" w:cs="Times New Roman"/>
          <w:sz w:val="24"/>
          <w:szCs w:val="24"/>
        </w:rPr>
      </w:pPr>
      <w:r w:rsidRPr="009C13B2">
        <w:rPr>
          <w:rFonts w:ascii="Times New Roman" w:hAnsi="Times New Roman" w:cs="Times New Roman"/>
          <w:sz w:val="24"/>
          <w:szCs w:val="24"/>
        </w:rPr>
        <w:t>Okrem vyššie uvedeného, návrhom opatrenia má dôjsť k vypusteniu väčšieho počtu úkonov a poplatkov, a to za schválenie:</w:t>
      </w:r>
    </w:p>
    <w:p w14:paraId="381FB766" w14:textId="08D38555" w:rsidR="000204DE" w:rsidRPr="009C13B2" w:rsidRDefault="005D3D3C"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615E56" w:rsidRPr="009C13B2">
        <w:rPr>
          <w:rFonts w:ascii="Times New Roman" w:hAnsi="Times New Roman" w:cs="Times New Roman"/>
          <w:sz w:val="24"/>
          <w:szCs w:val="24"/>
        </w:rPr>
        <w:t xml:space="preserve">základného prospektu cenného papiera </w:t>
      </w:r>
      <w:r w:rsidR="000204DE" w:rsidRPr="009C13B2">
        <w:rPr>
          <w:rFonts w:ascii="Times New Roman" w:hAnsi="Times New Roman" w:cs="Times New Roman"/>
          <w:sz w:val="24"/>
          <w:szCs w:val="24"/>
        </w:rPr>
        <w:t>skladajúceho sa zo samostatných dokumentov</w:t>
      </w:r>
      <w:r w:rsidR="00615E56" w:rsidRPr="009C13B2">
        <w:rPr>
          <w:rFonts w:ascii="Times New Roman" w:hAnsi="Times New Roman" w:cs="Times New Roman"/>
          <w:sz w:val="24"/>
          <w:szCs w:val="24"/>
        </w:rPr>
        <w:t>, ak je žiadateľom emitent (</w:t>
      </w:r>
      <w:r w:rsidRPr="009C13B2">
        <w:rPr>
          <w:rFonts w:ascii="Times New Roman" w:hAnsi="Times New Roman" w:cs="Times New Roman"/>
          <w:sz w:val="24"/>
          <w:szCs w:val="24"/>
        </w:rPr>
        <w:t>v závislosti od dokumentu, o ktorého schválenie sa žiada</w:t>
      </w:r>
      <w:r w:rsidR="00735682" w:rsidRPr="009C13B2">
        <w:rPr>
          <w:rFonts w:ascii="Times New Roman" w:hAnsi="Times New Roman" w:cs="Times New Roman"/>
          <w:sz w:val="24"/>
          <w:szCs w:val="24"/>
        </w:rPr>
        <w:t>,</w:t>
      </w:r>
      <w:r w:rsidRPr="009C13B2">
        <w:rPr>
          <w:rFonts w:ascii="Times New Roman" w:hAnsi="Times New Roman" w:cs="Times New Roman"/>
          <w:sz w:val="24"/>
          <w:szCs w:val="24"/>
        </w:rPr>
        <w:t xml:space="preserve"> ide o </w:t>
      </w:r>
      <w:r w:rsidR="00615E56" w:rsidRPr="009C13B2">
        <w:rPr>
          <w:rFonts w:ascii="Times New Roman" w:hAnsi="Times New Roman" w:cs="Times New Roman"/>
          <w:sz w:val="24"/>
          <w:szCs w:val="24"/>
        </w:rPr>
        <w:t>špecifick</w:t>
      </w:r>
      <w:r w:rsidRPr="009C13B2">
        <w:rPr>
          <w:rFonts w:ascii="Times New Roman" w:hAnsi="Times New Roman" w:cs="Times New Roman"/>
          <w:sz w:val="24"/>
          <w:szCs w:val="24"/>
        </w:rPr>
        <w:t>é</w:t>
      </w:r>
      <w:r w:rsidR="00615E56" w:rsidRPr="009C13B2">
        <w:rPr>
          <w:rFonts w:ascii="Times New Roman" w:hAnsi="Times New Roman" w:cs="Times New Roman"/>
          <w:sz w:val="24"/>
          <w:szCs w:val="24"/>
        </w:rPr>
        <w:t xml:space="preserve"> symbol</w:t>
      </w:r>
      <w:r w:rsidRPr="009C13B2">
        <w:rPr>
          <w:rFonts w:ascii="Times New Roman" w:hAnsi="Times New Roman" w:cs="Times New Roman"/>
          <w:sz w:val="24"/>
          <w:szCs w:val="24"/>
        </w:rPr>
        <w:t>y</w:t>
      </w:r>
      <w:r w:rsidR="00615E56" w:rsidRPr="009C13B2">
        <w:rPr>
          <w:rFonts w:ascii="Times New Roman" w:hAnsi="Times New Roman" w:cs="Times New Roman"/>
          <w:sz w:val="24"/>
          <w:szCs w:val="24"/>
        </w:rPr>
        <w:t xml:space="preserve"> 2428</w:t>
      </w:r>
      <w:r w:rsidRPr="009C13B2">
        <w:rPr>
          <w:rFonts w:ascii="Times New Roman" w:hAnsi="Times New Roman" w:cs="Times New Roman"/>
          <w:sz w:val="24"/>
          <w:szCs w:val="24"/>
        </w:rPr>
        <w:t xml:space="preserve">, </w:t>
      </w:r>
      <w:r w:rsidR="00615E56" w:rsidRPr="009C13B2">
        <w:rPr>
          <w:rFonts w:ascii="Times New Roman" w:hAnsi="Times New Roman" w:cs="Times New Roman"/>
          <w:sz w:val="24"/>
          <w:szCs w:val="24"/>
        </w:rPr>
        <w:t>2429</w:t>
      </w:r>
      <w:r w:rsidR="000204DE" w:rsidRPr="009C13B2">
        <w:rPr>
          <w:rFonts w:ascii="Times New Roman" w:hAnsi="Times New Roman" w:cs="Times New Roman"/>
          <w:sz w:val="24"/>
          <w:szCs w:val="24"/>
        </w:rPr>
        <w:t xml:space="preserve"> </w:t>
      </w:r>
      <w:r w:rsidRPr="009C13B2">
        <w:rPr>
          <w:rFonts w:ascii="Times New Roman" w:hAnsi="Times New Roman" w:cs="Times New Roman"/>
          <w:sz w:val="24"/>
          <w:szCs w:val="24"/>
        </w:rPr>
        <w:t xml:space="preserve">a </w:t>
      </w:r>
      <w:r w:rsidR="00615E56" w:rsidRPr="009C13B2">
        <w:rPr>
          <w:rFonts w:ascii="Times New Roman" w:hAnsi="Times New Roman" w:cs="Times New Roman"/>
          <w:sz w:val="24"/>
          <w:szCs w:val="24"/>
        </w:rPr>
        <w:t xml:space="preserve">2430 </w:t>
      </w:r>
      <w:r w:rsidRPr="009C13B2">
        <w:rPr>
          <w:rFonts w:ascii="Times New Roman" w:hAnsi="Times New Roman" w:cs="Times New Roman"/>
          <w:sz w:val="24"/>
          <w:szCs w:val="24"/>
        </w:rPr>
        <w:t>–</w:t>
      </w:r>
      <w:r w:rsidR="00615E56" w:rsidRPr="009C13B2">
        <w:rPr>
          <w:rFonts w:ascii="Times New Roman" w:hAnsi="Times New Roman" w:cs="Times New Roman"/>
          <w:sz w:val="24"/>
          <w:szCs w:val="24"/>
        </w:rPr>
        <w:t xml:space="preserve"> </w:t>
      </w:r>
      <w:r w:rsidRPr="009C13B2">
        <w:rPr>
          <w:rFonts w:ascii="Times New Roman" w:hAnsi="Times New Roman" w:cs="Times New Roman"/>
          <w:sz w:val="24"/>
          <w:szCs w:val="24"/>
        </w:rPr>
        <w:t xml:space="preserve">všetky </w:t>
      </w:r>
      <w:r w:rsidR="00615E56" w:rsidRPr="009C13B2">
        <w:rPr>
          <w:rFonts w:ascii="Times New Roman" w:hAnsi="Times New Roman" w:cs="Times New Roman"/>
          <w:sz w:val="24"/>
          <w:szCs w:val="24"/>
        </w:rPr>
        <w:t>iba v opatrení č. 5/2021)</w:t>
      </w:r>
      <w:r w:rsidRPr="009C13B2">
        <w:rPr>
          <w:rFonts w:ascii="Times New Roman" w:hAnsi="Times New Roman" w:cs="Times New Roman"/>
          <w:sz w:val="24"/>
          <w:szCs w:val="24"/>
        </w:rPr>
        <w:t>,</w:t>
      </w:r>
    </w:p>
    <w:p w14:paraId="39D3C907" w14:textId="35AED284" w:rsidR="00615E56" w:rsidRPr="009C13B2" w:rsidRDefault="005D3D3C"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615E56" w:rsidRPr="009C13B2">
        <w:rPr>
          <w:rFonts w:ascii="Times New Roman" w:hAnsi="Times New Roman" w:cs="Times New Roman"/>
          <w:sz w:val="24"/>
          <w:szCs w:val="24"/>
        </w:rPr>
        <w:t>základného prospektu cenného papiera vypracovaného ako jeden dokument, ak žiadateľom je vyhlasovateľ verejnej ponuky cenných papierov, ktorý nie je emitentom cenných papierov, ktoré sú predmetom verejnej ponuky cenných papierov, alebo osoba, ktorá nie je emitentom žiadajúca o prijatie na obchodovanie na regulovanom trhu (špecifický symbol 2431 - iba v opatrení č. 5/2021)</w:t>
      </w:r>
      <w:r w:rsidR="00586E55" w:rsidRPr="009C13B2">
        <w:rPr>
          <w:rFonts w:ascii="Times New Roman" w:hAnsi="Times New Roman" w:cs="Times New Roman"/>
          <w:sz w:val="24"/>
          <w:szCs w:val="24"/>
        </w:rPr>
        <w:t>,</w:t>
      </w:r>
    </w:p>
    <w:p w14:paraId="63001016" w14:textId="0ECED41E" w:rsidR="00586E55" w:rsidRPr="009C13B2" w:rsidRDefault="005D3D3C"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615E56" w:rsidRPr="009C13B2">
        <w:rPr>
          <w:rFonts w:ascii="Times New Roman" w:hAnsi="Times New Roman" w:cs="Times New Roman"/>
          <w:sz w:val="24"/>
          <w:szCs w:val="24"/>
        </w:rPr>
        <w:t>základného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w:t>
      </w:r>
      <w:r w:rsidRPr="009C13B2">
        <w:rPr>
          <w:rFonts w:ascii="Times New Roman" w:hAnsi="Times New Roman" w:cs="Times New Roman"/>
          <w:sz w:val="24"/>
          <w:szCs w:val="24"/>
        </w:rPr>
        <w:t>v závislosti od dokumentu, o ktorého schválenie sa žiada</w:t>
      </w:r>
      <w:r w:rsidR="00735682" w:rsidRPr="009C13B2">
        <w:rPr>
          <w:rFonts w:ascii="Times New Roman" w:hAnsi="Times New Roman" w:cs="Times New Roman"/>
          <w:sz w:val="24"/>
          <w:szCs w:val="24"/>
        </w:rPr>
        <w:t>,</w:t>
      </w:r>
      <w:r w:rsidRPr="009C13B2">
        <w:rPr>
          <w:rFonts w:ascii="Times New Roman" w:hAnsi="Times New Roman" w:cs="Times New Roman"/>
          <w:sz w:val="24"/>
          <w:szCs w:val="24"/>
        </w:rPr>
        <w:t xml:space="preserve"> ide o špecifické symboly </w:t>
      </w:r>
      <w:r w:rsidR="00615E56" w:rsidRPr="009C13B2">
        <w:rPr>
          <w:rFonts w:ascii="Times New Roman" w:hAnsi="Times New Roman" w:cs="Times New Roman"/>
          <w:sz w:val="24"/>
          <w:szCs w:val="24"/>
        </w:rPr>
        <w:t>2432</w:t>
      </w:r>
      <w:r w:rsidR="00586E55" w:rsidRPr="009C13B2">
        <w:rPr>
          <w:rFonts w:ascii="Times New Roman" w:hAnsi="Times New Roman" w:cs="Times New Roman"/>
          <w:sz w:val="24"/>
          <w:szCs w:val="24"/>
        </w:rPr>
        <w:t xml:space="preserve">, </w:t>
      </w:r>
      <w:r w:rsidR="00615E56" w:rsidRPr="009C13B2">
        <w:rPr>
          <w:rFonts w:ascii="Times New Roman" w:hAnsi="Times New Roman" w:cs="Times New Roman"/>
          <w:sz w:val="24"/>
          <w:szCs w:val="24"/>
        </w:rPr>
        <w:t xml:space="preserve">2433 </w:t>
      </w:r>
      <w:r w:rsidR="00586E55" w:rsidRPr="009C13B2">
        <w:rPr>
          <w:rFonts w:ascii="Times New Roman" w:hAnsi="Times New Roman" w:cs="Times New Roman"/>
          <w:sz w:val="24"/>
          <w:szCs w:val="24"/>
        </w:rPr>
        <w:t xml:space="preserve">a </w:t>
      </w:r>
      <w:r w:rsidR="00615E56" w:rsidRPr="009C13B2">
        <w:rPr>
          <w:rFonts w:ascii="Times New Roman" w:hAnsi="Times New Roman" w:cs="Times New Roman"/>
          <w:sz w:val="24"/>
          <w:szCs w:val="24"/>
        </w:rPr>
        <w:t>2434 - iba v opatrení č. 5/2021)</w:t>
      </w:r>
      <w:r w:rsidR="00586E55" w:rsidRPr="009C13B2">
        <w:rPr>
          <w:rFonts w:ascii="Times New Roman" w:hAnsi="Times New Roman" w:cs="Times New Roman"/>
          <w:sz w:val="24"/>
          <w:szCs w:val="24"/>
        </w:rPr>
        <w:t>,</w:t>
      </w:r>
    </w:p>
    <w:p w14:paraId="081F44ED" w14:textId="2FAC4549" w:rsidR="00615E56" w:rsidRPr="009C13B2" w:rsidRDefault="001E3806"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w:t>
      </w:r>
      <w:r w:rsidR="00615E56"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615E56" w:rsidRPr="009C13B2">
        <w:rPr>
          <w:rFonts w:ascii="Times New Roman" w:hAnsi="Times New Roman" w:cs="Times New Roman"/>
          <w:sz w:val="24"/>
          <w:szCs w:val="24"/>
        </w:rPr>
        <w:t>prospektu cenného papiera skladajúceho sa zo samostatných dokumentov, ak je žiadateľom emitent (</w:t>
      </w:r>
      <w:r w:rsidRPr="009C13B2">
        <w:rPr>
          <w:rFonts w:ascii="Times New Roman" w:hAnsi="Times New Roman" w:cs="Times New Roman"/>
          <w:sz w:val="24"/>
          <w:szCs w:val="24"/>
        </w:rPr>
        <w:t>v závislosti od dokumentu, o ktorého schválenie sa žiada</w:t>
      </w:r>
      <w:r w:rsidR="00735682" w:rsidRPr="009C13B2">
        <w:rPr>
          <w:rFonts w:ascii="Times New Roman" w:hAnsi="Times New Roman" w:cs="Times New Roman"/>
          <w:sz w:val="24"/>
          <w:szCs w:val="24"/>
        </w:rPr>
        <w:t>,</w:t>
      </w:r>
      <w:r w:rsidRPr="009C13B2">
        <w:rPr>
          <w:rFonts w:ascii="Times New Roman" w:hAnsi="Times New Roman" w:cs="Times New Roman"/>
          <w:sz w:val="24"/>
          <w:szCs w:val="24"/>
        </w:rPr>
        <w:t xml:space="preserve"> ide o špecifické symboly</w:t>
      </w:r>
      <w:r w:rsidR="00615E56" w:rsidRPr="009C13B2">
        <w:rPr>
          <w:rFonts w:ascii="Times New Roman" w:hAnsi="Times New Roman" w:cs="Times New Roman"/>
          <w:sz w:val="24"/>
          <w:szCs w:val="24"/>
        </w:rPr>
        <w:t xml:space="preserve"> 2412</w:t>
      </w:r>
      <w:r w:rsidRPr="009C13B2">
        <w:rPr>
          <w:rFonts w:ascii="Times New Roman" w:hAnsi="Times New Roman" w:cs="Times New Roman"/>
          <w:sz w:val="24"/>
          <w:szCs w:val="24"/>
        </w:rPr>
        <w:t>,</w:t>
      </w:r>
      <w:r w:rsidR="00615E56" w:rsidRPr="009C13B2">
        <w:rPr>
          <w:rFonts w:ascii="Times New Roman" w:hAnsi="Times New Roman" w:cs="Times New Roman"/>
          <w:sz w:val="24"/>
          <w:szCs w:val="24"/>
        </w:rPr>
        <w:t xml:space="preserve"> 2413</w:t>
      </w:r>
      <w:r w:rsidRPr="009C13B2">
        <w:rPr>
          <w:rFonts w:ascii="Times New Roman" w:hAnsi="Times New Roman" w:cs="Times New Roman"/>
          <w:sz w:val="24"/>
          <w:szCs w:val="24"/>
        </w:rPr>
        <w:t xml:space="preserve"> a</w:t>
      </w:r>
      <w:r w:rsidR="00615E56" w:rsidRPr="009C13B2">
        <w:rPr>
          <w:rFonts w:ascii="Times New Roman" w:hAnsi="Times New Roman" w:cs="Times New Roman"/>
          <w:sz w:val="24"/>
          <w:szCs w:val="24"/>
        </w:rPr>
        <w:t xml:space="preserve"> 2414 - iba v opatrení č. 5/2021)</w:t>
      </w:r>
      <w:r w:rsidRPr="009C13B2">
        <w:rPr>
          <w:rFonts w:ascii="Times New Roman" w:hAnsi="Times New Roman" w:cs="Times New Roman"/>
          <w:sz w:val="24"/>
          <w:szCs w:val="24"/>
        </w:rPr>
        <w:t>,</w:t>
      </w:r>
    </w:p>
    <w:p w14:paraId="4496901C" w14:textId="7EEAD8CF" w:rsidR="001E3806" w:rsidRPr="009C13B2" w:rsidRDefault="001E3806"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w:t>
      </w:r>
      <w:r w:rsidR="00554E3A"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554E3A" w:rsidRPr="009C13B2">
        <w:rPr>
          <w:rFonts w:ascii="Times New Roman" w:hAnsi="Times New Roman" w:cs="Times New Roman"/>
          <w:sz w:val="24"/>
          <w:szCs w:val="24"/>
        </w:rPr>
        <w:t>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w:t>
      </w:r>
      <w:r w:rsidRPr="009C13B2">
        <w:rPr>
          <w:rFonts w:ascii="Times New Roman" w:hAnsi="Times New Roman" w:cs="Times New Roman"/>
          <w:sz w:val="24"/>
          <w:szCs w:val="24"/>
        </w:rPr>
        <w:t>v závislosti od dokumentu, o ktorého schválenie sa žiada</w:t>
      </w:r>
      <w:r w:rsidR="00735682" w:rsidRPr="009C13B2">
        <w:rPr>
          <w:rFonts w:ascii="Times New Roman" w:hAnsi="Times New Roman" w:cs="Times New Roman"/>
          <w:sz w:val="24"/>
          <w:szCs w:val="24"/>
        </w:rPr>
        <w:t>,</w:t>
      </w:r>
      <w:r w:rsidRPr="009C13B2">
        <w:rPr>
          <w:rFonts w:ascii="Times New Roman" w:hAnsi="Times New Roman" w:cs="Times New Roman"/>
          <w:sz w:val="24"/>
          <w:szCs w:val="24"/>
        </w:rPr>
        <w:t xml:space="preserve"> ide o špecifické symboly </w:t>
      </w:r>
      <w:r w:rsidR="00554E3A" w:rsidRPr="009C13B2">
        <w:rPr>
          <w:rFonts w:ascii="Times New Roman" w:hAnsi="Times New Roman" w:cs="Times New Roman"/>
          <w:sz w:val="24"/>
          <w:szCs w:val="24"/>
        </w:rPr>
        <w:t>2419</w:t>
      </w:r>
      <w:r w:rsidRPr="009C13B2">
        <w:rPr>
          <w:rFonts w:ascii="Times New Roman" w:hAnsi="Times New Roman" w:cs="Times New Roman"/>
          <w:sz w:val="24"/>
          <w:szCs w:val="24"/>
        </w:rPr>
        <w:t xml:space="preserve">, </w:t>
      </w:r>
      <w:r w:rsidR="00554E3A" w:rsidRPr="009C13B2">
        <w:rPr>
          <w:rFonts w:ascii="Times New Roman" w:hAnsi="Times New Roman" w:cs="Times New Roman"/>
          <w:sz w:val="24"/>
          <w:szCs w:val="24"/>
        </w:rPr>
        <w:t xml:space="preserve">2420 </w:t>
      </w:r>
      <w:r w:rsidRPr="009C13B2">
        <w:rPr>
          <w:rFonts w:ascii="Times New Roman" w:hAnsi="Times New Roman" w:cs="Times New Roman"/>
          <w:sz w:val="24"/>
          <w:szCs w:val="24"/>
        </w:rPr>
        <w:t>a</w:t>
      </w:r>
      <w:r w:rsidR="00554E3A" w:rsidRPr="009C13B2">
        <w:rPr>
          <w:rFonts w:ascii="Times New Roman" w:hAnsi="Times New Roman" w:cs="Times New Roman"/>
          <w:sz w:val="24"/>
          <w:szCs w:val="24"/>
        </w:rPr>
        <w:t xml:space="preserve"> 2421 - iba v opatrení č.</w:t>
      </w:r>
      <w:r w:rsidR="005D52CB">
        <w:rPr>
          <w:rFonts w:ascii="Times New Roman" w:hAnsi="Times New Roman" w:cs="Times New Roman"/>
          <w:sz w:val="24"/>
          <w:szCs w:val="24"/>
        </w:rPr>
        <w:t> </w:t>
      </w:r>
      <w:r w:rsidR="00554E3A" w:rsidRPr="009C13B2">
        <w:rPr>
          <w:rFonts w:ascii="Times New Roman" w:hAnsi="Times New Roman" w:cs="Times New Roman"/>
          <w:sz w:val="24"/>
          <w:szCs w:val="24"/>
        </w:rPr>
        <w:t>5/2021)</w:t>
      </w:r>
      <w:r w:rsidRPr="009C13B2">
        <w:rPr>
          <w:rFonts w:ascii="Times New Roman" w:hAnsi="Times New Roman" w:cs="Times New Roman"/>
          <w:sz w:val="24"/>
          <w:szCs w:val="24"/>
        </w:rPr>
        <w:t>,</w:t>
      </w:r>
    </w:p>
    <w:p w14:paraId="3EB7FFE9" w14:textId="128C6E7E" w:rsidR="003060B8" w:rsidRPr="009C13B2" w:rsidRDefault="0032540A"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w:t>
      </w:r>
      <w:r w:rsidR="00554E3A"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554E3A" w:rsidRPr="009C13B2">
        <w:rPr>
          <w:rFonts w:ascii="Times New Roman" w:hAnsi="Times New Roman" w:cs="Times New Roman"/>
          <w:sz w:val="24"/>
          <w:szCs w:val="24"/>
        </w:rPr>
        <w:t>univerzálneho registračného dokumentu (špecifický symbol 2435 - iba v opatrení č. 5/2021)</w:t>
      </w:r>
      <w:r w:rsidRPr="009C13B2">
        <w:rPr>
          <w:rFonts w:ascii="Times New Roman" w:hAnsi="Times New Roman" w:cs="Times New Roman"/>
          <w:sz w:val="24"/>
          <w:szCs w:val="24"/>
        </w:rPr>
        <w:t>,</w:t>
      </w:r>
    </w:p>
    <w:p w14:paraId="0B2957C7" w14:textId="3077A3D4" w:rsidR="00554E3A" w:rsidRPr="009C13B2" w:rsidRDefault="0032540A"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w:t>
      </w:r>
      <w:r w:rsidR="00554E3A"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554E3A" w:rsidRPr="009C13B2">
        <w:rPr>
          <w:rFonts w:ascii="Times New Roman" w:hAnsi="Times New Roman" w:cs="Times New Roman"/>
          <w:sz w:val="24"/>
          <w:szCs w:val="24"/>
        </w:rPr>
        <w:t>zjednodušeného prospektu cenného papiera vypracovaného ako jeden dokument, ak je žiadateľom emitent (špecifický symbol 2436 - iba v opatrení č. 5/2021)</w:t>
      </w:r>
      <w:r w:rsidR="00CC1CF1" w:rsidRPr="009C13B2">
        <w:rPr>
          <w:rFonts w:ascii="Times New Roman" w:hAnsi="Times New Roman" w:cs="Times New Roman"/>
          <w:sz w:val="24"/>
          <w:szCs w:val="24"/>
        </w:rPr>
        <w:t>,</w:t>
      </w:r>
    </w:p>
    <w:p w14:paraId="63D2B67B" w14:textId="78D4BD80" w:rsidR="00554E3A" w:rsidRPr="009C13B2" w:rsidRDefault="0032540A"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w:t>
      </w:r>
      <w:r w:rsidR="00554E3A"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554E3A" w:rsidRPr="009C13B2">
        <w:rPr>
          <w:rFonts w:ascii="Times New Roman" w:hAnsi="Times New Roman" w:cs="Times New Roman"/>
          <w:sz w:val="24"/>
          <w:szCs w:val="24"/>
        </w:rPr>
        <w:t>zjednodušeného prospektu skladajúceho sa zo samostatných dokumentov, ak je žiadateľom emitent (</w:t>
      </w:r>
      <w:r w:rsidR="008030CA" w:rsidRPr="009C13B2">
        <w:rPr>
          <w:rFonts w:ascii="Times New Roman" w:hAnsi="Times New Roman" w:cs="Times New Roman"/>
          <w:sz w:val="24"/>
          <w:szCs w:val="24"/>
        </w:rPr>
        <w:t>v závislosti od dokumentu, o ktorého schválenie sa žiada</w:t>
      </w:r>
      <w:r w:rsidR="00735682" w:rsidRPr="009C13B2">
        <w:rPr>
          <w:rFonts w:ascii="Times New Roman" w:hAnsi="Times New Roman" w:cs="Times New Roman"/>
          <w:sz w:val="24"/>
          <w:szCs w:val="24"/>
        </w:rPr>
        <w:t>,</w:t>
      </w:r>
      <w:r w:rsidR="008030CA" w:rsidRPr="009C13B2">
        <w:rPr>
          <w:rFonts w:ascii="Times New Roman" w:hAnsi="Times New Roman" w:cs="Times New Roman"/>
          <w:sz w:val="24"/>
          <w:szCs w:val="24"/>
        </w:rPr>
        <w:t xml:space="preserve"> ide o špecifické symboly</w:t>
      </w:r>
      <w:r w:rsidR="00554E3A" w:rsidRPr="009C13B2">
        <w:rPr>
          <w:rFonts w:ascii="Times New Roman" w:hAnsi="Times New Roman" w:cs="Times New Roman"/>
          <w:sz w:val="24"/>
          <w:szCs w:val="24"/>
        </w:rPr>
        <w:t xml:space="preserve"> 2437</w:t>
      </w:r>
      <w:r w:rsidR="008030CA" w:rsidRPr="009C13B2">
        <w:rPr>
          <w:rFonts w:ascii="Times New Roman" w:hAnsi="Times New Roman" w:cs="Times New Roman"/>
          <w:sz w:val="24"/>
          <w:szCs w:val="24"/>
        </w:rPr>
        <w:t xml:space="preserve">, </w:t>
      </w:r>
      <w:r w:rsidR="00554E3A" w:rsidRPr="009C13B2">
        <w:rPr>
          <w:rFonts w:ascii="Times New Roman" w:hAnsi="Times New Roman" w:cs="Times New Roman"/>
          <w:sz w:val="24"/>
          <w:szCs w:val="24"/>
        </w:rPr>
        <w:t>2438</w:t>
      </w:r>
      <w:r w:rsidR="008030CA" w:rsidRPr="009C13B2">
        <w:rPr>
          <w:rFonts w:ascii="Times New Roman" w:hAnsi="Times New Roman" w:cs="Times New Roman"/>
          <w:sz w:val="24"/>
          <w:szCs w:val="24"/>
        </w:rPr>
        <w:t xml:space="preserve"> a</w:t>
      </w:r>
      <w:r w:rsidR="00554E3A" w:rsidRPr="009C13B2">
        <w:rPr>
          <w:rFonts w:ascii="Times New Roman" w:hAnsi="Times New Roman" w:cs="Times New Roman"/>
          <w:sz w:val="24"/>
          <w:szCs w:val="24"/>
        </w:rPr>
        <w:t xml:space="preserve"> 2439 - iba v opatrení č. 5/2021)</w:t>
      </w:r>
      <w:r w:rsidR="008030CA" w:rsidRPr="009C13B2">
        <w:rPr>
          <w:rFonts w:ascii="Times New Roman" w:hAnsi="Times New Roman" w:cs="Times New Roman"/>
          <w:sz w:val="24"/>
          <w:szCs w:val="24"/>
        </w:rPr>
        <w:t>,</w:t>
      </w:r>
    </w:p>
    <w:p w14:paraId="454EC884" w14:textId="1476CE44" w:rsidR="00820E7E" w:rsidRPr="009C13B2" w:rsidRDefault="00CC1CF1"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w:t>
      </w:r>
      <w:r w:rsidR="00554E3A"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554E3A" w:rsidRPr="009C13B2">
        <w:rPr>
          <w:rFonts w:ascii="Times New Roman" w:hAnsi="Times New Roman" w:cs="Times New Roman"/>
          <w:sz w:val="24"/>
          <w:szCs w:val="24"/>
        </w:rPr>
        <w:t xml:space="preserve">zjednodušeného prospektu cenného papiera vypracovaného ako jeden dokument, ak žiadateľom je vyhlasovateľ verejnej ponuky cenných papierov, ktorý nie je emitentom cenných papierov, ktoré sú predmetom verejnej ponuky cenných papierov, alebo osoba, </w:t>
      </w:r>
      <w:r w:rsidR="00554E3A" w:rsidRPr="009C13B2">
        <w:rPr>
          <w:rFonts w:ascii="Times New Roman" w:hAnsi="Times New Roman" w:cs="Times New Roman"/>
          <w:sz w:val="24"/>
          <w:szCs w:val="24"/>
        </w:rPr>
        <w:lastRenderedPageBreak/>
        <w:t>ktorá nie je emitentom žiadajúca o prijatie na obchodovanie na regulovanom trhu (špecifický symbol 2440 - iba v opatrení č. 5/2021)</w:t>
      </w:r>
      <w:r w:rsidRPr="009C13B2">
        <w:rPr>
          <w:rFonts w:ascii="Times New Roman" w:hAnsi="Times New Roman" w:cs="Times New Roman"/>
          <w:sz w:val="24"/>
          <w:szCs w:val="24"/>
        </w:rPr>
        <w:t>,</w:t>
      </w:r>
    </w:p>
    <w:p w14:paraId="0A22F836" w14:textId="2CD3B66F" w:rsidR="00B76757" w:rsidRPr="009C13B2" w:rsidRDefault="0059391A"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6360B0" w:rsidRPr="009C13B2">
        <w:rPr>
          <w:rFonts w:ascii="Times New Roman" w:hAnsi="Times New Roman" w:cs="Times New Roman"/>
          <w:sz w:val="24"/>
          <w:szCs w:val="24"/>
        </w:rPr>
        <w:t>zjednodušeného prospektu cenného papiera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w:t>
      </w:r>
      <w:r w:rsidR="00B76757" w:rsidRPr="009C13B2">
        <w:rPr>
          <w:rFonts w:ascii="Times New Roman" w:hAnsi="Times New Roman" w:cs="Times New Roman"/>
          <w:sz w:val="24"/>
          <w:szCs w:val="24"/>
        </w:rPr>
        <w:t>v závislosti od dokumentu, o ktorého schválenie sa žiada</w:t>
      </w:r>
      <w:r w:rsidR="00735682" w:rsidRPr="009C13B2">
        <w:rPr>
          <w:rFonts w:ascii="Times New Roman" w:hAnsi="Times New Roman" w:cs="Times New Roman"/>
          <w:sz w:val="24"/>
          <w:szCs w:val="24"/>
        </w:rPr>
        <w:t>,</w:t>
      </w:r>
      <w:r w:rsidR="00B76757" w:rsidRPr="009C13B2">
        <w:rPr>
          <w:rFonts w:ascii="Times New Roman" w:hAnsi="Times New Roman" w:cs="Times New Roman"/>
          <w:sz w:val="24"/>
          <w:szCs w:val="24"/>
        </w:rPr>
        <w:t xml:space="preserve"> ide o špecifické symboly</w:t>
      </w:r>
      <w:r w:rsidR="006360B0" w:rsidRPr="009C13B2">
        <w:rPr>
          <w:rFonts w:ascii="Times New Roman" w:hAnsi="Times New Roman" w:cs="Times New Roman"/>
          <w:sz w:val="24"/>
          <w:szCs w:val="24"/>
        </w:rPr>
        <w:t xml:space="preserve"> 2441</w:t>
      </w:r>
      <w:r w:rsidR="00B76757" w:rsidRPr="009C13B2">
        <w:rPr>
          <w:rFonts w:ascii="Times New Roman" w:hAnsi="Times New Roman" w:cs="Times New Roman"/>
          <w:sz w:val="24"/>
          <w:szCs w:val="24"/>
        </w:rPr>
        <w:t xml:space="preserve">, </w:t>
      </w:r>
      <w:r w:rsidR="006360B0" w:rsidRPr="009C13B2">
        <w:rPr>
          <w:rFonts w:ascii="Times New Roman" w:hAnsi="Times New Roman" w:cs="Times New Roman"/>
          <w:sz w:val="24"/>
          <w:szCs w:val="24"/>
        </w:rPr>
        <w:t xml:space="preserve">2442 </w:t>
      </w:r>
      <w:r w:rsidR="00B76757" w:rsidRPr="009C13B2">
        <w:rPr>
          <w:rFonts w:ascii="Times New Roman" w:hAnsi="Times New Roman" w:cs="Times New Roman"/>
          <w:sz w:val="24"/>
          <w:szCs w:val="24"/>
        </w:rPr>
        <w:t>a</w:t>
      </w:r>
      <w:r w:rsidR="006360B0" w:rsidRPr="009C13B2">
        <w:rPr>
          <w:rFonts w:ascii="Times New Roman" w:hAnsi="Times New Roman" w:cs="Times New Roman"/>
          <w:sz w:val="24"/>
          <w:szCs w:val="24"/>
        </w:rPr>
        <w:t xml:space="preserve"> 2443 - iba v opatrení č. 5/2021)</w:t>
      </w:r>
      <w:r w:rsidR="00B76757" w:rsidRPr="009C13B2">
        <w:rPr>
          <w:rFonts w:ascii="Times New Roman" w:hAnsi="Times New Roman" w:cs="Times New Roman"/>
          <w:sz w:val="24"/>
          <w:szCs w:val="24"/>
        </w:rPr>
        <w:t>,</w:t>
      </w:r>
    </w:p>
    <w:p w14:paraId="17B5A998" w14:textId="510A8ED9" w:rsidR="00D13DF4" w:rsidRPr="009C13B2" w:rsidRDefault="00D13DF4"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w:t>
      </w:r>
      <w:r w:rsidR="00DD21C8"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DD21C8" w:rsidRPr="009C13B2">
        <w:rPr>
          <w:rFonts w:ascii="Times New Roman" w:hAnsi="Times New Roman" w:cs="Times New Roman"/>
          <w:sz w:val="24"/>
          <w:szCs w:val="24"/>
        </w:rPr>
        <w:t>rastového prospektu EÚ skladajúceho sa zo samostatných dokumentov, ak je žiadateľom emitent (</w:t>
      </w:r>
      <w:r w:rsidR="00735682" w:rsidRPr="009C13B2">
        <w:rPr>
          <w:rFonts w:ascii="Times New Roman" w:hAnsi="Times New Roman" w:cs="Times New Roman"/>
          <w:sz w:val="24"/>
          <w:szCs w:val="24"/>
        </w:rPr>
        <w:t>v závislosti od dokumentu, o ktorého schválenie sa žiada, ide o špecifické symboly</w:t>
      </w:r>
      <w:r w:rsidR="00DD21C8" w:rsidRPr="009C13B2">
        <w:rPr>
          <w:rFonts w:ascii="Times New Roman" w:hAnsi="Times New Roman" w:cs="Times New Roman"/>
          <w:sz w:val="24"/>
          <w:szCs w:val="24"/>
        </w:rPr>
        <w:t xml:space="preserve"> 2445</w:t>
      </w:r>
      <w:r w:rsidR="00735682" w:rsidRPr="009C13B2">
        <w:rPr>
          <w:rFonts w:ascii="Times New Roman" w:hAnsi="Times New Roman" w:cs="Times New Roman"/>
          <w:sz w:val="24"/>
          <w:szCs w:val="24"/>
        </w:rPr>
        <w:t xml:space="preserve">, </w:t>
      </w:r>
      <w:r w:rsidR="00DD21C8" w:rsidRPr="009C13B2">
        <w:rPr>
          <w:rFonts w:ascii="Times New Roman" w:hAnsi="Times New Roman" w:cs="Times New Roman"/>
          <w:sz w:val="24"/>
          <w:szCs w:val="24"/>
        </w:rPr>
        <w:t xml:space="preserve">2446 </w:t>
      </w:r>
      <w:r w:rsidR="00735682" w:rsidRPr="009C13B2">
        <w:rPr>
          <w:rFonts w:ascii="Times New Roman" w:hAnsi="Times New Roman" w:cs="Times New Roman"/>
          <w:sz w:val="24"/>
          <w:szCs w:val="24"/>
        </w:rPr>
        <w:t xml:space="preserve">a </w:t>
      </w:r>
      <w:r w:rsidR="00DD21C8" w:rsidRPr="009C13B2">
        <w:rPr>
          <w:rFonts w:ascii="Times New Roman" w:hAnsi="Times New Roman" w:cs="Times New Roman"/>
          <w:sz w:val="24"/>
          <w:szCs w:val="24"/>
        </w:rPr>
        <w:t>2447 - iba v opatrení č. 5/2021)</w:t>
      </w:r>
      <w:r w:rsidR="00735682" w:rsidRPr="009C13B2">
        <w:rPr>
          <w:rFonts w:ascii="Times New Roman" w:hAnsi="Times New Roman" w:cs="Times New Roman"/>
          <w:sz w:val="24"/>
          <w:szCs w:val="24"/>
        </w:rPr>
        <w:t>,</w:t>
      </w:r>
    </w:p>
    <w:p w14:paraId="42A87682" w14:textId="1D170276" w:rsidR="00920DF7" w:rsidRPr="009C13B2" w:rsidRDefault="00920DF7"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w:t>
      </w:r>
      <w:r w:rsidR="00DD21C8" w:rsidRPr="009C13B2">
        <w:rPr>
          <w:rFonts w:ascii="Times New Roman" w:hAnsi="Times New Roman" w:cs="Times New Roman"/>
          <w:sz w:val="24"/>
          <w:szCs w:val="24"/>
        </w:rPr>
        <w:t xml:space="preserve"> </w:t>
      </w:r>
      <w:r w:rsidR="008E295A" w:rsidRPr="009C13B2">
        <w:rPr>
          <w:rFonts w:ascii="Times New Roman" w:hAnsi="Times New Roman" w:cs="Times New Roman"/>
          <w:sz w:val="24"/>
          <w:szCs w:val="24"/>
        </w:rPr>
        <w:tab/>
      </w:r>
      <w:r w:rsidR="00DD21C8" w:rsidRPr="009C13B2">
        <w:rPr>
          <w:rFonts w:ascii="Times New Roman" w:hAnsi="Times New Roman" w:cs="Times New Roman"/>
          <w:sz w:val="24"/>
          <w:szCs w:val="24"/>
        </w:rPr>
        <w:t>rastového prospektu EÚ skladajúceho sa zo samostatných dokumentov, ak žiadateľom je vyhlasovateľ verejnej ponuky cenných papierov, ktorý nie je emitentom cenných papierov, ktoré sú predmetom verejnej ponuky cenných papierov, alebo osoba, ktorá nie je emitentom žiadajúca o prijatie na obchodovanie na regulovanom trhu (</w:t>
      </w:r>
      <w:r w:rsidRPr="009C13B2">
        <w:rPr>
          <w:rFonts w:ascii="Times New Roman" w:hAnsi="Times New Roman" w:cs="Times New Roman"/>
          <w:sz w:val="24"/>
          <w:szCs w:val="24"/>
        </w:rPr>
        <w:t>v závislosti od dokumentu, o ktorého schválenie sa žiada, ide o špecifické symboly</w:t>
      </w:r>
      <w:r w:rsidR="00DD21C8" w:rsidRPr="009C13B2">
        <w:rPr>
          <w:rFonts w:ascii="Times New Roman" w:hAnsi="Times New Roman" w:cs="Times New Roman"/>
          <w:sz w:val="24"/>
          <w:szCs w:val="24"/>
        </w:rPr>
        <w:t xml:space="preserve"> 2449</w:t>
      </w:r>
      <w:r w:rsidRPr="009C13B2">
        <w:rPr>
          <w:rFonts w:ascii="Times New Roman" w:hAnsi="Times New Roman" w:cs="Times New Roman"/>
          <w:sz w:val="24"/>
          <w:szCs w:val="24"/>
        </w:rPr>
        <w:t xml:space="preserve">, </w:t>
      </w:r>
      <w:r w:rsidR="00DD21C8" w:rsidRPr="009C13B2">
        <w:rPr>
          <w:rFonts w:ascii="Times New Roman" w:hAnsi="Times New Roman" w:cs="Times New Roman"/>
          <w:sz w:val="24"/>
          <w:szCs w:val="24"/>
        </w:rPr>
        <w:t xml:space="preserve">2450 </w:t>
      </w:r>
      <w:r w:rsidRPr="009C13B2">
        <w:rPr>
          <w:rFonts w:ascii="Times New Roman" w:hAnsi="Times New Roman" w:cs="Times New Roman"/>
          <w:sz w:val="24"/>
          <w:szCs w:val="24"/>
        </w:rPr>
        <w:t>a</w:t>
      </w:r>
      <w:r w:rsidR="00DD21C8" w:rsidRPr="009C13B2">
        <w:rPr>
          <w:rFonts w:ascii="Times New Roman" w:hAnsi="Times New Roman" w:cs="Times New Roman"/>
          <w:sz w:val="24"/>
          <w:szCs w:val="24"/>
        </w:rPr>
        <w:t xml:space="preserve"> 2451 - iba v opatrení č.</w:t>
      </w:r>
      <w:r w:rsidR="005D52CB">
        <w:rPr>
          <w:rFonts w:ascii="Times New Roman" w:hAnsi="Times New Roman" w:cs="Times New Roman"/>
          <w:sz w:val="24"/>
          <w:szCs w:val="24"/>
        </w:rPr>
        <w:t> </w:t>
      </w:r>
      <w:r w:rsidR="00DD21C8" w:rsidRPr="009C13B2">
        <w:rPr>
          <w:rFonts w:ascii="Times New Roman" w:hAnsi="Times New Roman" w:cs="Times New Roman"/>
          <w:sz w:val="24"/>
          <w:szCs w:val="24"/>
        </w:rPr>
        <w:t>5/2021)</w:t>
      </w:r>
      <w:r w:rsidRPr="009C13B2">
        <w:rPr>
          <w:rFonts w:ascii="Times New Roman" w:hAnsi="Times New Roman" w:cs="Times New Roman"/>
          <w:sz w:val="24"/>
          <w:szCs w:val="24"/>
        </w:rPr>
        <w:t>,</w:t>
      </w:r>
    </w:p>
    <w:p w14:paraId="45A64AB4" w14:textId="16C6245D" w:rsidR="005D3D3C" w:rsidRPr="009C13B2" w:rsidRDefault="008E295A" w:rsidP="0054149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w:t>
      </w:r>
      <w:r w:rsidR="00AE20DD" w:rsidRPr="009C13B2">
        <w:rPr>
          <w:rFonts w:ascii="Times New Roman" w:hAnsi="Times New Roman" w:cs="Times New Roman"/>
          <w:sz w:val="24"/>
          <w:szCs w:val="24"/>
        </w:rPr>
        <w:t xml:space="preserve"> </w:t>
      </w:r>
      <w:r w:rsidRPr="009C13B2">
        <w:rPr>
          <w:rFonts w:ascii="Times New Roman" w:hAnsi="Times New Roman" w:cs="Times New Roman"/>
          <w:sz w:val="24"/>
          <w:szCs w:val="24"/>
        </w:rPr>
        <w:tab/>
      </w:r>
      <w:r w:rsidR="00AE20DD" w:rsidRPr="009C13B2">
        <w:rPr>
          <w:rFonts w:ascii="Times New Roman" w:hAnsi="Times New Roman" w:cs="Times New Roman"/>
          <w:sz w:val="24"/>
          <w:szCs w:val="24"/>
        </w:rPr>
        <w:t>zmeny univerzálneho registračného dokumentu predkladaného spolu s opisom cenných papierov a súhrnom (špecifický symbol 2452 - iba v opatrení č. 5/2021)</w:t>
      </w:r>
      <w:r w:rsidRPr="009C13B2">
        <w:rPr>
          <w:rFonts w:ascii="Times New Roman" w:hAnsi="Times New Roman" w:cs="Times New Roman"/>
          <w:sz w:val="24"/>
          <w:szCs w:val="24"/>
        </w:rPr>
        <w:t>.</w:t>
      </w:r>
    </w:p>
    <w:p w14:paraId="37F9F4B7" w14:textId="3C5F73E8" w:rsidR="00615E56" w:rsidRPr="009C13B2" w:rsidRDefault="00765B27" w:rsidP="000378AB">
      <w:pPr>
        <w:spacing w:after="0"/>
        <w:jc w:val="both"/>
        <w:rPr>
          <w:rFonts w:ascii="Times New Roman" w:hAnsi="Times New Roman" w:cs="Times New Roman"/>
          <w:sz w:val="24"/>
          <w:szCs w:val="24"/>
        </w:rPr>
      </w:pPr>
      <w:r w:rsidRPr="009C13B2">
        <w:rPr>
          <w:rFonts w:ascii="Times New Roman" w:hAnsi="Times New Roman" w:cs="Times New Roman"/>
          <w:sz w:val="24"/>
          <w:szCs w:val="24"/>
        </w:rPr>
        <w:t>Národná banka Slovenska s ohľadom na informácie, ktoré má k dispozícii, resp. podľa expertného odhadu, predpokladá, že v prípade nevypustenia vyššie uvedených úkonov by príslušné subjekty nepožiadali o ich vykonanie v blízkej budúcnosti, a teda z hľadiska nákladov predpokladá, že vypustenie predmetných úkonov nebude mať vplyv na podnikateľské prostredie.</w:t>
      </w:r>
    </w:p>
    <w:p w14:paraId="2962A114" w14:textId="03C94E38" w:rsidR="00C873AD" w:rsidRPr="009C13B2" w:rsidRDefault="008D51BA" w:rsidP="000378AB">
      <w:pPr>
        <w:spacing w:after="0"/>
        <w:jc w:val="both"/>
        <w:rPr>
          <w:rFonts w:ascii="Times New Roman" w:hAnsi="Times New Roman" w:cs="Times New Roman"/>
          <w:sz w:val="24"/>
          <w:szCs w:val="24"/>
        </w:rPr>
      </w:pPr>
      <w:r w:rsidRPr="009C13B2">
        <w:rPr>
          <w:rFonts w:ascii="Times New Roman" w:eastAsia="Calibri" w:hAnsi="Times New Roman" w:cs="Times New Roman"/>
          <w:bCs/>
          <w:sz w:val="24"/>
          <w:szCs w:val="24"/>
        </w:rPr>
        <w:t xml:space="preserve">Návrhom opatrenia má dôjsť k stanoveniu poplatku za úkon </w:t>
      </w:r>
      <w:r w:rsidR="00C873AD" w:rsidRPr="009C13B2">
        <w:rPr>
          <w:rFonts w:ascii="Times New Roman" w:eastAsia="Calibri" w:hAnsi="Times New Roman" w:cs="Times New Roman"/>
          <w:bCs/>
          <w:sz w:val="24"/>
          <w:szCs w:val="24"/>
        </w:rPr>
        <w:t xml:space="preserve">schválenia prospektu pre majetkové cenné papiere vypracovaného ako jeden dokument (špecifický symbol 2454), ako aj za úkon schválenia základného rastového emisného prospektu EÚ pre nemajetkové cenné papiere vypracovaného ako jeden dokument (špecifický symbol 2476). Národná banka Slovenska s ohľadom na informácie, ktoré má k dispozícii, resp. podľa expertného odhadu, predpokladá vykonanie </w:t>
      </w:r>
      <w:r w:rsidR="000B5243" w:rsidRPr="009C13B2">
        <w:rPr>
          <w:rFonts w:ascii="Times New Roman" w:eastAsia="Calibri" w:hAnsi="Times New Roman" w:cs="Times New Roman"/>
          <w:bCs/>
          <w:sz w:val="24"/>
          <w:szCs w:val="24"/>
        </w:rPr>
        <w:t xml:space="preserve">každého z </w:t>
      </w:r>
      <w:r w:rsidR="00C873AD" w:rsidRPr="009C13B2">
        <w:rPr>
          <w:rFonts w:ascii="Times New Roman" w:eastAsia="Calibri" w:hAnsi="Times New Roman" w:cs="Times New Roman"/>
          <w:bCs/>
          <w:sz w:val="24"/>
          <w:szCs w:val="24"/>
        </w:rPr>
        <w:t xml:space="preserve">predmetných úkonov v blízkej budúcnosti v 3 potenciálnych prípadoch, resp. z hľadiska nákladov predpokladá </w:t>
      </w:r>
      <w:r w:rsidR="000B5243" w:rsidRPr="009C13B2">
        <w:rPr>
          <w:rFonts w:ascii="Times New Roman" w:eastAsia="Calibri" w:hAnsi="Times New Roman" w:cs="Times New Roman"/>
          <w:bCs/>
          <w:sz w:val="24"/>
          <w:szCs w:val="24"/>
        </w:rPr>
        <w:t xml:space="preserve">ich </w:t>
      </w:r>
      <w:r w:rsidR="00C873AD" w:rsidRPr="009C13B2">
        <w:rPr>
          <w:rFonts w:ascii="Times New Roman" w:eastAsia="Calibri" w:hAnsi="Times New Roman" w:cs="Times New Roman"/>
          <w:bCs/>
          <w:sz w:val="24"/>
          <w:szCs w:val="24"/>
        </w:rPr>
        <w:t>vplyv na podnikateľské prostredie uvedený v tabuľke č. 2.</w:t>
      </w:r>
    </w:p>
    <w:p w14:paraId="7BE11267" w14:textId="76540D41" w:rsidR="008D51BA" w:rsidRPr="009C13B2" w:rsidRDefault="00565B0A"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Zároveň, n</w:t>
      </w:r>
      <w:r w:rsidR="00E6141D" w:rsidRPr="009C13B2">
        <w:rPr>
          <w:rFonts w:ascii="Times New Roman" w:eastAsia="Calibri" w:hAnsi="Times New Roman" w:cs="Times New Roman"/>
          <w:bCs/>
          <w:sz w:val="24"/>
          <w:szCs w:val="24"/>
        </w:rPr>
        <w:t>a</w:t>
      </w:r>
      <w:r w:rsidR="008D51BA" w:rsidRPr="009C13B2">
        <w:rPr>
          <w:rFonts w:ascii="Times New Roman" w:eastAsia="Calibri" w:hAnsi="Times New Roman" w:cs="Times New Roman"/>
          <w:bCs/>
          <w:sz w:val="24"/>
          <w:szCs w:val="24"/>
        </w:rPr>
        <w:t>vrhuje sa stanoviť poplatok za úkon</w:t>
      </w:r>
      <w:r w:rsidRPr="009C13B2">
        <w:rPr>
          <w:rFonts w:ascii="Times New Roman" w:eastAsia="Calibri" w:hAnsi="Times New Roman" w:cs="Times New Roman"/>
          <w:bCs/>
          <w:sz w:val="24"/>
          <w:szCs w:val="24"/>
        </w:rPr>
        <w:t xml:space="preserve"> schválenia prospektu pre nemajetkové cenné papiere vypracovaného ako jeden dokument (špecifický symbol 2458). Národná banka Slovenska s ohľadom na informácie, ktoré má k dispozícii, resp. podľa expertného odhadu, predpokladá vykonanie predmetného úkonu v blízkej budúcnosti v 26 potenciálnych prípadoch, resp. z hľadiska nákladov predpokladá vplyv na podnikateľské prostredie uvedený v tabuľke č.</w:t>
      </w:r>
      <w:r w:rsidR="000B5243" w:rsidRPr="009C13B2">
        <w:rPr>
          <w:rFonts w:ascii="Times New Roman" w:eastAsia="Calibri" w:hAnsi="Times New Roman" w:cs="Times New Roman"/>
          <w:bCs/>
          <w:sz w:val="24"/>
          <w:szCs w:val="24"/>
        </w:rPr>
        <w:t> </w:t>
      </w:r>
      <w:r w:rsidRPr="009C13B2">
        <w:rPr>
          <w:rFonts w:ascii="Times New Roman" w:eastAsia="Calibri" w:hAnsi="Times New Roman" w:cs="Times New Roman"/>
          <w:bCs/>
          <w:sz w:val="24"/>
          <w:szCs w:val="24"/>
        </w:rPr>
        <w:t>2.</w:t>
      </w:r>
    </w:p>
    <w:p w14:paraId="7B2260F3" w14:textId="3991E3E0" w:rsidR="000B5243" w:rsidRPr="009C13B2" w:rsidRDefault="00565B0A"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Okrem vyššie uvedeného, návrhom opatrenia má dôjsť aj k stanoveniu poplatku za úkon schválenia základného prospektu pre nemajetkové cenné papiere vypracovaného ako jeden dokument (špecifický symbol 2462). </w:t>
      </w:r>
      <w:r w:rsidR="000B5243" w:rsidRPr="009C13B2">
        <w:rPr>
          <w:rFonts w:ascii="Times New Roman" w:eastAsia="Calibri" w:hAnsi="Times New Roman" w:cs="Times New Roman"/>
          <w:bCs/>
          <w:sz w:val="24"/>
          <w:szCs w:val="24"/>
        </w:rPr>
        <w:t>Národná banka Slovenska s ohľadom na informácie, ktoré má k dispozícii, resp. podľa expertného odhadu, predpokladá vykonanie predmetného úkonu v blízkej budúcnosti v 17 potenciálnych prípadoch, resp. z hľadiska nákladov predpokladá vplyv na podnikateľské prostredie uvedený v tabuľke č. 2.</w:t>
      </w:r>
    </w:p>
    <w:p w14:paraId="4DB689C6" w14:textId="5ADBB0C0" w:rsidR="00565B0A" w:rsidRPr="009C13B2" w:rsidRDefault="00565B0A" w:rsidP="000378AB">
      <w:pPr>
        <w:spacing w:after="0"/>
        <w:jc w:val="both"/>
        <w:rPr>
          <w:rFonts w:ascii="Times New Roman" w:hAnsi="Times New Roman" w:cs="Times New Roman"/>
        </w:rPr>
      </w:pPr>
      <w:r w:rsidRPr="009C13B2">
        <w:rPr>
          <w:rFonts w:ascii="Times New Roman" w:eastAsia="Calibri" w:hAnsi="Times New Roman" w:cs="Times New Roman"/>
          <w:bCs/>
          <w:sz w:val="24"/>
          <w:szCs w:val="24"/>
        </w:rPr>
        <w:t>Návrhom opatrenia má dôjsť takisto k stanoveniu poplatku za úkon</w:t>
      </w:r>
      <w:r w:rsidRPr="009C13B2">
        <w:rPr>
          <w:rFonts w:ascii="Times New Roman" w:hAnsi="Times New Roman" w:cs="Times New Roman"/>
        </w:rPr>
        <w:t xml:space="preserve"> </w:t>
      </w:r>
      <w:r w:rsidRPr="009C13B2">
        <w:rPr>
          <w:rFonts w:ascii="Times New Roman" w:eastAsia="Calibri" w:hAnsi="Times New Roman" w:cs="Times New Roman"/>
          <w:bCs/>
          <w:sz w:val="24"/>
          <w:szCs w:val="24"/>
        </w:rPr>
        <w:t xml:space="preserve">schválenia prospektu následných emisií EÚ pre majetkové cenné papiere vypracovaného ako jeden dokument </w:t>
      </w:r>
      <w:r w:rsidRPr="009C13B2">
        <w:rPr>
          <w:rFonts w:ascii="Times New Roman" w:eastAsia="Calibri" w:hAnsi="Times New Roman" w:cs="Times New Roman"/>
          <w:bCs/>
          <w:sz w:val="24"/>
          <w:szCs w:val="24"/>
        </w:rPr>
        <w:lastRenderedPageBreak/>
        <w:t>(špecifický symbol 2466), úkon schválenia prospektu následných emisií EÚ pre nemajetkové cenné papiere vypracovaného ako jeden dokument (špecifický symbol 2467), ako aj za úkon</w:t>
      </w:r>
      <w:r w:rsidRPr="009C13B2">
        <w:rPr>
          <w:rFonts w:ascii="Times New Roman" w:hAnsi="Times New Roman" w:cs="Times New Roman"/>
        </w:rPr>
        <w:t xml:space="preserve"> </w:t>
      </w:r>
      <w:r w:rsidRPr="009C13B2">
        <w:rPr>
          <w:rFonts w:ascii="Times New Roman" w:eastAsia="Calibri" w:hAnsi="Times New Roman" w:cs="Times New Roman"/>
          <w:bCs/>
          <w:sz w:val="24"/>
          <w:szCs w:val="24"/>
        </w:rPr>
        <w:t>schválenia rastového emisného prospektu EÚ pre nemajetkové cenné papiere vypracovaného ako jeden dokument (špecifický symbol 2475). Národná banka Slovenska s ohľadom na informácie, ktoré má k dispozícii, resp. podľa expertného odhadu, predpokladá vykonanie každého z predmetných úkonov v blízkej budúcnosti v 1 potenciálnom prípade, resp. z hľadiska nákladov predpokladá ich vplyv na podnikateľské prostredie uvedený v tabuľke č. 2.</w:t>
      </w:r>
    </w:p>
    <w:p w14:paraId="02AE378D" w14:textId="4A92F526" w:rsidR="003040B3" w:rsidRPr="009C13B2" w:rsidRDefault="000B5243" w:rsidP="000378AB">
      <w:pPr>
        <w:spacing w:after="0"/>
        <w:jc w:val="both"/>
        <w:rPr>
          <w:rFonts w:ascii="Times New Roman" w:hAnsi="Times New Roman" w:cs="Times New Roman"/>
        </w:rPr>
      </w:pPr>
      <w:r w:rsidRPr="009C13B2">
        <w:rPr>
          <w:rFonts w:ascii="Times New Roman" w:eastAsia="Calibri" w:hAnsi="Times New Roman" w:cs="Times New Roman"/>
          <w:bCs/>
          <w:sz w:val="24"/>
          <w:szCs w:val="24"/>
        </w:rPr>
        <w:t>Zároveň, navrhuje sa stanoviť poplatok za úkon schválenia dodatku k prospektu cenného papiera alebo k jeho súčasti (špecifický symbol 2477). Národná banka Slovenska s ohľadom na informácie, ktoré má k dispozícii, resp. podľa expertného odhadu, predpokladá vykonanie predmetného úkonu v blízkej budúcnosti v 12 potenciálnych prípadoch, resp. z hľadiska nákladov predpokladá vplyv na podnikateľské prostredie uvedený v tabuľke č. 2</w:t>
      </w:r>
    </w:p>
    <w:p w14:paraId="09A79D88" w14:textId="77777777" w:rsidR="0054149B" w:rsidRPr="009C13B2" w:rsidRDefault="0054149B" w:rsidP="000378AB">
      <w:pPr>
        <w:spacing w:after="0"/>
        <w:jc w:val="both"/>
        <w:rPr>
          <w:rFonts w:ascii="Times New Roman" w:hAnsi="Times New Roman" w:cs="Times New Roman"/>
        </w:rPr>
      </w:pPr>
    </w:p>
    <w:p w14:paraId="1819F4D0" w14:textId="02D3927E" w:rsidR="003040B3" w:rsidRPr="009C13B2" w:rsidRDefault="00E24662" w:rsidP="000378AB">
      <w:pPr>
        <w:spacing w:after="0"/>
        <w:jc w:val="both"/>
        <w:rPr>
          <w:rFonts w:ascii="Times New Roman" w:hAnsi="Times New Roman" w:cs="Times New Roman"/>
          <w:sz w:val="24"/>
          <w:szCs w:val="24"/>
        </w:rPr>
      </w:pPr>
      <w:r w:rsidRPr="009C13B2">
        <w:rPr>
          <w:rFonts w:ascii="Times New Roman" w:hAnsi="Times New Roman" w:cs="Times New Roman"/>
          <w:sz w:val="24"/>
          <w:szCs w:val="24"/>
        </w:rPr>
        <w:t xml:space="preserve">Návrhom opatrenia má </w:t>
      </w:r>
      <w:r w:rsidR="003040B3" w:rsidRPr="009C13B2">
        <w:rPr>
          <w:rFonts w:ascii="Times New Roman" w:hAnsi="Times New Roman" w:cs="Times New Roman"/>
          <w:sz w:val="24"/>
          <w:szCs w:val="24"/>
        </w:rPr>
        <w:t xml:space="preserve">zároveň </w:t>
      </w:r>
      <w:r w:rsidRPr="009C13B2">
        <w:rPr>
          <w:rFonts w:ascii="Times New Roman" w:hAnsi="Times New Roman" w:cs="Times New Roman"/>
          <w:sz w:val="24"/>
          <w:szCs w:val="24"/>
        </w:rPr>
        <w:t>dôjsť k stanoveniu poplatku za úkon</w:t>
      </w:r>
      <w:r w:rsidR="003040B3" w:rsidRPr="009C13B2">
        <w:rPr>
          <w:rFonts w:ascii="Times New Roman" w:hAnsi="Times New Roman" w:cs="Times New Roman"/>
          <w:sz w:val="24"/>
          <w:szCs w:val="24"/>
        </w:rPr>
        <w:t xml:space="preserve"> schválenia:</w:t>
      </w:r>
    </w:p>
    <w:p w14:paraId="6702A487" w14:textId="17B1F26D" w:rsidR="00615E56" w:rsidRPr="009C13B2" w:rsidRDefault="003040B3"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00217449" w:rsidRPr="009C13B2">
        <w:rPr>
          <w:rFonts w:ascii="Times New Roman" w:hAnsi="Times New Roman" w:cs="Times New Roman"/>
          <w:sz w:val="24"/>
          <w:szCs w:val="24"/>
        </w:rPr>
        <w:tab/>
      </w:r>
      <w:r w:rsidRPr="009C13B2">
        <w:rPr>
          <w:rFonts w:ascii="Times New Roman" w:hAnsi="Times New Roman" w:cs="Times New Roman"/>
          <w:sz w:val="24"/>
          <w:szCs w:val="24"/>
        </w:rPr>
        <w:t>prospektu pre majetkové cenné papiere skladajúceho sa zo samostatných dokumentov (v závislosti od dokumentu, o ktorého schválenie sa žiada, ide o špecifické symboly 2455, 2456 a 2457),</w:t>
      </w:r>
    </w:p>
    <w:p w14:paraId="6F238722" w14:textId="20AE0AFA" w:rsidR="00217449" w:rsidRPr="009C13B2" w:rsidRDefault="00217449"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Pr="009C13B2">
        <w:rPr>
          <w:rFonts w:ascii="Times New Roman" w:hAnsi="Times New Roman" w:cs="Times New Roman"/>
          <w:sz w:val="24"/>
          <w:szCs w:val="24"/>
        </w:rPr>
        <w:tab/>
        <w:t>prospektu pre nemajetkové cenné papiere skladajúceho sa zo samostatných dokumentov (v závislosti od dokumentu, o ktorého schválenie sa žiada, ide o špecifické symboly 2459, 2460 a 2461),</w:t>
      </w:r>
    </w:p>
    <w:p w14:paraId="5B476D44" w14:textId="4FE7E852" w:rsidR="003040B3" w:rsidRPr="009C13B2" w:rsidRDefault="00217449"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Pr="009C13B2">
        <w:rPr>
          <w:rFonts w:ascii="Times New Roman" w:hAnsi="Times New Roman" w:cs="Times New Roman"/>
          <w:sz w:val="24"/>
          <w:szCs w:val="24"/>
        </w:rPr>
        <w:tab/>
        <w:t>základného prospektu pre nemajetkové cenné papiere skladajúceho sa zo samostatných dokumentov (v závislosti od dokumentu, o ktorého schválenie sa žiada, ide o špecifické symboly 2463 a 2464),</w:t>
      </w:r>
    </w:p>
    <w:p w14:paraId="7F607202" w14:textId="0EC860EB" w:rsidR="00217449" w:rsidRPr="009C13B2" w:rsidRDefault="00217449"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Pr="009C13B2">
        <w:rPr>
          <w:rFonts w:ascii="Times New Roman" w:hAnsi="Times New Roman" w:cs="Times New Roman"/>
          <w:sz w:val="24"/>
          <w:szCs w:val="24"/>
        </w:rPr>
        <w:tab/>
        <w:t>univerzálneho registračného dokumentu (špecifický symbol 2465),</w:t>
      </w:r>
    </w:p>
    <w:p w14:paraId="64E6DD54" w14:textId="383AC3A8" w:rsidR="00217449" w:rsidRPr="009C13B2" w:rsidRDefault="00217449"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Pr="009C13B2">
        <w:rPr>
          <w:rFonts w:ascii="Times New Roman" w:hAnsi="Times New Roman" w:cs="Times New Roman"/>
          <w:sz w:val="24"/>
          <w:szCs w:val="24"/>
        </w:rPr>
        <w:tab/>
        <w:t>prospektu následných emisií EÚ pre nemajetkové cenné papiere skladajúceho sa zo samostatných dokumentov (v závislosti od dokumentu, o ktorého schválenie sa žiada, ide o špecifické symboly 2468, 2469 a 2470),</w:t>
      </w:r>
    </w:p>
    <w:p w14:paraId="2BD81269" w14:textId="4170C4EB" w:rsidR="00217449" w:rsidRPr="009C13B2" w:rsidRDefault="00217449"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Pr="009C13B2">
        <w:rPr>
          <w:rFonts w:ascii="Times New Roman" w:hAnsi="Times New Roman" w:cs="Times New Roman"/>
          <w:sz w:val="24"/>
          <w:szCs w:val="24"/>
        </w:rPr>
        <w:tab/>
        <w:t xml:space="preserve">základného prospektu následných emisií EÚ pre nemajetkové cenné papiere vypracovaného ako jeden dokument (špecifický symbol 2471), </w:t>
      </w:r>
    </w:p>
    <w:p w14:paraId="606C25DD" w14:textId="1E3F50C0" w:rsidR="00217449" w:rsidRPr="009C13B2" w:rsidRDefault="00217449"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Pr="009C13B2">
        <w:rPr>
          <w:rFonts w:ascii="Times New Roman" w:hAnsi="Times New Roman" w:cs="Times New Roman"/>
          <w:sz w:val="24"/>
          <w:szCs w:val="24"/>
        </w:rPr>
        <w:tab/>
        <w:t>základného prospektu následných emisií EÚ pre nemajetkové cenné papiere skladajúceho sa zo samostatných dokumentov (v závislosti od dokumentu, o ktorého schválenie sa žiada, ide o špecifické symboly 2472 a 2473),</w:t>
      </w:r>
    </w:p>
    <w:p w14:paraId="785258DE" w14:textId="7E09A65F" w:rsidR="00217449" w:rsidRPr="009C13B2" w:rsidRDefault="00217449"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Pr="009C13B2">
        <w:rPr>
          <w:rFonts w:ascii="Times New Roman" w:hAnsi="Times New Roman" w:cs="Times New Roman"/>
          <w:sz w:val="24"/>
          <w:szCs w:val="24"/>
        </w:rPr>
        <w:tab/>
        <w:t>rastového emisného prospektu EÚ pre majetkové cenné papiere vypracovaného ako jeden dokument (špecifický symbol 2474),</w:t>
      </w:r>
    </w:p>
    <w:p w14:paraId="102F56FC" w14:textId="5340756F" w:rsidR="00E24662" w:rsidRPr="009C13B2" w:rsidRDefault="00217449"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Pr="009C13B2">
        <w:rPr>
          <w:rFonts w:ascii="Times New Roman" w:hAnsi="Times New Roman" w:cs="Times New Roman"/>
          <w:sz w:val="24"/>
          <w:szCs w:val="24"/>
        </w:rPr>
        <w:tab/>
        <w:t>dodatku k registračnému dokumentu, ak je to relevantné spolu s opisom cenných papierov a súhrnom (špecifický symbol 2478),</w:t>
      </w:r>
    </w:p>
    <w:p w14:paraId="6F0F4C40" w14:textId="6AE604F4" w:rsidR="00217449" w:rsidRPr="009C13B2" w:rsidRDefault="00217449" w:rsidP="000378AB">
      <w:pPr>
        <w:spacing w:after="0"/>
        <w:ind w:left="284" w:hanging="284"/>
        <w:jc w:val="both"/>
        <w:rPr>
          <w:rFonts w:ascii="Times New Roman" w:hAnsi="Times New Roman" w:cs="Times New Roman"/>
          <w:sz w:val="24"/>
          <w:szCs w:val="24"/>
        </w:rPr>
      </w:pPr>
      <w:r w:rsidRPr="009C13B2">
        <w:rPr>
          <w:rFonts w:ascii="Times New Roman" w:hAnsi="Times New Roman" w:cs="Times New Roman"/>
          <w:sz w:val="24"/>
          <w:szCs w:val="24"/>
        </w:rPr>
        <w:t xml:space="preserve">- </w:t>
      </w:r>
      <w:r w:rsidRPr="009C13B2">
        <w:rPr>
          <w:rFonts w:ascii="Times New Roman" w:hAnsi="Times New Roman" w:cs="Times New Roman"/>
          <w:sz w:val="24"/>
          <w:szCs w:val="24"/>
        </w:rPr>
        <w:tab/>
        <w:t>zmeny univerzálneho registračného dokumentu, ak je to relevantné spolu s opisom cenných papierov a súhrnom (špecifický symbol 2479).</w:t>
      </w:r>
    </w:p>
    <w:p w14:paraId="62330217" w14:textId="23373D2E" w:rsidR="00217449" w:rsidRPr="00B87C88" w:rsidRDefault="00217449" w:rsidP="000378AB">
      <w:pPr>
        <w:spacing w:after="0"/>
        <w:jc w:val="both"/>
        <w:rPr>
          <w:rFonts w:ascii="Times New Roman" w:hAnsi="Times New Roman" w:cs="Times New Roman"/>
        </w:rPr>
      </w:pPr>
      <w:r w:rsidRPr="009C13B2">
        <w:rPr>
          <w:rFonts w:ascii="Times New Roman" w:hAnsi="Times New Roman" w:cs="Times New Roman"/>
          <w:sz w:val="24"/>
          <w:szCs w:val="24"/>
        </w:rPr>
        <w:t>Ná</w:t>
      </w:r>
      <w:r w:rsidRPr="00B87C88">
        <w:rPr>
          <w:rFonts w:ascii="Times New Roman" w:hAnsi="Times New Roman" w:cs="Times New Roman"/>
          <w:sz w:val="24"/>
          <w:szCs w:val="24"/>
        </w:rPr>
        <w:t xml:space="preserve">rodná banka Slovenska s ohľadom na informácie, ktoré má k dispozícii, resp. podľa expertného odhadu, nepredpokladá vykonanie </w:t>
      </w:r>
      <w:r w:rsidR="00C544D8" w:rsidRPr="00B87C88">
        <w:rPr>
          <w:rFonts w:ascii="Times New Roman" w:hAnsi="Times New Roman" w:cs="Times New Roman"/>
          <w:sz w:val="24"/>
          <w:szCs w:val="24"/>
        </w:rPr>
        <w:t xml:space="preserve">žiadneho z vyššie uvedených </w:t>
      </w:r>
      <w:r w:rsidRPr="00B87C88">
        <w:rPr>
          <w:rFonts w:ascii="Times New Roman" w:hAnsi="Times New Roman" w:cs="Times New Roman"/>
          <w:sz w:val="24"/>
          <w:szCs w:val="24"/>
        </w:rPr>
        <w:t>úkon</w:t>
      </w:r>
      <w:r w:rsidR="00C544D8" w:rsidRPr="00B87C88">
        <w:rPr>
          <w:rFonts w:ascii="Times New Roman" w:hAnsi="Times New Roman" w:cs="Times New Roman"/>
          <w:sz w:val="24"/>
          <w:szCs w:val="24"/>
        </w:rPr>
        <w:t>ov</w:t>
      </w:r>
      <w:r w:rsidRPr="00B87C88">
        <w:rPr>
          <w:rFonts w:ascii="Times New Roman" w:hAnsi="Times New Roman" w:cs="Times New Roman"/>
          <w:sz w:val="24"/>
          <w:szCs w:val="24"/>
        </w:rPr>
        <w:t xml:space="preserve"> v blízkej budúcnosti, a teda nepredpokladá</w:t>
      </w:r>
      <w:r w:rsidR="00C544D8" w:rsidRPr="00B87C88">
        <w:rPr>
          <w:rFonts w:ascii="Times New Roman" w:hAnsi="Times New Roman" w:cs="Times New Roman"/>
          <w:sz w:val="24"/>
          <w:szCs w:val="24"/>
        </w:rPr>
        <w:t xml:space="preserve"> ich</w:t>
      </w:r>
      <w:r w:rsidRPr="00B87C88">
        <w:rPr>
          <w:rFonts w:ascii="Times New Roman" w:hAnsi="Times New Roman" w:cs="Times New Roman"/>
          <w:sz w:val="24"/>
          <w:szCs w:val="24"/>
        </w:rPr>
        <w:t xml:space="preserve"> vplyv na podnikateľské prostredie.  </w:t>
      </w:r>
    </w:p>
    <w:p w14:paraId="7985A848" w14:textId="77777777" w:rsidR="00615E56" w:rsidRPr="00B87C88" w:rsidRDefault="00615E56" w:rsidP="000378AB">
      <w:pPr>
        <w:spacing w:after="0"/>
        <w:jc w:val="both"/>
        <w:rPr>
          <w:rFonts w:ascii="Times New Roman" w:hAnsi="Times New Roman" w:cs="Times New Roman"/>
        </w:rPr>
      </w:pPr>
    </w:p>
    <w:p w14:paraId="6E099A3A" w14:textId="77777777" w:rsidR="00615E56" w:rsidRPr="00B87C88" w:rsidRDefault="00615E56" w:rsidP="000378AB">
      <w:pPr>
        <w:spacing w:after="0"/>
        <w:jc w:val="both"/>
        <w:rPr>
          <w:rFonts w:ascii="Times New Roman" w:eastAsia="Calibri" w:hAnsi="Times New Roman" w:cs="Times New Roman"/>
          <w:bCs/>
          <w:sz w:val="24"/>
          <w:szCs w:val="24"/>
        </w:rPr>
      </w:pPr>
    </w:p>
    <w:p w14:paraId="4A902E22" w14:textId="77777777" w:rsidR="00615E56" w:rsidRPr="00B87C88" w:rsidRDefault="00615E56" w:rsidP="000378AB">
      <w:pPr>
        <w:pStyle w:val="ListParagraph"/>
        <w:numPr>
          <w:ilvl w:val="0"/>
          <w:numId w:val="15"/>
        </w:numPr>
        <w:spacing w:after="0"/>
        <w:ind w:left="284" w:hanging="284"/>
        <w:jc w:val="both"/>
        <w:rPr>
          <w:rFonts w:ascii="Times New Roman" w:eastAsia="Calibri" w:hAnsi="Times New Roman" w:cs="Times New Roman"/>
          <w:b/>
          <w:sz w:val="24"/>
          <w:szCs w:val="24"/>
          <w:u w:val="single"/>
        </w:rPr>
      </w:pPr>
      <w:r w:rsidRPr="00B87C88">
        <w:rPr>
          <w:rFonts w:ascii="Times New Roman" w:eastAsia="Calibri" w:hAnsi="Times New Roman" w:cs="Times New Roman"/>
          <w:b/>
          <w:sz w:val="24"/>
          <w:szCs w:val="24"/>
          <w:u w:val="single"/>
        </w:rPr>
        <w:t>Poisťovníctvo</w:t>
      </w:r>
    </w:p>
    <w:p w14:paraId="63EF4BC2" w14:textId="77777777" w:rsidR="00084336" w:rsidRPr="00B87C88" w:rsidRDefault="00084336" w:rsidP="000378AB">
      <w:pPr>
        <w:spacing w:after="0"/>
        <w:jc w:val="both"/>
        <w:rPr>
          <w:rFonts w:ascii="Times New Roman" w:eastAsia="Calibri" w:hAnsi="Times New Roman" w:cs="Times New Roman"/>
          <w:b/>
          <w:sz w:val="24"/>
          <w:szCs w:val="24"/>
          <w:u w:val="single"/>
        </w:rPr>
      </w:pPr>
    </w:p>
    <w:p w14:paraId="6E75B265" w14:textId="77777777" w:rsidR="00726DD6" w:rsidRPr="00B87C88" w:rsidRDefault="00615E56" w:rsidP="000378AB">
      <w:pPr>
        <w:spacing w:after="0"/>
        <w:ind w:left="284" w:hanging="284"/>
        <w:jc w:val="both"/>
        <w:rPr>
          <w:rFonts w:ascii="Times New Roman" w:eastAsia="Calibri" w:hAnsi="Times New Roman" w:cs="Times New Roman"/>
          <w:bCs/>
          <w:sz w:val="24"/>
          <w:szCs w:val="24"/>
        </w:rPr>
      </w:pPr>
      <w:r w:rsidRPr="00B87C88">
        <w:rPr>
          <w:rFonts w:ascii="Times New Roman" w:eastAsia="Calibri" w:hAnsi="Times New Roman" w:cs="Times New Roman"/>
          <w:bCs/>
          <w:sz w:val="24"/>
          <w:szCs w:val="24"/>
        </w:rPr>
        <w:t>Návrhom opatrenia má dôjsť k stanoveniu poplatku za</w:t>
      </w:r>
      <w:r w:rsidR="00726DD6" w:rsidRPr="00B87C88">
        <w:rPr>
          <w:rFonts w:ascii="Times New Roman" w:eastAsia="Calibri" w:hAnsi="Times New Roman" w:cs="Times New Roman"/>
          <w:bCs/>
          <w:sz w:val="24"/>
          <w:szCs w:val="24"/>
        </w:rPr>
        <w:t xml:space="preserve"> úkon:</w:t>
      </w:r>
    </w:p>
    <w:p w14:paraId="489739F8" w14:textId="1AB0D8AC" w:rsidR="00726DD6" w:rsidRPr="009C13B2" w:rsidRDefault="00726DD6" w:rsidP="000378AB">
      <w:pPr>
        <w:spacing w:after="0"/>
        <w:ind w:left="284" w:hanging="284"/>
        <w:jc w:val="both"/>
        <w:rPr>
          <w:rFonts w:ascii="Times New Roman" w:eastAsia="Calibri" w:hAnsi="Times New Roman" w:cs="Times New Roman"/>
          <w:bCs/>
          <w:sz w:val="24"/>
          <w:szCs w:val="24"/>
        </w:rPr>
      </w:pPr>
      <w:r w:rsidRPr="00B87C88">
        <w:rPr>
          <w:rFonts w:ascii="Times New Roman" w:eastAsia="Calibri" w:hAnsi="Times New Roman" w:cs="Times New Roman"/>
          <w:bCs/>
          <w:sz w:val="24"/>
          <w:szCs w:val="24"/>
        </w:rPr>
        <w:lastRenderedPageBreak/>
        <w:t xml:space="preserve">-  </w:t>
      </w:r>
      <w:r w:rsidRPr="00B87C88">
        <w:rPr>
          <w:rFonts w:ascii="Times New Roman" w:eastAsia="Calibri" w:hAnsi="Times New Roman" w:cs="Times New Roman"/>
          <w:bCs/>
          <w:sz w:val="24"/>
          <w:szCs w:val="24"/>
        </w:rPr>
        <w:tab/>
        <w:t>udelelenia povolenia na pravidelné predkladanie údajov podľa § 79 ods. 11 zákona č.</w:t>
      </w:r>
      <w:r w:rsidR="001968D0" w:rsidRPr="00B87C88">
        <w:rPr>
          <w:rFonts w:ascii="Times New Roman" w:eastAsia="Calibri" w:hAnsi="Times New Roman" w:cs="Times New Roman"/>
          <w:bCs/>
          <w:sz w:val="24"/>
          <w:szCs w:val="24"/>
        </w:rPr>
        <w:t> </w:t>
      </w:r>
      <w:r w:rsidRPr="00B87C88">
        <w:rPr>
          <w:rFonts w:ascii="Times New Roman" w:eastAsia="Calibri" w:hAnsi="Times New Roman" w:cs="Times New Roman"/>
          <w:bCs/>
          <w:sz w:val="24"/>
          <w:szCs w:val="24"/>
        </w:rPr>
        <w:t xml:space="preserve">39/2015 Z. z. o poisťovníctve a o zmene a doplnení niektorých zákonov v znení neskorších </w:t>
      </w:r>
      <w:r w:rsidRPr="009C13B2">
        <w:rPr>
          <w:rFonts w:ascii="Times New Roman" w:eastAsia="Calibri" w:hAnsi="Times New Roman" w:cs="Times New Roman"/>
          <w:bCs/>
          <w:sz w:val="24"/>
          <w:szCs w:val="24"/>
        </w:rPr>
        <w:t xml:space="preserve">predpisov v termínoch dlhších, ako sú ustanovené v § 79 ods. 11 zákona o poisťovníctve (špecifický symbol 3114), </w:t>
      </w:r>
    </w:p>
    <w:p w14:paraId="68B23CDA" w14:textId="70CE5110" w:rsidR="00615E56" w:rsidRPr="009C13B2" w:rsidRDefault="00726DD6" w:rsidP="000378A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udelenia predchádzajúceho súhlasu na použitie korekcie volatility príslušnej časovej štruktúry bezrizikovej úrokovej miery podľa § 42 ods. 1 zákona o poisťovníctve (špecifický symbol 3334),</w:t>
      </w:r>
    </w:p>
    <w:p w14:paraId="0E98E77A" w14:textId="3608C00F" w:rsidR="00726DD6" w:rsidRPr="009C13B2" w:rsidRDefault="00726DD6" w:rsidP="000378A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udelenia predchádzajúceho súhlasu na použitie korekcie na rizikovo upravenú prirážku pre menu podľa § 42 ods. 3 zákona o poisťovníctve (špecifický symbol 3335),</w:t>
      </w:r>
    </w:p>
    <w:p w14:paraId="5248FF0E" w14:textId="08BCD2FF" w:rsidR="00726DD6" w:rsidRPr="009C13B2" w:rsidRDefault="00726DD6" w:rsidP="000378A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r>
      <w:r w:rsidRPr="00627963">
        <w:rPr>
          <w:rFonts w:ascii="Times New Roman" w:eastAsia="Calibri" w:hAnsi="Times New Roman" w:cs="Times New Roman"/>
          <w:bCs/>
          <w:sz w:val="24"/>
          <w:szCs w:val="24"/>
        </w:rPr>
        <w:t>udelenia predchádzajúceho súhlasu n</w:t>
      </w:r>
      <w:r w:rsidRPr="009C13B2">
        <w:rPr>
          <w:rFonts w:ascii="Times New Roman" w:eastAsia="Calibri" w:hAnsi="Times New Roman" w:cs="Times New Roman"/>
          <w:bCs/>
          <w:sz w:val="24"/>
          <w:szCs w:val="24"/>
        </w:rPr>
        <w:t>a uplatňovanie mechanizmu postupného zavádzania extrapolácie podľa § 205d ods. 4 zákona o poisťovníctve (špecifický symbol 3336),</w:t>
      </w:r>
    </w:p>
    <w:p w14:paraId="18D561F9" w14:textId="4A4574F6" w:rsidR="00615E56" w:rsidRPr="00826333" w:rsidRDefault="00726DD6" w:rsidP="000378A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udelenia predchádzajúceho súhlasu na predkladanie správy podľa § 79a ods. 1 zákona o poisťovníctve raz za päť rokov (špecifický symbol 3337)</w:t>
      </w:r>
      <w:r w:rsidR="00FA5606">
        <w:rPr>
          <w:rFonts w:ascii="Times New Roman" w:eastAsia="Calibri" w:hAnsi="Times New Roman" w:cs="Times New Roman"/>
          <w:bCs/>
          <w:sz w:val="24"/>
          <w:szCs w:val="24"/>
        </w:rPr>
        <w:t xml:space="preserve"> </w:t>
      </w:r>
      <w:r w:rsidR="00FA5606" w:rsidRPr="00826333">
        <w:rPr>
          <w:rFonts w:ascii="Times New Roman" w:eastAsia="Calibri" w:hAnsi="Times New Roman" w:cs="Times New Roman"/>
          <w:bCs/>
          <w:sz w:val="24"/>
          <w:szCs w:val="24"/>
        </w:rPr>
        <w:t>– pre úplnosť je potrebné uviesť, že v</w:t>
      </w:r>
      <w:r w:rsidR="003373D6" w:rsidRPr="00826333">
        <w:rPr>
          <w:rFonts w:ascii="Times New Roman" w:eastAsia="Calibri" w:hAnsi="Times New Roman" w:cs="Times New Roman"/>
          <w:bCs/>
          <w:sz w:val="24"/>
          <w:szCs w:val="24"/>
        </w:rPr>
        <w:t> kalkulačke nákladov podnikateľského prostredia</w:t>
      </w:r>
      <w:r w:rsidR="00FA5606" w:rsidRPr="00826333">
        <w:rPr>
          <w:rFonts w:ascii="Times New Roman" w:eastAsia="Calibri" w:hAnsi="Times New Roman" w:cs="Times New Roman"/>
          <w:bCs/>
          <w:sz w:val="24"/>
          <w:szCs w:val="24"/>
        </w:rPr>
        <w:t xml:space="preserve"> je označená frekvencia „jednorazovo“ z dôvodu, že v prípade podania žiadosti o vykonanie predmetného úkonu je poplatník povinný uhradiť poplatok raz (t. j. ide o „jednorazové“ uhradenie poplatku za vykonanie úkonu), pričom frekvencia „raz za päť rokov“ sa v tomto smere nevzťahuje na aspekt úhrady poplatku, ale na splnenie povinnosti predkladať správu podľa § 79a ods. 1 </w:t>
      </w:r>
      <w:r w:rsidR="003373D6" w:rsidRPr="00826333">
        <w:rPr>
          <w:rFonts w:ascii="Times New Roman" w:eastAsia="Calibri" w:hAnsi="Times New Roman" w:cs="Times New Roman"/>
          <w:bCs/>
          <w:sz w:val="24"/>
          <w:szCs w:val="24"/>
        </w:rPr>
        <w:t>zákona č. 39/2015</w:t>
      </w:r>
      <w:r w:rsidR="007C464D" w:rsidRPr="00826333">
        <w:rPr>
          <w:rFonts w:ascii="Times New Roman" w:eastAsia="Calibri" w:hAnsi="Times New Roman" w:cs="Times New Roman"/>
          <w:bCs/>
          <w:sz w:val="24"/>
          <w:szCs w:val="24"/>
        </w:rPr>
        <w:t> </w:t>
      </w:r>
      <w:r w:rsidR="003373D6" w:rsidRPr="00826333">
        <w:rPr>
          <w:rFonts w:ascii="Times New Roman" w:eastAsia="Calibri" w:hAnsi="Times New Roman" w:cs="Times New Roman"/>
          <w:bCs/>
          <w:sz w:val="24"/>
          <w:szCs w:val="24"/>
        </w:rPr>
        <w:t>Z. z. o poisťovníctve a o zmene a doplnení niektorých zákonov v znení neskorších predpisov</w:t>
      </w:r>
      <w:r w:rsidR="00FA5606" w:rsidRPr="00826333">
        <w:rPr>
          <w:rFonts w:ascii="Times New Roman" w:eastAsia="Calibri" w:hAnsi="Times New Roman" w:cs="Times New Roman"/>
          <w:bCs/>
          <w:sz w:val="24"/>
          <w:szCs w:val="24"/>
        </w:rPr>
        <w:t xml:space="preserve"> (pričom predkladať spomínanú správu v uvedenej frekvencii možno až na základe predchádzajúceho súhlasu Národnej banky Slovenska, na ktorý sa viaže predmetný poplatok)</w:t>
      </w:r>
      <w:r w:rsidR="003373D6" w:rsidRPr="00826333">
        <w:rPr>
          <w:rFonts w:ascii="Times New Roman" w:eastAsia="Calibri" w:hAnsi="Times New Roman" w:cs="Times New Roman"/>
          <w:bCs/>
          <w:sz w:val="24"/>
          <w:szCs w:val="24"/>
        </w:rPr>
        <w:t>;</w:t>
      </w:r>
      <w:r w:rsidR="00FA5606" w:rsidRPr="00826333">
        <w:rPr>
          <w:rFonts w:ascii="Times New Roman" w:eastAsia="Calibri" w:hAnsi="Times New Roman" w:cs="Times New Roman"/>
          <w:bCs/>
          <w:sz w:val="24"/>
          <w:szCs w:val="24"/>
        </w:rPr>
        <w:t xml:space="preserve"> </w:t>
      </w:r>
      <w:r w:rsidR="003373D6" w:rsidRPr="00826333">
        <w:rPr>
          <w:rFonts w:ascii="Times New Roman" w:eastAsia="Calibri" w:hAnsi="Times New Roman" w:cs="Times New Roman"/>
          <w:bCs/>
          <w:sz w:val="24"/>
          <w:szCs w:val="24"/>
        </w:rPr>
        <w:t>v</w:t>
      </w:r>
      <w:r w:rsidR="00FA5606" w:rsidRPr="00826333">
        <w:rPr>
          <w:rFonts w:ascii="Times New Roman" w:eastAsia="Calibri" w:hAnsi="Times New Roman" w:cs="Times New Roman"/>
          <w:bCs/>
          <w:sz w:val="24"/>
          <w:szCs w:val="24"/>
        </w:rPr>
        <w:t xml:space="preserve"> prípade udelenia predmetného predchádzajúceho súhlasu (pozn. na „predkladanie“, nie na jednorazové „predloženie“) poplatník nie je povinný opätovne žiadať o udelenie predchádzajúceho súhlasu (ak naďalej spĺňa podmienky udelenia predchádzajúceho súhlasu), a teda „raz za 5 rokov“ nedochádza k opätovnej úhrade poplatku</w:t>
      </w:r>
      <w:r w:rsidR="003373D6" w:rsidRPr="00826333">
        <w:rPr>
          <w:rFonts w:ascii="Times New Roman" w:eastAsia="Calibri" w:hAnsi="Times New Roman" w:cs="Times New Roman"/>
          <w:bCs/>
          <w:sz w:val="24"/>
          <w:szCs w:val="24"/>
        </w:rPr>
        <w:t>,</w:t>
      </w:r>
    </w:p>
    <w:p w14:paraId="334F42DA" w14:textId="7FA20B28" w:rsidR="00306E15" w:rsidRPr="009C13B2" w:rsidRDefault="00726DD6" w:rsidP="000378A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vydania stanoviska k použitiu navrhovaných opatrení v oblasti proporcionality, a to za každé navrhované opatrenie (špecifický symbol 3514),</w:t>
      </w:r>
    </w:p>
    <w:p w14:paraId="37919C7D" w14:textId="0692F904" w:rsidR="00726DD6" w:rsidRPr="009C13B2" w:rsidRDefault="00726DD6" w:rsidP="000378A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vydania stanoviska k uplatneniu zjednodušeného postupu poisťovňou s majetkovou účasťou alebo zaisťovňou s majetkovou účasťou pri majetkových účastiach v príbuzných spoločnostiach, ktoré sú nevýznamné (špecifický symbol 3515),</w:t>
      </w:r>
    </w:p>
    <w:p w14:paraId="5C54DA31" w14:textId="4F67CF1E" w:rsidR="00726DD6" w:rsidRPr="009C13B2" w:rsidRDefault="00726DD6" w:rsidP="000378A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udelenia výnimky z predkladania údajov podľa § 79 ods. 11 zákona o poisťovníctve po jednotlivých položkách (špecifický symbol 3516).</w:t>
      </w:r>
    </w:p>
    <w:p w14:paraId="3D493A1C" w14:textId="0C42C422" w:rsidR="00726DD6" w:rsidRPr="009C13B2" w:rsidRDefault="00726DD6"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Národná banka Slovenska s ohľadom na informácie, ktoré má k dispozícii, resp. podľa expertného odhadu, predpokladá vykonanie každého z vyššie uvedených úkonov v blízkej budúcnosti v 9 potenciálnych prípadoch, resp. z hľadiska nákladov predpokladá vplyv na podnikateľské prostredie uvedený v tabuľke č. 2.</w:t>
      </w:r>
    </w:p>
    <w:p w14:paraId="384DE3A1" w14:textId="77777777" w:rsidR="00306E15" w:rsidRPr="009C13B2" w:rsidRDefault="00306E15" w:rsidP="000378AB">
      <w:pPr>
        <w:spacing w:after="0"/>
        <w:jc w:val="both"/>
        <w:rPr>
          <w:rFonts w:ascii="Times New Roman" w:eastAsia="Calibri" w:hAnsi="Times New Roman" w:cs="Times New Roman"/>
          <w:bCs/>
          <w:sz w:val="24"/>
          <w:szCs w:val="24"/>
        </w:rPr>
      </w:pPr>
    </w:p>
    <w:p w14:paraId="0CB6C03B" w14:textId="791987C9" w:rsidR="00B91C6C" w:rsidRPr="00627963" w:rsidRDefault="006C0ED2" w:rsidP="000378AB">
      <w:pPr>
        <w:spacing w:after="0"/>
        <w:jc w:val="both"/>
        <w:rPr>
          <w:rFonts w:ascii="Times New Roman" w:eastAsia="Calibri" w:hAnsi="Times New Roman" w:cs="Times New Roman"/>
          <w:bCs/>
          <w:color w:val="00B050"/>
          <w:sz w:val="24"/>
          <w:szCs w:val="24"/>
        </w:rPr>
      </w:pPr>
      <w:r w:rsidRPr="009C13B2">
        <w:rPr>
          <w:rFonts w:ascii="Times New Roman" w:eastAsia="Calibri" w:hAnsi="Times New Roman" w:cs="Times New Roman"/>
          <w:bCs/>
          <w:sz w:val="24"/>
          <w:szCs w:val="24"/>
        </w:rPr>
        <w:t>Návrhom opatrenia má dôjsť k </w:t>
      </w:r>
      <w:r w:rsidR="00084336" w:rsidRPr="009C13B2">
        <w:rPr>
          <w:rFonts w:ascii="Times New Roman" w:eastAsia="Calibri" w:hAnsi="Times New Roman" w:cs="Times New Roman"/>
          <w:bCs/>
          <w:sz w:val="24"/>
          <w:szCs w:val="24"/>
        </w:rPr>
        <w:t>vypusteni</w:t>
      </w:r>
      <w:r w:rsidRPr="009C13B2">
        <w:rPr>
          <w:rFonts w:ascii="Times New Roman" w:eastAsia="Calibri" w:hAnsi="Times New Roman" w:cs="Times New Roman"/>
          <w:bCs/>
          <w:sz w:val="24"/>
          <w:szCs w:val="24"/>
        </w:rPr>
        <w:t xml:space="preserve">u </w:t>
      </w:r>
      <w:r w:rsidR="00084336" w:rsidRPr="009C13B2">
        <w:rPr>
          <w:rFonts w:ascii="Times New Roman" w:eastAsia="Calibri" w:hAnsi="Times New Roman" w:cs="Times New Roman"/>
          <w:bCs/>
          <w:sz w:val="24"/>
          <w:szCs w:val="24"/>
        </w:rPr>
        <w:t xml:space="preserve">úkonu a poplatku za </w:t>
      </w:r>
      <w:r w:rsidR="002032EB" w:rsidRPr="009C13B2">
        <w:rPr>
          <w:rFonts w:ascii="Times New Roman" w:eastAsia="Calibri" w:hAnsi="Times New Roman" w:cs="Times New Roman"/>
          <w:bCs/>
          <w:sz w:val="24"/>
          <w:szCs w:val="24"/>
        </w:rPr>
        <w:t xml:space="preserve">úkon </w:t>
      </w:r>
      <w:r w:rsidR="00084336" w:rsidRPr="009C13B2">
        <w:rPr>
          <w:rFonts w:ascii="Times New Roman" w:eastAsia="Calibri" w:hAnsi="Times New Roman" w:cs="Times New Roman"/>
          <w:bCs/>
          <w:sz w:val="24"/>
          <w:szCs w:val="24"/>
        </w:rPr>
        <w:t>udeleni</w:t>
      </w:r>
      <w:r w:rsidR="002032EB" w:rsidRPr="009C13B2">
        <w:rPr>
          <w:rFonts w:ascii="Times New Roman" w:eastAsia="Calibri" w:hAnsi="Times New Roman" w:cs="Times New Roman"/>
          <w:bCs/>
          <w:sz w:val="24"/>
          <w:szCs w:val="24"/>
        </w:rPr>
        <w:t>a</w:t>
      </w:r>
      <w:r w:rsidR="00084336" w:rsidRPr="009C13B2">
        <w:rPr>
          <w:rFonts w:ascii="Times New Roman" w:eastAsia="Calibri" w:hAnsi="Times New Roman" w:cs="Times New Roman"/>
          <w:bCs/>
          <w:sz w:val="24"/>
          <w:szCs w:val="24"/>
        </w:rPr>
        <w:t xml:space="preserve"> predchádzajúceho súhlasu na tvorbu ďalšej technickej rezervy podľa § 171 ods. 3 zákona o poisťovníctve (špecifický symbol 3312 - iba v opatrení č. 5/2021)</w:t>
      </w:r>
      <w:r w:rsidRPr="009C13B2">
        <w:rPr>
          <w:rFonts w:ascii="Times New Roman" w:eastAsia="Calibri" w:hAnsi="Times New Roman" w:cs="Times New Roman"/>
          <w:bCs/>
          <w:sz w:val="24"/>
          <w:szCs w:val="24"/>
        </w:rPr>
        <w:t>.</w:t>
      </w:r>
    </w:p>
    <w:p w14:paraId="3986B93F" w14:textId="5C255D68" w:rsidR="00B91C6C" w:rsidRPr="009C13B2" w:rsidRDefault="00765B27" w:rsidP="000378AB">
      <w:pPr>
        <w:spacing w:after="0"/>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color w:val="000000"/>
          <w:sz w:val="24"/>
          <w:szCs w:val="24"/>
        </w:rPr>
        <w:t>Národná banka Slovenska s ohľadom na informácie, ktoré má k dispozícii, resp. podľa expertného odhadu, predpokladá, že v prípade nevypustenia vyššie uvedeného úkonu by príslušné subjekty nepožiadali o jeho vykonanie v blízkej budúcnosti, a teda z hľadiska nákladov predpokladá, že vypustenie predmetného úkonu nebude mať vplyv na podnikateľské prostredie.</w:t>
      </w:r>
    </w:p>
    <w:p w14:paraId="47B3F069" w14:textId="77777777" w:rsidR="00306E15" w:rsidRPr="009C13B2" w:rsidRDefault="00306E15" w:rsidP="000378AB">
      <w:pPr>
        <w:spacing w:after="0"/>
        <w:jc w:val="both"/>
        <w:rPr>
          <w:rFonts w:ascii="Times New Roman" w:eastAsia="Calibri" w:hAnsi="Times New Roman" w:cs="Times New Roman"/>
          <w:bCs/>
          <w:color w:val="000000"/>
          <w:sz w:val="24"/>
          <w:szCs w:val="24"/>
        </w:rPr>
      </w:pPr>
    </w:p>
    <w:p w14:paraId="05C20D40" w14:textId="6B05A81C" w:rsidR="00612777" w:rsidRPr="009C13B2" w:rsidRDefault="00612777"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Návrhom opatrenia má </w:t>
      </w:r>
      <w:r w:rsidR="00627963">
        <w:rPr>
          <w:rFonts w:ascii="Times New Roman" w:eastAsia="Calibri" w:hAnsi="Times New Roman" w:cs="Times New Roman"/>
          <w:bCs/>
          <w:sz w:val="24"/>
          <w:szCs w:val="24"/>
        </w:rPr>
        <w:t xml:space="preserve">zároveň </w:t>
      </w:r>
      <w:r w:rsidRPr="009C13B2">
        <w:rPr>
          <w:rFonts w:ascii="Times New Roman" w:eastAsia="Calibri" w:hAnsi="Times New Roman" w:cs="Times New Roman"/>
          <w:bCs/>
          <w:sz w:val="24"/>
          <w:szCs w:val="24"/>
        </w:rPr>
        <w:t>dôjsť k vypusteniu úkonu a poplatku za udelenie predchádzajúceho súhlasu na:</w:t>
      </w:r>
    </w:p>
    <w:p w14:paraId="445B2083" w14:textId="6F640844" w:rsidR="00612777" w:rsidRPr="009C13B2" w:rsidRDefault="00612777" w:rsidP="000378A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splnomocnenie zástupcu núteného správcu vykonávaním úkonov vo svojom mene na základe písomného plnomocenstva (špecifický symbol 3326 - iba v opatrení č. 5/2021),</w:t>
      </w:r>
    </w:p>
    <w:p w14:paraId="34AA687A" w14:textId="6B9E0F03" w:rsidR="00612777" w:rsidRPr="009C13B2" w:rsidRDefault="00612777" w:rsidP="000378A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pribratie odborných poradcov núteného správcu (špecifický symbol 3327 - iba v opatrení č. 5/2021),</w:t>
      </w:r>
    </w:p>
    <w:p w14:paraId="7A9C3F5D" w14:textId="4E25A968" w:rsidR="00612777" w:rsidRPr="009C13B2" w:rsidRDefault="00612777" w:rsidP="000378AB">
      <w:pPr>
        <w:spacing w:after="0"/>
        <w:ind w:left="284" w:hanging="284"/>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ab/>
        <w:t>čiastočné alebo úplné pozastavenie nakladania s prostriedkami poisťovne núteným správcom (špecifický symbol 3328 - iba v opatrení č. 5/2021),</w:t>
      </w:r>
    </w:p>
    <w:p w14:paraId="29B83810" w14:textId="29B2DF1A" w:rsidR="00D111B6" w:rsidRPr="009C13B2" w:rsidRDefault="00612777" w:rsidP="000378AB">
      <w:pPr>
        <w:spacing w:after="0"/>
        <w:ind w:left="284" w:hanging="284"/>
        <w:jc w:val="both"/>
        <w:rPr>
          <w:rFonts w:ascii="Times New Roman" w:eastAsia="Calibri" w:hAnsi="Times New Roman" w:cs="Times New Roman"/>
          <w:bCs/>
          <w:sz w:val="24"/>
          <w:szCs w:val="24"/>
          <w:highlight w:val="red"/>
        </w:rPr>
      </w:pPr>
      <w:r w:rsidRPr="009C13B2">
        <w:rPr>
          <w:rFonts w:ascii="Times New Roman" w:eastAsia="Calibri" w:hAnsi="Times New Roman" w:cs="Times New Roman"/>
          <w:bCs/>
          <w:sz w:val="24"/>
          <w:szCs w:val="24"/>
        </w:rPr>
        <w:t xml:space="preserve">- </w:t>
      </w:r>
      <w:r w:rsidR="00717BB3" w:rsidRPr="009C13B2">
        <w:rPr>
          <w:rFonts w:ascii="Times New Roman" w:eastAsia="Calibri" w:hAnsi="Times New Roman" w:cs="Times New Roman"/>
          <w:bCs/>
          <w:sz w:val="24"/>
          <w:szCs w:val="24"/>
        </w:rPr>
        <w:tab/>
      </w:r>
      <w:r w:rsidRPr="009C13B2">
        <w:rPr>
          <w:rFonts w:ascii="Times New Roman" w:eastAsia="Calibri" w:hAnsi="Times New Roman" w:cs="Times New Roman"/>
          <w:bCs/>
          <w:sz w:val="24"/>
          <w:szCs w:val="24"/>
        </w:rPr>
        <w:t>podanie návrhu na vyhlásenie konkurzu núteným správcom (špecifický symbol 3329 - iba v opatrení č. 5/2021).</w:t>
      </w:r>
      <w:r w:rsidR="00763430" w:rsidRPr="009C13B2">
        <w:rPr>
          <w:rFonts w:ascii="Times New Roman" w:eastAsia="Calibri" w:hAnsi="Times New Roman" w:cs="Times New Roman"/>
          <w:bCs/>
          <w:sz w:val="24"/>
          <w:szCs w:val="24"/>
          <w:highlight w:val="red"/>
        </w:rPr>
        <w:t xml:space="preserve"> </w:t>
      </w:r>
    </w:p>
    <w:p w14:paraId="077CDCA7" w14:textId="530F2219" w:rsidR="00763430" w:rsidRPr="009C13B2" w:rsidRDefault="00763430"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 xml:space="preserve">Národná banka Slovenska s ohľadom na informácie, ktoré má k dispozícii, resp. podľa expertného odhadu, predpokladá, že v prípade nevypustenia </w:t>
      </w:r>
      <w:r w:rsidR="00D111B6" w:rsidRPr="009C13B2">
        <w:rPr>
          <w:rFonts w:ascii="Times New Roman" w:eastAsia="Calibri" w:hAnsi="Times New Roman" w:cs="Times New Roman"/>
          <w:bCs/>
          <w:sz w:val="24"/>
          <w:szCs w:val="24"/>
        </w:rPr>
        <w:t xml:space="preserve">vyššie spomenutých </w:t>
      </w:r>
      <w:r w:rsidRPr="009C13B2">
        <w:rPr>
          <w:rFonts w:ascii="Times New Roman" w:eastAsia="Calibri" w:hAnsi="Times New Roman" w:cs="Times New Roman"/>
          <w:bCs/>
          <w:sz w:val="24"/>
          <w:szCs w:val="24"/>
        </w:rPr>
        <w:t>úkon</w:t>
      </w:r>
      <w:r w:rsidR="00D111B6" w:rsidRPr="009C13B2">
        <w:rPr>
          <w:rFonts w:ascii="Times New Roman" w:eastAsia="Calibri" w:hAnsi="Times New Roman" w:cs="Times New Roman"/>
          <w:bCs/>
          <w:sz w:val="24"/>
          <w:szCs w:val="24"/>
        </w:rPr>
        <w:t>ov</w:t>
      </w:r>
      <w:r w:rsidRPr="009C13B2">
        <w:rPr>
          <w:rFonts w:ascii="Times New Roman" w:eastAsia="Calibri" w:hAnsi="Times New Roman" w:cs="Times New Roman"/>
          <w:bCs/>
          <w:sz w:val="24"/>
          <w:szCs w:val="24"/>
        </w:rPr>
        <w:t xml:space="preserve"> by príslušné subjekty potenciálne podali 9 žiadostí o </w:t>
      </w:r>
      <w:r w:rsidR="007F5D6A" w:rsidRPr="009C13B2">
        <w:rPr>
          <w:rFonts w:ascii="Times New Roman" w:eastAsia="Calibri" w:hAnsi="Times New Roman" w:cs="Times New Roman"/>
          <w:bCs/>
          <w:sz w:val="24"/>
          <w:szCs w:val="24"/>
        </w:rPr>
        <w:t>ich</w:t>
      </w:r>
      <w:r w:rsidRPr="009C13B2">
        <w:rPr>
          <w:rFonts w:ascii="Times New Roman" w:eastAsia="Calibri" w:hAnsi="Times New Roman" w:cs="Times New Roman"/>
          <w:bCs/>
          <w:sz w:val="24"/>
          <w:szCs w:val="24"/>
        </w:rPr>
        <w:t xml:space="preserve"> vykonanie v blízkej budúcnosti, pričom z hľadiska nákladov predpokladá, že vypustenie predmetn</w:t>
      </w:r>
      <w:r w:rsidR="00D111B6" w:rsidRPr="009C13B2">
        <w:rPr>
          <w:rFonts w:ascii="Times New Roman" w:eastAsia="Calibri" w:hAnsi="Times New Roman" w:cs="Times New Roman"/>
          <w:bCs/>
          <w:sz w:val="24"/>
          <w:szCs w:val="24"/>
        </w:rPr>
        <w:t>ých</w:t>
      </w:r>
      <w:r w:rsidRPr="009C13B2">
        <w:rPr>
          <w:rFonts w:ascii="Times New Roman" w:eastAsia="Calibri" w:hAnsi="Times New Roman" w:cs="Times New Roman"/>
          <w:bCs/>
          <w:sz w:val="24"/>
          <w:szCs w:val="24"/>
        </w:rPr>
        <w:t xml:space="preserve"> úkon</w:t>
      </w:r>
      <w:r w:rsidR="00D111B6" w:rsidRPr="009C13B2">
        <w:rPr>
          <w:rFonts w:ascii="Times New Roman" w:eastAsia="Calibri" w:hAnsi="Times New Roman" w:cs="Times New Roman"/>
          <w:bCs/>
          <w:sz w:val="24"/>
          <w:szCs w:val="24"/>
        </w:rPr>
        <w:t>ov</w:t>
      </w:r>
      <w:r w:rsidRPr="009C13B2">
        <w:rPr>
          <w:rFonts w:ascii="Times New Roman" w:eastAsia="Calibri" w:hAnsi="Times New Roman" w:cs="Times New Roman"/>
          <w:bCs/>
          <w:sz w:val="24"/>
          <w:szCs w:val="24"/>
        </w:rPr>
        <w:t xml:space="preserve"> bude mať vplyv na podnikateľské prostredie uvedený v tabuľke č. 2.</w:t>
      </w:r>
    </w:p>
    <w:p w14:paraId="64960413" w14:textId="77777777" w:rsidR="00A21F5E" w:rsidRDefault="00A21F5E" w:rsidP="000378AB">
      <w:pPr>
        <w:spacing w:after="0"/>
        <w:jc w:val="both"/>
        <w:rPr>
          <w:rFonts w:ascii="Times New Roman" w:eastAsia="Calibri" w:hAnsi="Times New Roman" w:cs="Times New Roman"/>
          <w:bCs/>
          <w:color w:val="00B050"/>
          <w:sz w:val="24"/>
          <w:szCs w:val="24"/>
        </w:rPr>
      </w:pPr>
    </w:p>
    <w:p w14:paraId="0B4DD6C0" w14:textId="77777777" w:rsidR="00FC48AE" w:rsidRPr="009C13B2" w:rsidRDefault="00FC48AE" w:rsidP="000378AB">
      <w:pPr>
        <w:spacing w:after="0"/>
        <w:jc w:val="both"/>
        <w:rPr>
          <w:rFonts w:ascii="Times New Roman" w:eastAsia="Calibri" w:hAnsi="Times New Roman" w:cs="Times New Roman"/>
          <w:bCs/>
          <w:color w:val="000000"/>
          <w:sz w:val="24"/>
          <w:szCs w:val="24"/>
        </w:rPr>
      </w:pPr>
    </w:p>
    <w:p w14:paraId="28783E6E" w14:textId="77777777" w:rsidR="00560FB0" w:rsidRPr="009C13B2" w:rsidRDefault="00560FB0" w:rsidP="000378AB">
      <w:pPr>
        <w:pStyle w:val="ListParagraph"/>
        <w:numPr>
          <w:ilvl w:val="0"/>
          <w:numId w:val="15"/>
        </w:numPr>
        <w:spacing w:after="0"/>
        <w:ind w:left="284" w:hanging="284"/>
        <w:jc w:val="both"/>
        <w:rPr>
          <w:rFonts w:ascii="Times New Roman" w:eastAsia="Calibri" w:hAnsi="Times New Roman" w:cs="Times New Roman"/>
          <w:b/>
          <w:sz w:val="24"/>
          <w:szCs w:val="24"/>
          <w:u w:val="single"/>
        </w:rPr>
      </w:pPr>
      <w:r w:rsidRPr="009C13B2">
        <w:rPr>
          <w:rFonts w:ascii="Times New Roman" w:eastAsia="Calibri" w:hAnsi="Times New Roman" w:cs="Times New Roman"/>
          <w:b/>
          <w:sz w:val="24"/>
          <w:szCs w:val="24"/>
          <w:u w:val="single"/>
        </w:rPr>
        <w:t>Dôchodkové sporenie</w:t>
      </w:r>
    </w:p>
    <w:p w14:paraId="27FFC15A" w14:textId="77777777" w:rsidR="00560FB0" w:rsidRPr="009C13B2" w:rsidRDefault="00560FB0" w:rsidP="000378AB">
      <w:pPr>
        <w:spacing w:after="0"/>
        <w:jc w:val="both"/>
        <w:rPr>
          <w:rFonts w:ascii="Times New Roman" w:eastAsia="Calibri" w:hAnsi="Times New Roman" w:cs="Times New Roman"/>
          <w:b/>
          <w:color w:val="00B050"/>
          <w:sz w:val="24"/>
          <w:szCs w:val="24"/>
          <w:u w:val="single"/>
        </w:rPr>
      </w:pPr>
    </w:p>
    <w:p w14:paraId="507834E2" w14:textId="38297B19" w:rsidR="00ED38C3" w:rsidRPr="009C13B2" w:rsidRDefault="00560FB0" w:rsidP="000378AB">
      <w:pPr>
        <w:spacing w:after="0"/>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color w:val="000000"/>
          <w:sz w:val="24"/>
          <w:szCs w:val="24"/>
        </w:rPr>
        <w:t xml:space="preserve">V oblasti </w:t>
      </w:r>
      <w:r w:rsidR="00ED38C3" w:rsidRPr="009C13B2">
        <w:rPr>
          <w:rFonts w:ascii="Times New Roman" w:eastAsia="Calibri" w:hAnsi="Times New Roman" w:cs="Times New Roman"/>
          <w:bCs/>
          <w:color w:val="000000"/>
          <w:sz w:val="24"/>
          <w:szCs w:val="24"/>
        </w:rPr>
        <w:t xml:space="preserve">dôchodkového sporenia </w:t>
      </w:r>
      <w:r w:rsidRPr="009C13B2">
        <w:rPr>
          <w:rFonts w:ascii="Times New Roman" w:eastAsia="Calibri" w:hAnsi="Times New Roman" w:cs="Times New Roman"/>
          <w:bCs/>
          <w:color w:val="000000"/>
          <w:sz w:val="24"/>
          <w:szCs w:val="24"/>
        </w:rPr>
        <w:t>má návrhom opatrenia dôjsť k</w:t>
      </w:r>
      <w:r w:rsidR="00ED38C3" w:rsidRPr="009C13B2">
        <w:rPr>
          <w:rFonts w:ascii="Times New Roman" w:eastAsia="Calibri" w:hAnsi="Times New Roman" w:cs="Times New Roman"/>
          <w:bCs/>
          <w:color w:val="000000"/>
          <w:sz w:val="24"/>
          <w:szCs w:val="24"/>
        </w:rPr>
        <w:t> zvýšeniu poplatku za úkon udelenia predchádzajúceho súhlasu na:</w:t>
      </w:r>
    </w:p>
    <w:p w14:paraId="19A966CD" w14:textId="15E0E721" w:rsidR="00560FB0" w:rsidRPr="009C13B2" w:rsidRDefault="00ED38C3" w:rsidP="000378AB">
      <w:pPr>
        <w:spacing w:after="0"/>
        <w:ind w:left="284" w:hanging="284"/>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color w:val="000000"/>
          <w:sz w:val="24"/>
          <w:szCs w:val="24"/>
        </w:rPr>
        <w:t xml:space="preserve">- </w:t>
      </w:r>
      <w:r w:rsidRPr="009C13B2">
        <w:rPr>
          <w:rFonts w:ascii="Times New Roman" w:eastAsia="Calibri" w:hAnsi="Times New Roman" w:cs="Times New Roman"/>
          <w:bCs/>
          <w:color w:val="000000"/>
          <w:sz w:val="24"/>
          <w:szCs w:val="24"/>
        </w:rPr>
        <w:tab/>
        <w:t>zvolenie osoby navrhovanej za člena predstavenstva dôchodkovej správcovskej spoločnosti a člena dozornej rady dôchodkovej správcovskej spoločnosti, na menovanie prokuristu dôchodkovej správcovskej spoločnosti a na ustanovenie za vedúceho zamestnanca v priamej riadiacej pôsobnosti predstavenstva zodpovedného za výkon odborných činností a na ustanovenie za zamestnanca zodpovedného za výkon vnútornej kontroly (špecifický symbol 4303 - iba v opatrení č. 5/2021),</w:t>
      </w:r>
    </w:p>
    <w:p w14:paraId="12D9766E" w14:textId="700FA97D" w:rsidR="00560FB0" w:rsidRPr="009C13B2" w:rsidRDefault="00ED38C3" w:rsidP="000378AB">
      <w:pPr>
        <w:spacing w:after="0"/>
        <w:ind w:left="284" w:hanging="284"/>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color w:val="000000"/>
          <w:sz w:val="24"/>
          <w:szCs w:val="24"/>
        </w:rPr>
        <w:t xml:space="preserve">- </w:t>
      </w:r>
      <w:r w:rsidRPr="009C13B2">
        <w:rPr>
          <w:rFonts w:ascii="Times New Roman" w:eastAsia="Calibri" w:hAnsi="Times New Roman" w:cs="Times New Roman"/>
          <w:bCs/>
          <w:color w:val="000000"/>
          <w:sz w:val="24"/>
          <w:szCs w:val="24"/>
        </w:rPr>
        <w:tab/>
        <w:t>voľbu osôb navrhovaných za členov predstavenstva a členov dozornej rady a na vymenovanie vedúcich zamestnancov v priamej riadiacej pôsobnosti predstavenstva zodpovedných za riadenie investícií, osôb zodpovedných za výkon kľúčovej funkcie a prokuristu (špecifický symbol 4312 - iba v opatrení č. 5/2021).</w:t>
      </w:r>
    </w:p>
    <w:p w14:paraId="7BEE0ECD" w14:textId="050E24D1" w:rsidR="004C7402" w:rsidRPr="009C13B2" w:rsidRDefault="004C7402" w:rsidP="000378AB">
      <w:pPr>
        <w:spacing w:after="0"/>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color w:val="000000"/>
          <w:sz w:val="24"/>
          <w:szCs w:val="24"/>
        </w:rPr>
        <w:t>Národná banka Slovenska s ohľadom na informácie, ktoré má k dispozícii, resp. podľa expertného odhadu, predpokladá vykonanie predmetných úkonov v blízkej budúcnosti v 3 potenciálnych prípadoch, resp. z hľadiska nákladov predpokladá vplyv na podnikateľské prostredie uvedený v tabuľke č. 2.</w:t>
      </w:r>
    </w:p>
    <w:p w14:paraId="6FF66B5C" w14:textId="77777777" w:rsidR="00955418" w:rsidRDefault="00955418" w:rsidP="000378AB">
      <w:pPr>
        <w:pStyle w:val="ListParagraph"/>
        <w:spacing w:after="0"/>
        <w:ind w:left="284"/>
        <w:jc w:val="both"/>
        <w:rPr>
          <w:rFonts w:ascii="Times New Roman" w:eastAsia="Calibri" w:hAnsi="Times New Roman" w:cs="Times New Roman"/>
          <w:b/>
          <w:color w:val="00B050"/>
          <w:sz w:val="24"/>
          <w:szCs w:val="24"/>
          <w:u w:val="single"/>
        </w:rPr>
      </w:pPr>
    </w:p>
    <w:p w14:paraId="45F4C18B" w14:textId="77777777" w:rsidR="00B87C88" w:rsidRPr="009C13B2" w:rsidRDefault="00B87C88" w:rsidP="000378AB">
      <w:pPr>
        <w:pStyle w:val="ListParagraph"/>
        <w:spacing w:after="0"/>
        <w:ind w:left="284"/>
        <w:jc w:val="both"/>
        <w:rPr>
          <w:rFonts w:ascii="Times New Roman" w:eastAsia="Calibri" w:hAnsi="Times New Roman" w:cs="Times New Roman"/>
          <w:b/>
          <w:color w:val="00B050"/>
          <w:sz w:val="24"/>
          <w:szCs w:val="24"/>
          <w:u w:val="single"/>
        </w:rPr>
      </w:pPr>
    </w:p>
    <w:p w14:paraId="27286F50" w14:textId="4A53126B" w:rsidR="00560FB0" w:rsidRPr="009C13B2" w:rsidRDefault="00473FA7" w:rsidP="000378AB">
      <w:pPr>
        <w:pStyle w:val="ListParagraph"/>
        <w:numPr>
          <w:ilvl w:val="0"/>
          <w:numId w:val="15"/>
        </w:numPr>
        <w:spacing w:after="0"/>
        <w:ind w:left="284" w:hanging="284"/>
        <w:jc w:val="both"/>
        <w:rPr>
          <w:rFonts w:ascii="Times New Roman" w:eastAsia="Calibri" w:hAnsi="Times New Roman" w:cs="Times New Roman"/>
          <w:b/>
          <w:sz w:val="24"/>
          <w:szCs w:val="24"/>
          <w:u w:val="single"/>
        </w:rPr>
      </w:pPr>
      <w:r w:rsidRPr="009C13B2">
        <w:rPr>
          <w:rFonts w:ascii="Times New Roman" w:eastAsia="Calibri" w:hAnsi="Times New Roman" w:cs="Times New Roman"/>
          <w:b/>
          <w:sz w:val="24"/>
          <w:szCs w:val="24"/>
          <w:u w:val="single"/>
        </w:rPr>
        <w:t>Poskytovanie spotrebiteľských úverov a iných úverov a pôžičiek spotrebiteľom</w:t>
      </w:r>
    </w:p>
    <w:p w14:paraId="74B8B494" w14:textId="77777777" w:rsidR="00666C7F" w:rsidRPr="009C13B2" w:rsidRDefault="00666C7F" w:rsidP="000378AB">
      <w:pPr>
        <w:spacing w:after="0"/>
        <w:jc w:val="both"/>
        <w:rPr>
          <w:rFonts w:ascii="Times New Roman" w:eastAsia="Calibri" w:hAnsi="Times New Roman" w:cs="Times New Roman"/>
          <w:bCs/>
          <w:color w:val="000000"/>
          <w:sz w:val="24"/>
          <w:szCs w:val="24"/>
        </w:rPr>
      </w:pPr>
    </w:p>
    <w:p w14:paraId="27BEDFFA" w14:textId="4B5BFCCA" w:rsidR="00956468" w:rsidRPr="009C13B2" w:rsidRDefault="00956468" w:rsidP="000378AB">
      <w:pPr>
        <w:spacing w:after="0"/>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color w:val="000000"/>
          <w:sz w:val="24"/>
          <w:szCs w:val="24"/>
        </w:rPr>
        <w:t>V oblasti poskytovania spotrebiteľských úverov a iných úverov a pôžičiek spotrebiteľom má návrhom opatrenia dôjsť k vypusteniu úkonu a poplatku za udelenie povolenia na poskytovanie iných úverov alebo pôžičiek spotrebiteľom (špecifický symbol 6107 - iba v opatrení č. 5/2021), ako aj za zmenu rozhodnutia, ktorým bolo udelené povolenie na poskytovanie iných úverov alebo pôžičiek spotrebiteľom (špecifický symbol 6204 - iba v opatrení č. 5/2021).</w:t>
      </w:r>
    </w:p>
    <w:p w14:paraId="68F8CCE2" w14:textId="4331D755" w:rsidR="00956468" w:rsidRPr="009C13B2" w:rsidRDefault="007F5D6A" w:rsidP="000378AB">
      <w:pPr>
        <w:spacing w:after="0"/>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color w:val="000000"/>
          <w:sz w:val="24"/>
          <w:szCs w:val="24"/>
        </w:rPr>
        <w:lastRenderedPageBreak/>
        <w:t>Národná banka Slovenska s ohľadom na informácie, ktoré má k dispozícii, resp. podľa expertného odhadu, predpokladá, že v prípade nevypustenia vyššie spomínaných úkonov by príslušné subjekty nepožiadali o ich vykonanie v blízkej budúcnosti, a teda z hľadiska nákladov predpokladá, že vypustenie predmetných úkonov nebude mať vplyv na podnikateľské prostredie.</w:t>
      </w:r>
    </w:p>
    <w:p w14:paraId="5EB7B824" w14:textId="563DDDE3" w:rsidR="006E5E1B" w:rsidRPr="009C13B2" w:rsidRDefault="00D17F70" w:rsidP="000378AB">
      <w:pPr>
        <w:spacing w:after="0"/>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color w:val="000000"/>
          <w:sz w:val="24"/>
          <w:szCs w:val="24"/>
        </w:rPr>
        <w:t xml:space="preserve">Zároveň sa navrhuje vypustenie úkonu a poplatku za udelenie predchádzajúceho súhlasu na voľbu alebo vymenovanie osôb veriteľa, ktorý je právnickou  osobou, alebo osôb iného veriteľa, navrhovaných za členov štatutárneho  orgánu a členov dozornej rady, prokuristu, vedúceho organizačnej zložky, a vedúceho útvaru vnútornej kontroly (špecifický symbol 6302). </w:t>
      </w:r>
    </w:p>
    <w:p w14:paraId="44F21702" w14:textId="39E547AC" w:rsidR="007F5D6A" w:rsidRPr="009C13B2" w:rsidRDefault="007F5D6A"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Národná banka Slovenska s ohľadom na informácie, ktoré má k dispozícii, resp. podľa expertného odhadu, predpokladá, že v prípade nevypustenia vyššie spomenutého úkonu by príslušné subjekty potenciálne podali 25 žiadostí o jeho vykonanie v blízkej budúcnosti, pričom z hľadiska nákladov predpokladá, že vypustenie predmetného úkonu bude mať vplyv na podnikateľské prostredie uvedený v tabuľke č. 2.</w:t>
      </w:r>
    </w:p>
    <w:p w14:paraId="79403515" w14:textId="536F69A2" w:rsidR="00666C7F" w:rsidRPr="009C13B2" w:rsidRDefault="000F0762"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Návrhom opatrenia má dôjsť k stanoveniu poplatku za úkon</w:t>
      </w:r>
      <w:r w:rsidRPr="009C13B2">
        <w:rPr>
          <w:rFonts w:ascii="Times New Roman" w:hAnsi="Times New Roman" w:cs="Times New Roman"/>
        </w:rPr>
        <w:t xml:space="preserve"> </w:t>
      </w:r>
      <w:r w:rsidRPr="009C13B2">
        <w:rPr>
          <w:rFonts w:ascii="Times New Roman" w:eastAsia="Calibri" w:hAnsi="Times New Roman" w:cs="Times New Roman"/>
          <w:bCs/>
          <w:sz w:val="24"/>
          <w:szCs w:val="24"/>
        </w:rPr>
        <w:t>udelenia povolenia na poskytovanie spotrebiteľských úverov v rámci doplnkovej činnosti veriteľa, bezúročne a bez akýchkoľvek iných poplatkov okrem poplatkov, ktoré musí spotrebiteľ zaplatiť v súvislosti s omeškaním platby (špecifický symbol 6108). Národná banka Slovenska s ohľadom na informácie, ktoré má k dispozícii, resp. podľa expertného odhadu, predpokladá vykonanie predmetného úkonu v blízkej budúcnosti v 3 potenciálnych prípadoch, resp. z hľadiska nákladov predpokladá jeho vplyv na podnikateľské prostredie uvedený v tabuľke č. 2.</w:t>
      </w:r>
    </w:p>
    <w:p w14:paraId="227633E5" w14:textId="74343F8B" w:rsidR="006E5E1B" w:rsidRPr="009C13B2" w:rsidRDefault="000F0762" w:rsidP="000378AB">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Zároveň sa navrhuje stanoviť poplatok za úkon</w:t>
      </w:r>
      <w:r w:rsidRPr="009C13B2">
        <w:rPr>
          <w:rFonts w:ascii="Times New Roman" w:hAnsi="Times New Roman" w:cs="Times New Roman"/>
        </w:rPr>
        <w:t xml:space="preserve"> </w:t>
      </w:r>
      <w:r w:rsidRPr="009C13B2">
        <w:rPr>
          <w:rFonts w:ascii="Times New Roman" w:eastAsia="Calibri" w:hAnsi="Times New Roman" w:cs="Times New Roman"/>
          <w:bCs/>
          <w:sz w:val="24"/>
          <w:szCs w:val="24"/>
        </w:rPr>
        <w:t>udelenia predchádzajúceho súhlasu na voľbu alebo vymenovanie osôb veriteľa, ktorý je právnickou</w:t>
      </w:r>
      <w:r w:rsidR="002B4A74" w:rsidRPr="009C13B2">
        <w:rPr>
          <w:rFonts w:ascii="Times New Roman" w:eastAsia="Calibri" w:hAnsi="Times New Roman" w:cs="Times New Roman"/>
          <w:bCs/>
          <w:sz w:val="24"/>
          <w:szCs w:val="24"/>
        </w:rPr>
        <w:t xml:space="preserve"> </w:t>
      </w:r>
      <w:r w:rsidRPr="009C13B2">
        <w:rPr>
          <w:rFonts w:ascii="Times New Roman" w:eastAsia="Calibri" w:hAnsi="Times New Roman" w:cs="Times New Roman"/>
          <w:bCs/>
          <w:sz w:val="24"/>
          <w:szCs w:val="24"/>
        </w:rPr>
        <w:t>osobou, navrhovaných za členov štatutárneho  orgánu a členov dozornej rady, prokuristu, vedúceho organizačnej zložky, vedúceho útvaru vnútornej kontroly alebo vedúceho zamestnanca zodpovedného za výkon vnútornej kontroly, osobu, ktorá zabezpečuje plnenie úloh pri ochrane pred legalizáciou príjmov z trestnej činnosti a financovaním terorizmu, ohlasovanie neobvyklých obchodných operácií a prostredníctvom ktorej sa zabezpečuje priebežný styk s Finančnou spravodajskou jednotkou, a za osobu, ktorá je zodpovedná za poskytovanie spotrebiteľských úverov (špecifický symbol 6302). Národná banka Slovenska s ohľadom na informácie, ktoré má k dispozícii, resp. podľa expertného odhadu, predpokladá vykonanie predmetného úkonu v blízkej budúcnosti v 25 potenciálnych prípadoch, resp. z hľadiska nákladov predpokladá jeho vplyv na podnikateľské prostredie uvedený v tabuľke č. 2.</w:t>
      </w:r>
    </w:p>
    <w:p w14:paraId="4BD406D0" w14:textId="77777777" w:rsidR="0054149B" w:rsidRPr="009C13B2" w:rsidRDefault="0054149B" w:rsidP="000378AB">
      <w:pPr>
        <w:spacing w:after="0"/>
        <w:jc w:val="both"/>
        <w:rPr>
          <w:rFonts w:ascii="Times New Roman" w:eastAsia="Calibri" w:hAnsi="Times New Roman" w:cs="Times New Roman"/>
          <w:bCs/>
          <w:color w:val="00B050"/>
          <w:sz w:val="24"/>
          <w:szCs w:val="24"/>
        </w:rPr>
      </w:pPr>
    </w:p>
    <w:p w14:paraId="5C0CE21C" w14:textId="28AC987D" w:rsidR="006F6930" w:rsidRPr="009C13B2" w:rsidRDefault="006F6930" w:rsidP="000378AB">
      <w:pPr>
        <w:spacing w:after="0"/>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color w:val="000000"/>
          <w:sz w:val="24"/>
          <w:szCs w:val="24"/>
        </w:rPr>
        <w:t>Návrhom opatrenia má dôjsť k stanoveniu poplatku za úkon</w:t>
      </w:r>
      <w:r w:rsidRPr="009C13B2">
        <w:rPr>
          <w:rFonts w:ascii="Times New Roman" w:hAnsi="Times New Roman" w:cs="Times New Roman"/>
        </w:rPr>
        <w:t xml:space="preserve"> </w:t>
      </w:r>
      <w:r w:rsidRPr="009C13B2">
        <w:rPr>
          <w:rFonts w:ascii="Times New Roman" w:eastAsia="Calibri" w:hAnsi="Times New Roman" w:cs="Times New Roman"/>
          <w:bCs/>
          <w:color w:val="000000"/>
          <w:sz w:val="24"/>
          <w:szCs w:val="24"/>
        </w:rPr>
        <w:t xml:space="preserve">zmeny rozhodnutia, ktorým bolo udelené povolenie na poskytovanie spotrebiteľských úverov v rámci doplnkovej činnosti veriteľa, bezúročne a bez akýchkoľvek iných poplatkov okrem poplatkov, ktoré musí spotrebiteľ zaplatiť v súvislosti s omeškaním platby (špecifický symbol 6205), ako aj </w:t>
      </w:r>
      <w:r w:rsidR="00245545" w:rsidRPr="009C13B2">
        <w:rPr>
          <w:rFonts w:ascii="Times New Roman" w:eastAsia="Calibri" w:hAnsi="Times New Roman" w:cs="Times New Roman"/>
          <w:bCs/>
          <w:color w:val="000000"/>
          <w:sz w:val="24"/>
          <w:szCs w:val="24"/>
        </w:rPr>
        <w:t xml:space="preserve">za </w:t>
      </w:r>
      <w:r w:rsidRPr="009C13B2">
        <w:rPr>
          <w:rFonts w:ascii="Times New Roman" w:eastAsia="Calibri" w:hAnsi="Times New Roman" w:cs="Times New Roman"/>
          <w:bCs/>
          <w:color w:val="000000"/>
          <w:sz w:val="24"/>
          <w:szCs w:val="24"/>
        </w:rPr>
        <w:t xml:space="preserve">úkon udelenia predchádzajúceho súhlasu na zrušenie veriteľa, ktorý poskytuje spotrebiteľské úvery v rámci doplnkovej činnosti veriteľa, bezúročne a bez akýchkoľvek iných poplatkov okrem poplatkov, ktoré musí spotrebiteľ zaplatiť v súvislosti s omeškaním platby, z iného dôvodu ako pre odobratie povolenia (špecifický symbol 6307). Národná banka Slovenska s ohľadom na informácie, ktoré má k dispozícii, resp. podľa expertného odhadu, nepredpokladá vykonanie žiadneho z vyššie uvedených úkonov v blízkej budúcnosti, a teda nepredpokladá ich vplyv na podnikateľské prostredie.  </w:t>
      </w:r>
    </w:p>
    <w:p w14:paraId="1248D125" w14:textId="77777777" w:rsidR="00B87C88" w:rsidRPr="009C13B2" w:rsidRDefault="00B87C88" w:rsidP="000378AB">
      <w:pPr>
        <w:spacing w:after="0"/>
        <w:jc w:val="both"/>
        <w:rPr>
          <w:rFonts w:ascii="Times New Roman" w:eastAsia="Calibri" w:hAnsi="Times New Roman" w:cs="Times New Roman"/>
          <w:bCs/>
          <w:color w:val="000000"/>
          <w:sz w:val="24"/>
          <w:szCs w:val="24"/>
        </w:rPr>
      </w:pPr>
    </w:p>
    <w:p w14:paraId="2CC6130B" w14:textId="77777777" w:rsidR="00473FA7" w:rsidRPr="009C13B2" w:rsidRDefault="00473FA7" w:rsidP="000378AB">
      <w:pPr>
        <w:pStyle w:val="ListParagraph"/>
        <w:numPr>
          <w:ilvl w:val="0"/>
          <w:numId w:val="15"/>
        </w:numPr>
        <w:spacing w:after="0"/>
        <w:ind w:left="284" w:hanging="284"/>
        <w:jc w:val="both"/>
        <w:rPr>
          <w:rFonts w:ascii="Times New Roman" w:eastAsia="Calibri" w:hAnsi="Times New Roman" w:cs="Times New Roman"/>
          <w:b/>
          <w:sz w:val="24"/>
          <w:szCs w:val="24"/>
          <w:u w:val="single"/>
        </w:rPr>
      </w:pPr>
      <w:r w:rsidRPr="009C13B2">
        <w:rPr>
          <w:rFonts w:ascii="Times New Roman" w:eastAsia="Calibri" w:hAnsi="Times New Roman" w:cs="Times New Roman"/>
          <w:b/>
          <w:sz w:val="24"/>
          <w:szCs w:val="24"/>
          <w:u w:val="single"/>
        </w:rPr>
        <w:lastRenderedPageBreak/>
        <w:t>Platobné služby</w:t>
      </w:r>
    </w:p>
    <w:p w14:paraId="45D546B1" w14:textId="77777777" w:rsidR="00473FA7" w:rsidRPr="009C13B2" w:rsidRDefault="00473FA7" w:rsidP="000378AB">
      <w:pPr>
        <w:spacing w:after="0"/>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color w:val="000000"/>
          <w:sz w:val="24"/>
          <w:szCs w:val="24"/>
        </w:rPr>
        <w:tab/>
      </w:r>
    </w:p>
    <w:p w14:paraId="3985EF5C" w14:textId="22FDA9A7" w:rsidR="0076329B" w:rsidRPr="009C13B2" w:rsidRDefault="00473FA7" w:rsidP="009C13B2">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V oblasti platobných služieb má dôjsť návrhom opatrenia k</w:t>
      </w:r>
      <w:r w:rsidR="00E22B56" w:rsidRPr="009C13B2">
        <w:rPr>
          <w:rFonts w:ascii="Times New Roman" w:eastAsia="Calibri" w:hAnsi="Times New Roman" w:cs="Times New Roman"/>
          <w:bCs/>
          <w:sz w:val="24"/>
          <w:szCs w:val="24"/>
        </w:rPr>
        <w:t xml:space="preserve"> vypusteniu úkonu a poplatku za udelenie predchádzajúceho súhlasu na voľbu alebo vymenovanie osoby navrhovanej za člena dozornej rady platobnej inštitúcie alebo inštitúcie elektronických peňazí (špecifický symbol 8303 - iba v opatrení č. 5/2021)</w:t>
      </w:r>
      <w:r w:rsidR="00945DF4" w:rsidRPr="009C13B2">
        <w:rPr>
          <w:rFonts w:ascii="Times New Roman" w:eastAsia="Calibri" w:hAnsi="Times New Roman" w:cs="Times New Roman"/>
          <w:bCs/>
          <w:sz w:val="24"/>
          <w:szCs w:val="24"/>
        </w:rPr>
        <w:t xml:space="preserve"> s ohľadom na skutočnosť, že predmetný úkon už Národnej banke Slovenska z príslušnej právnej úpravy nevyplýva. </w:t>
      </w:r>
      <w:r w:rsidR="00F8643B" w:rsidRPr="009C13B2">
        <w:rPr>
          <w:rFonts w:ascii="Times New Roman" w:eastAsia="Calibri" w:hAnsi="Times New Roman" w:cs="Times New Roman"/>
          <w:bCs/>
          <w:sz w:val="24"/>
          <w:szCs w:val="24"/>
        </w:rPr>
        <w:t>Národná banka Slovenska s ohľadom na informácie, ktoré má k dispozícii, resp. podľa expertného odhadu, predpokladá, že v prípade nevypustenia vyššie spomenutého úkonu by príslušné subjekty potenciálne podali 4 žiadosti o jeho vykonanie v blízkej budúcnosti, pričom z hľadiska nákladov predpokladá, že vypustenie predmetného úkonu bude mať vplyv na podnikateľské prostredie uvedený v tabuľke č. 2.</w:t>
      </w:r>
    </w:p>
    <w:p w14:paraId="178DD382" w14:textId="77777777" w:rsidR="00F8643B" w:rsidRDefault="00F8643B" w:rsidP="00F8643B">
      <w:pPr>
        <w:spacing w:after="0"/>
        <w:ind w:firstLine="708"/>
        <w:jc w:val="both"/>
        <w:rPr>
          <w:rFonts w:ascii="Times New Roman" w:eastAsia="Calibri" w:hAnsi="Times New Roman" w:cs="Times New Roman"/>
          <w:b/>
          <w:sz w:val="24"/>
          <w:szCs w:val="24"/>
          <w:u w:val="single"/>
        </w:rPr>
      </w:pPr>
    </w:p>
    <w:p w14:paraId="4DBDA399" w14:textId="77777777" w:rsidR="003B6F19" w:rsidRDefault="003B6F19" w:rsidP="00512BA7">
      <w:pPr>
        <w:jc w:val="both"/>
        <w:rPr>
          <w:rFonts w:ascii="Times New Roman" w:eastAsia="Calibri" w:hAnsi="Times New Roman" w:cs="Times New Roman"/>
          <w:b/>
          <w:bCs/>
          <w:i/>
          <w:sz w:val="24"/>
          <w:szCs w:val="24"/>
          <w:u w:val="single"/>
        </w:rPr>
      </w:pPr>
    </w:p>
    <w:p w14:paraId="7088D3E5" w14:textId="77777777" w:rsidR="003B6F19" w:rsidRDefault="003B6F19" w:rsidP="00512BA7">
      <w:pPr>
        <w:jc w:val="both"/>
        <w:rPr>
          <w:rFonts w:ascii="Times New Roman" w:eastAsia="Calibri" w:hAnsi="Times New Roman" w:cs="Times New Roman"/>
          <w:b/>
          <w:bCs/>
          <w:i/>
          <w:sz w:val="24"/>
          <w:szCs w:val="24"/>
          <w:u w:val="single"/>
        </w:rPr>
      </w:pPr>
    </w:p>
    <w:p w14:paraId="0EB298DB" w14:textId="7F3A096F" w:rsidR="00512BA7" w:rsidRPr="009C13B2" w:rsidRDefault="00511F8F" w:rsidP="00512BA7">
      <w:pPr>
        <w:jc w:val="both"/>
        <w:rPr>
          <w:rFonts w:ascii="Times New Roman" w:eastAsia="Calibri" w:hAnsi="Times New Roman" w:cs="Times New Roman"/>
          <w:b/>
          <w:bCs/>
          <w:i/>
          <w:sz w:val="24"/>
          <w:szCs w:val="24"/>
          <w:u w:val="single"/>
        </w:rPr>
      </w:pPr>
      <w:r w:rsidRPr="009C13B2">
        <w:rPr>
          <w:rFonts w:ascii="Times New Roman" w:eastAsia="Calibri" w:hAnsi="Times New Roman" w:cs="Times New Roman"/>
          <w:b/>
          <w:bCs/>
          <w:i/>
          <w:sz w:val="24"/>
          <w:szCs w:val="24"/>
          <w:u w:val="single"/>
        </w:rPr>
        <w:t xml:space="preserve">3.1.4 </w:t>
      </w:r>
      <w:r w:rsidR="001E24E8" w:rsidRPr="009C13B2">
        <w:rPr>
          <w:rFonts w:ascii="Times New Roman" w:eastAsia="Calibri" w:hAnsi="Times New Roman" w:cs="Times New Roman"/>
          <w:b/>
          <w:bCs/>
          <w:i/>
          <w:sz w:val="24"/>
          <w:szCs w:val="24"/>
          <w:u w:val="single"/>
        </w:rPr>
        <w:t>Odôvodnenie</w:t>
      </w:r>
      <w:r w:rsidR="008F6ADE" w:rsidRPr="009C13B2">
        <w:rPr>
          <w:rFonts w:ascii="Times New Roman" w:eastAsia="Calibri" w:hAnsi="Times New Roman" w:cs="Times New Roman"/>
          <w:b/>
          <w:bCs/>
          <w:i/>
          <w:sz w:val="24"/>
          <w:szCs w:val="24"/>
          <w:u w:val="single"/>
        </w:rPr>
        <w:t xml:space="preserve"> goldplating</w:t>
      </w:r>
      <w:r w:rsidR="0016512E" w:rsidRPr="009C13B2">
        <w:rPr>
          <w:rFonts w:ascii="Times New Roman" w:eastAsia="Calibri" w:hAnsi="Times New Roman" w:cs="Times New Roman"/>
          <w:b/>
          <w:bCs/>
          <w:i/>
          <w:sz w:val="24"/>
          <w:szCs w:val="24"/>
          <w:u w:val="single"/>
        </w:rPr>
        <w:t>u</w:t>
      </w:r>
      <w:r w:rsidR="001E24E8" w:rsidRPr="009C13B2">
        <w:rPr>
          <w:rFonts w:ascii="Times New Roman" w:eastAsia="Calibri" w:hAnsi="Times New Roman" w:cs="Times New Roman"/>
          <w:b/>
          <w:bCs/>
          <w:i/>
          <w:sz w:val="24"/>
          <w:szCs w:val="24"/>
          <w:u w:val="single"/>
        </w:rPr>
        <w:t xml:space="preserve"> </w:t>
      </w:r>
      <w:r w:rsidR="008F6ADE" w:rsidRPr="009C13B2">
        <w:rPr>
          <w:rFonts w:ascii="Times New Roman" w:eastAsia="Calibri" w:hAnsi="Times New Roman" w:cs="Times New Roman"/>
          <w:b/>
          <w:bCs/>
          <w:i/>
          <w:sz w:val="24"/>
          <w:szCs w:val="24"/>
          <w:u w:val="single"/>
        </w:rPr>
        <w:t xml:space="preserve">podľa bodu 4 časti III </w:t>
      </w:r>
      <w:r w:rsidR="00FA6FFE" w:rsidRPr="009C13B2">
        <w:rPr>
          <w:rFonts w:ascii="Times New Roman" w:eastAsia="Calibri" w:hAnsi="Times New Roman" w:cs="Times New Roman"/>
          <w:b/>
          <w:bCs/>
          <w:i/>
          <w:sz w:val="24"/>
          <w:szCs w:val="24"/>
          <w:u w:val="single"/>
        </w:rPr>
        <w:t>j</w:t>
      </w:r>
      <w:r w:rsidR="001E24E8" w:rsidRPr="009C13B2">
        <w:rPr>
          <w:rFonts w:ascii="Times New Roman" w:eastAsia="Calibri" w:hAnsi="Times New Roman" w:cs="Times New Roman"/>
          <w:b/>
          <w:bCs/>
          <w:i/>
          <w:sz w:val="24"/>
          <w:szCs w:val="24"/>
          <w:u w:val="single"/>
        </w:rPr>
        <w:t xml:space="preserve">ednotnej metodiky </w:t>
      </w:r>
      <w:r w:rsidR="00400BA5" w:rsidRPr="009C13B2">
        <w:rPr>
          <w:rFonts w:ascii="Times New Roman" w:eastAsia="Calibri" w:hAnsi="Times New Roman" w:cs="Times New Roman"/>
          <w:b/>
          <w:bCs/>
          <w:i/>
          <w:sz w:val="24"/>
          <w:szCs w:val="24"/>
          <w:u w:val="single"/>
        </w:rPr>
        <w:t>a </w:t>
      </w:r>
      <w:r w:rsidR="00B21D1F" w:rsidRPr="009C13B2">
        <w:rPr>
          <w:rFonts w:ascii="Times New Roman" w:eastAsia="Calibri" w:hAnsi="Times New Roman" w:cs="Times New Roman"/>
          <w:b/>
          <w:bCs/>
          <w:i/>
          <w:sz w:val="24"/>
          <w:szCs w:val="24"/>
          <w:u w:val="single"/>
        </w:rPr>
        <w:t>ďalšie</w:t>
      </w:r>
      <w:r w:rsidR="00400BA5" w:rsidRPr="009C13B2">
        <w:rPr>
          <w:rFonts w:ascii="Times New Roman" w:eastAsia="Calibri" w:hAnsi="Times New Roman" w:cs="Times New Roman"/>
          <w:b/>
          <w:bCs/>
          <w:i/>
          <w:sz w:val="24"/>
          <w:szCs w:val="24"/>
          <w:u w:val="single"/>
        </w:rPr>
        <w:t xml:space="preserve"> d</w:t>
      </w:r>
      <w:r w:rsidR="00512BA7" w:rsidRPr="009C13B2">
        <w:rPr>
          <w:rFonts w:ascii="Times New Roman" w:eastAsia="Calibri" w:hAnsi="Times New Roman" w:cs="Times New Roman"/>
          <w:b/>
          <w:bCs/>
          <w:i/>
          <w:sz w:val="24"/>
          <w:szCs w:val="24"/>
          <w:u w:val="single"/>
        </w:rPr>
        <w:t>oplňujúce informácie</w:t>
      </w:r>
      <w:r w:rsidR="00512BA7" w:rsidRPr="009C13B2">
        <w:rPr>
          <w:rStyle w:val="FootnoteReference"/>
          <w:rFonts w:ascii="Times New Roman" w:eastAsia="Calibri" w:hAnsi="Times New Roman" w:cs="Times New Roman"/>
          <w:b/>
          <w:bCs/>
          <w:i/>
          <w:sz w:val="24"/>
          <w:szCs w:val="24"/>
          <w:u w:val="single"/>
        </w:rPr>
        <w:footnoteReference w:id="2"/>
      </w:r>
      <w:r w:rsidR="00512BA7" w:rsidRPr="009C13B2">
        <w:rPr>
          <w:rFonts w:ascii="Times New Roman" w:eastAsia="Calibri" w:hAnsi="Times New Roman" w:cs="Times New Roman"/>
          <w:b/>
          <w:bCs/>
          <w:i/>
          <w:sz w:val="24"/>
          <w:szCs w:val="24"/>
          <w:u w:val="single"/>
        </w:rPr>
        <w:t xml:space="preserve"> </w:t>
      </w:r>
    </w:p>
    <w:p w14:paraId="4BD96D6C" w14:textId="18DFC836" w:rsidR="00024EE4" w:rsidRDefault="00B01196" w:rsidP="00054C41">
      <w:pPr>
        <w:jc w:val="both"/>
        <w:rPr>
          <w:rFonts w:ascii="Times New Roman" w:eastAsia="Calibri" w:hAnsi="Times New Roman" w:cs="Times New Roman"/>
          <w:sz w:val="24"/>
          <w:szCs w:val="24"/>
        </w:rPr>
      </w:pPr>
      <w:r w:rsidRPr="009C13B2">
        <w:rPr>
          <w:rFonts w:ascii="Times New Roman" w:eastAsia="Calibri" w:hAnsi="Times New Roman" w:cs="Times New Roman"/>
          <w:sz w:val="24"/>
          <w:szCs w:val="24"/>
        </w:rPr>
        <w:t>Informácie sa neuvádzajú, nakoľko predkladaným návrhom regulácie sa nevykonáva transpozícia smernice EÚ ani implementácia nariadenia EÚ. Rovnako sa predloženým návrhom neodstraňuje goldplating.</w:t>
      </w:r>
    </w:p>
    <w:p w14:paraId="7D363BBC" w14:textId="77777777" w:rsidR="003B6F19" w:rsidRPr="003B6F19" w:rsidRDefault="003B6F19" w:rsidP="003B6F19">
      <w:pPr>
        <w:spacing w:line="120" w:lineRule="auto"/>
        <w:jc w:val="both"/>
        <w:rPr>
          <w:rFonts w:ascii="Times New Roman" w:eastAsia="Calibri" w:hAnsi="Times New Roman" w:cs="Times New Roman"/>
          <w:sz w:val="24"/>
          <w:szCs w:val="24"/>
        </w:rPr>
      </w:pPr>
    </w:p>
    <w:p w14:paraId="2401593E" w14:textId="79039108" w:rsidR="00365FF0" w:rsidRDefault="00054C41" w:rsidP="003B6F19">
      <w:pPr>
        <w:jc w:val="both"/>
        <w:rPr>
          <w:rFonts w:ascii="Times New Roman" w:eastAsia="Calibri" w:hAnsi="Times New Roman" w:cs="Times New Roman"/>
          <w:b/>
          <w:sz w:val="24"/>
          <w:szCs w:val="24"/>
        </w:rPr>
      </w:pPr>
      <w:r w:rsidRPr="009C13B2">
        <w:rPr>
          <w:rFonts w:ascii="Times New Roman" w:eastAsia="Calibri" w:hAnsi="Times New Roman" w:cs="Times New Roman"/>
          <w:b/>
          <w:sz w:val="24"/>
          <w:szCs w:val="24"/>
        </w:rPr>
        <w:t>3.2 Vyhodnotenie konzultácií s podnikateľskými subjektmi pred predbežným pripomienkovým konaním</w:t>
      </w:r>
    </w:p>
    <w:p w14:paraId="71592AEB" w14:textId="77777777" w:rsidR="003B6F19" w:rsidRPr="003B6F19" w:rsidRDefault="003B6F19" w:rsidP="003B6F19">
      <w:pPr>
        <w:spacing w:line="120" w:lineRule="auto"/>
        <w:jc w:val="both"/>
        <w:rPr>
          <w:rFonts w:ascii="Times New Roman" w:eastAsia="Calibri" w:hAnsi="Times New Roman" w:cs="Times New Roman"/>
          <w:b/>
          <w:sz w:val="24"/>
          <w:szCs w:val="24"/>
        </w:rPr>
      </w:pPr>
    </w:p>
    <w:p w14:paraId="703F3ADD" w14:textId="1AAEABB4" w:rsidR="00365FF0" w:rsidRPr="009C13B2" w:rsidRDefault="00365FF0" w:rsidP="00365FF0">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xml:space="preserve">Verejnosť a návrhom opatrenia potenciálne dotknuté subjekty sa mohli zapojiť do prípravy návrhu opatrenia formou zasielania podnetov k predbežnej informácii k návrhu opatrenia Národnej banky Slovenska z ... 2026 č. .../2026, ktorým sa mení a dopĺňa opatrenie Národnej banky Slovenska z 25. mája 2021 č. 5/2021 o poplatkoch za úkony Národnej banky Slovenska v znení opatrenia z 3. decembra 2024 č. 8/2024 (PI/2026/176), ktorá bola od 23. júla 2026 do 20. augusta 2026 zverejnená na webovom sídle Slov-Lex právny a informačný portál. </w:t>
      </w:r>
    </w:p>
    <w:p w14:paraId="364AD7A2" w14:textId="77777777" w:rsidR="00365FF0" w:rsidRPr="009C13B2" w:rsidRDefault="00365FF0" w:rsidP="00B01196">
      <w:pPr>
        <w:spacing w:after="0"/>
        <w:jc w:val="both"/>
        <w:rPr>
          <w:rFonts w:ascii="Times New Roman" w:eastAsia="Calibri" w:hAnsi="Times New Roman" w:cs="Times New Roman"/>
          <w:iCs/>
          <w:sz w:val="24"/>
          <w:szCs w:val="24"/>
        </w:rPr>
      </w:pPr>
    </w:p>
    <w:p w14:paraId="4B0B8E54" w14:textId="4C35D9AC" w:rsidR="00B01196"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xml:space="preserve">S cieľom umožniť subjektom, ktoré môžu byť návrhom opatrenia potenciálne dotknuté, zapojiť sa v dostatočnom časovom predstihu do jeho prípravy, Národná banka Slovenska elektronickou formou oznámila </w:t>
      </w:r>
      <w:r w:rsidR="00D47D21" w:rsidRPr="009C13B2">
        <w:rPr>
          <w:rFonts w:ascii="Times New Roman" w:eastAsia="Calibri" w:hAnsi="Times New Roman" w:cs="Times New Roman"/>
          <w:iCs/>
          <w:sz w:val="24"/>
          <w:szCs w:val="24"/>
        </w:rPr>
        <w:t xml:space="preserve">(s poukázaním na zverejnenie vyššie spomínanej predbežnej informácie) </w:t>
      </w:r>
      <w:r w:rsidRPr="009C13B2">
        <w:rPr>
          <w:rFonts w:ascii="Times New Roman" w:eastAsia="Calibri" w:hAnsi="Times New Roman" w:cs="Times New Roman"/>
          <w:iCs/>
          <w:sz w:val="24"/>
          <w:szCs w:val="24"/>
        </w:rPr>
        <w:t>svoj zámer začať legislatívny proces týkajúci sa prípravy návrhu opatrenia Národnej banky Slovenska</w:t>
      </w:r>
      <w:r w:rsidR="00B66114" w:rsidRPr="009C13B2">
        <w:rPr>
          <w:rFonts w:ascii="Times New Roman" w:eastAsia="Calibri" w:hAnsi="Times New Roman" w:cs="Times New Roman"/>
          <w:iCs/>
          <w:sz w:val="24"/>
          <w:szCs w:val="24"/>
        </w:rPr>
        <w:t xml:space="preserve"> z ... 2026 č. .../2026, ktorým sa mení a dopĺňa opatrenie Národnej banky Slovenska z 25. mája 2021 č.</w:t>
      </w:r>
      <w:r w:rsidR="0058529E" w:rsidRPr="009C13B2">
        <w:rPr>
          <w:rFonts w:ascii="Times New Roman" w:eastAsia="Calibri" w:hAnsi="Times New Roman" w:cs="Times New Roman"/>
          <w:iCs/>
          <w:sz w:val="24"/>
          <w:szCs w:val="24"/>
        </w:rPr>
        <w:t> </w:t>
      </w:r>
      <w:r w:rsidR="00B66114" w:rsidRPr="009C13B2">
        <w:rPr>
          <w:rFonts w:ascii="Times New Roman" w:eastAsia="Calibri" w:hAnsi="Times New Roman" w:cs="Times New Roman"/>
          <w:iCs/>
          <w:sz w:val="24"/>
          <w:szCs w:val="24"/>
        </w:rPr>
        <w:t>5/2021 o poplatkoch za úkony Národnej banky Slovenska v znení opatrenia z 3. decembra 2024 č. 8/2024</w:t>
      </w:r>
      <w:r w:rsidRPr="009C13B2">
        <w:rPr>
          <w:rFonts w:ascii="Times New Roman" w:eastAsia="Calibri" w:hAnsi="Times New Roman" w:cs="Times New Roman"/>
          <w:iCs/>
          <w:sz w:val="24"/>
          <w:szCs w:val="24"/>
        </w:rPr>
        <w:t xml:space="preserve"> nasledovným subjektom:</w:t>
      </w:r>
    </w:p>
    <w:p w14:paraId="342F6DE0" w14:textId="77777777" w:rsidR="003B6F19" w:rsidRPr="009C13B2" w:rsidRDefault="003B6F19" w:rsidP="00B01196">
      <w:pPr>
        <w:spacing w:after="0"/>
        <w:jc w:val="both"/>
        <w:rPr>
          <w:rFonts w:ascii="Times New Roman" w:eastAsia="Calibri" w:hAnsi="Times New Roman" w:cs="Times New Roman"/>
          <w:iCs/>
          <w:sz w:val="24"/>
          <w:szCs w:val="24"/>
        </w:rPr>
      </w:pPr>
    </w:p>
    <w:p w14:paraId="15601472"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lastRenderedPageBreak/>
        <w:t>- Ministerstvu hospodárstva Slovenskej republiky (na emailovú adresu dolozka@mhsr.sk),</w:t>
      </w:r>
    </w:p>
    <w:p w14:paraId="21FD0A6B"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xml:space="preserve">- Slovenskej bankovej asociácii, </w:t>
      </w:r>
    </w:p>
    <w:p w14:paraId="03857CC6"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xml:space="preserve">- Slovenskej asociácii správcovských spoločností, </w:t>
      </w:r>
    </w:p>
    <w:p w14:paraId="43DFCDA9" w14:textId="08868EE1" w:rsidR="00B01196" w:rsidRPr="009C13B2" w:rsidRDefault="00B01196" w:rsidP="005C37D0">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xml:space="preserve">- Asociácii obchodníkov s cennými papiermi, </w:t>
      </w:r>
    </w:p>
    <w:p w14:paraId="7BE1B42B"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xml:space="preserve">- Slovenskej asociácii finančníkov, </w:t>
      </w:r>
    </w:p>
    <w:p w14:paraId="1CC9C56B"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xml:space="preserve">- Slovenskej asociácii poisťovní, </w:t>
      </w:r>
    </w:p>
    <w:p w14:paraId="03A74DA7"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xml:space="preserve">- Asociácii dôchodkových správcovských spoločností, </w:t>
      </w:r>
    </w:p>
    <w:p w14:paraId="445AA07D"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xml:space="preserve">- Asociácii doplnkových dôchodkových spoločností, </w:t>
      </w:r>
    </w:p>
    <w:p w14:paraId="63CBA450"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Asociácii finančných sprostredkovateľov a finančných poradcov,</w:t>
      </w:r>
    </w:p>
    <w:p w14:paraId="166B8727"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Slovenskej asociácii sprostredkovateľov v poisťovníctve,</w:t>
      </w:r>
    </w:p>
    <w:p w14:paraId="3C48C2A4" w14:textId="77777777" w:rsidR="00F93DF7"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Asociácii slovenských inkasných spoločností,</w:t>
      </w:r>
    </w:p>
    <w:p w14:paraId="6197AD2B" w14:textId="5290DA13" w:rsidR="00F93DF7" w:rsidRPr="009C13B2" w:rsidRDefault="00F93DF7" w:rsidP="00F93DF7">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Asociáci</w:t>
      </w:r>
      <w:r w:rsidR="00235569" w:rsidRPr="009C13B2">
        <w:rPr>
          <w:rFonts w:ascii="Times New Roman" w:eastAsia="Calibri" w:hAnsi="Times New Roman" w:cs="Times New Roman"/>
          <w:iCs/>
          <w:sz w:val="24"/>
          <w:szCs w:val="24"/>
        </w:rPr>
        <w:t>i</w:t>
      </w:r>
      <w:r w:rsidRPr="009C13B2">
        <w:rPr>
          <w:rFonts w:ascii="Times New Roman" w:eastAsia="Calibri" w:hAnsi="Times New Roman" w:cs="Times New Roman"/>
          <w:iCs/>
          <w:sz w:val="24"/>
          <w:szCs w:val="24"/>
        </w:rPr>
        <w:t xml:space="preserve"> leasingových spoločností Slovenskej republiky</w:t>
      </w:r>
      <w:r w:rsidR="00235569" w:rsidRPr="009C13B2">
        <w:rPr>
          <w:rFonts w:ascii="Times New Roman" w:eastAsia="Calibri" w:hAnsi="Times New Roman" w:cs="Times New Roman"/>
          <w:iCs/>
          <w:sz w:val="24"/>
          <w:szCs w:val="24"/>
        </w:rPr>
        <w:t>,</w:t>
      </w:r>
      <w:r w:rsidRPr="009C13B2">
        <w:rPr>
          <w:rFonts w:ascii="Times New Roman" w:eastAsia="Calibri" w:hAnsi="Times New Roman" w:cs="Times New Roman"/>
          <w:iCs/>
          <w:sz w:val="24"/>
          <w:szCs w:val="24"/>
        </w:rPr>
        <w:tab/>
      </w:r>
    </w:p>
    <w:p w14:paraId="6922F806" w14:textId="327CB617" w:rsidR="00B01196" w:rsidRPr="009C13B2" w:rsidRDefault="00F93DF7" w:rsidP="00F93DF7">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Asociáci</w:t>
      </w:r>
      <w:r w:rsidR="00235569" w:rsidRPr="009C13B2">
        <w:rPr>
          <w:rFonts w:ascii="Times New Roman" w:eastAsia="Calibri" w:hAnsi="Times New Roman" w:cs="Times New Roman"/>
          <w:iCs/>
          <w:sz w:val="24"/>
          <w:szCs w:val="24"/>
        </w:rPr>
        <w:t>i</w:t>
      </w:r>
      <w:r w:rsidRPr="009C13B2">
        <w:rPr>
          <w:rFonts w:ascii="Times New Roman" w:eastAsia="Calibri" w:hAnsi="Times New Roman" w:cs="Times New Roman"/>
          <w:iCs/>
          <w:sz w:val="24"/>
          <w:szCs w:val="24"/>
        </w:rPr>
        <w:t xml:space="preserve"> mobilných operátorov Slovenska</w:t>
      </w:r>
      <w:r w:rsidR="00235569" w:rsidRPr="009C13B2">
        <w:rPr>
          <w:rFonts w:ascii="Times New Roman" w:eastAsia="Calibri" w:hAnsi="Times New Roman" w:cs="Times New Roman"/>
          <w:iCs/>
          <w:sz w:val="24"/>
          <w:szCs w:val="24"/>
        </w:rPr>
        <w:t>,</w:t>
      </w:r>
    </w:p>
    <w:p w14:paraId="7D91E68D"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Slovenskej FinTech asociácii,</w:t>
      </w:r>
    </w:p>
    <w:p w14:paraId="20116D5C" w14:textId="17707DBB" w:rsidR="00B01196" w:rsidRPr="009C13B2" w:rsidRDefault="00B01196" w:rsidP="00054C41">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 Fintech &amp; Insurtech Asociácii Slovenska.</w:t>
      </w:r>
    </w:p>
    <w:p w14:paraId="7102A5F2" w14:textId="77777777" w:rsidR="00B01196" w:rsidRPr="009C13B2" w:rsidRDefault="00B01196" w:rsidP="00B01196">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Národná banka Slovenska informovala spomínané subjekty o možnosti predkladať k návrhu opatrenia (už v počiatočnej fáze jeho prípravy) podnety, resp. pripomienky.</w:t>
      </w:r>
    </w:p>
    <w:p w14:paraId="0DA516C6" w14:textId="77777777" w:rsidR="00B01196" w:rsidRPr="009C13B2" w:rsidRDefault="00B01196" w:rsidP="00B01196">
      <w:pPr>
        <w:spacing w:after="0"/>
        <w:jc w:val="both"/>
        <w:rPr>
          <w:rFonts w:ascii="Times New Roman" w:eastAsia="Calibri" w:hAnsi="Times New Roman" w:cs="Times New Roman"/>
          <w:iCs/>
          <w:sz w:val="24"/>
          <w:szCs w:val="24"/>
          <w:highlight w:val="green"/>
        </w:rPr>
      </w:pPr>
    </w:p>
    <w:p w14:paraId="7F24BFEC" w14:textId="7EB0F5E5" w:rsidR="00ED5143" w:rsidRPr="009C13B2" w:rsidRDefault="00ED5143" w:rsidP="00ED5143">
      <w:pPr>
        <w:spacing w:after="0"/>
        <w:jc w:val="both"/>
        <w:rPr>
          <w:rFonts w:ascii="Times New Roman" w:eastAsia="Calibri" w:hAnsi="Times New Roman" w:cs="Times New Roman"/>
          <w:iCs/>
          <w:sz w:val="24"/>
          <w:szCs w:val="24"/>
        </w:rPr>
      </w:pPr>
      <w:r w:rsidRPr="009C13B2">
        <w:rPr>
          <w:rFonts w:ascii="Times New Roman" w:eastAsia="Calibri" w:hAnsi="Times New Roman" w:cs="Times New Roman"/>
          <w:iCs/>
          <w:sz w:val="24"/>
          <w:szCs w:val="24"/>
        </w:rPr>
        <w:t>K návrhu opatrenia neboli zo strany verejnosti ani zo strany vyššie spomínaných subjektov predložené žiadne podnety.</w:t>
      </w:r>
    </w:p>
    <w:p w14:paraId="08FCAD96" w14:textId="77777777" w:rsidR="00054C41" w:rsidRPr="009C13B2" w:rsidRDefault="00054C41" w:rsidP="00054C41">
      <w:pPr>
        <w:spacing w:after="0"/>
        <w:jc w:val="both"/>
        <w:rPr>
          <w:rFonts w:ascii="Times New Roman" w:eastAsia="Calibri" w:hAnsi="Times New Roman" w:cs="Times New Roman"/>
          <w:iCs/>
          <w:sz w:val="24"/>
          <w:szCs w:val="24"/>
        </w:rPr>
      </w:pPr>
    </w:p>
    <w:p w14:paraId="6BAAACD9" w14:textId="77777777" w:rsidR="00ED5143" w:rsidRPr="009C13B2" w:rsidRDefault="00ED5143" w:rsidP="00054C41">
      <w:pPr>
        <w:spacing w:after="0"/>
        <w:jc w:val="both"/>
        <w:rPr>
          <w:rFonts w:ascii="Times New Roman" w:eastAsia="Calibri" w:hAnsi="Times New Roman" w:cs="Times New Roman"/>
          <w:i/>
          <w:sz w:val="24"/>
          <w:szCs w:val="24"/>
        </w:rPr>
      </w:pPr>
    </w:p>
    <w:p w14:paraId="609C066C" w14:textId="77777777" w:rsidR="00054C41" w:rsidRPr="009C13B2" w:rsidRDefault="00054C41" w:rsidP="00054C41">
      <w:pPr>
        <w:jc w:val="both"/>
        <w:rPr>
          <w:rFonts w:ascii="Times New Roman" w:eastAsia="Calibri" w:hAnsi="Times New Roman" w:cs="Times New Roman"/>
          <w:b/>
          <w:sz w:val="24"/>
          <w:szCs w:val="24"/>
        </w:rPr>
      </w:pPr>
      <w:bookmarkStart w:id="0" w:name="_Hlk47698091"/>
      <w:r w:rsidRPr="009C13B2">
        <w:rPr>
          <w:rFonts w:ascii="Times New Roman" w:eastAsia="Calibri" w:hAnsi="Times New Roman" w:cs="Times New Roman"/>
          <w:b/>
          <w:sz w:val="24"/>
          <w:szCs w:val="24"/>
        </w:rPr>
        <w:t>3.3 Vplyvy na konkurencieschopnosť a produktivitu</w:t>
      </w:r>
    </w:p>
    <w:bookmarkEnd w:id="0"/>
    <w:p w14:paraId="4BA196DC" w14:textId="77777777" w:rsidR="00B01196" w:rsidRPr="009C13B2" w:rsidRDefault="00B01196" w:rsidP="00B01196">
      <w:pPr>
        <w:spacing w:after="0" w:line="240" w:lineRule="auto"/>
        <w:jc w:val="both"/>
        <w:rPr>
          <w:rFonts w:ascii="Times New Roman" w:eastAsia="Calibri" w:hAnsi="Times New Roman" w:cs="Times New Roman"/>
          <w:iCs/>
          <w:sz w:val="24"/>
          <w:szCs w:val="24"/>
          <w:lang w:eastAsia="sk-SK"/>
        </w:rPr>
      </w:pPr>
      <w:r w:rsidRPr="009C13B2">
        <w:rPr>
          <w:rFonts w:ascii="Times New Roman" w:eastAsia="Calibri" w:hAnsi="Times New Roman" w:cs="Times New Roman"/>
          <w:iCs/>
          <w:sz w:val="24"/>
          <w:szCs w:val="24"/>
          <w:lang w:eastAsia="sk-SK"/>
        </w:rPr>
        <w:t>Návrh opatrenia z vecného hľadiska, ako aj z hľadiska finančného zaťaženia, jednotne ovplyvňuje všetky dohliadané subjekty určitého druhu (t. j. subjekty, na ktoré sa viažu tie isté charakteristické skutočnosti), a teda, z tohto dôvodu, nenarúša konkurenčné prostredie. Nemá vplyv na cezhraničné investície, prístup k základným zdrojom, inovácie, vedu, výskum ani postavenie slovenského podnikateľského prostredia v medzinárodnej konkurencii.</w:t>
      </w:r>
    </w:p>
    <w:p w14:paraId="78681465" w14:textId="77777777" w:rsidR="00054C41" w:rsidRPr="009C13B2" w:rsidRDefault="00054C41" w:rsidP="00054C41">
      <w:pPr>
        <w:spacing w:after="0"/>
        <w:jc w:val="both"/>
        <w:rPr>
          <w:rFonts w:ascii="Times New Roman" w:eastAsia="Calibri" w:hAnsi="Times New Roman" w:cs="Times New Roman"/>
          <w:i/>
          <w:sz w:val="24"/>
          <w:szCs w:val="24"/>
        </w:rPr>
      </w:pPr>
    </w:p>
    <w:p w14:paraId="4BE35CB4" w14:textId="77777777" w:rsidR="00054C41" w:rsidRPr="009C13B2" w:rsidRDefault="00054C41" w:rsidP="00054C41">
      <w:pPr>
        <w:spacing w:after="0"/>
        <w:jc w:val="both"/>
        <w:rPr>
          <w:rFonts w:ascii="Times New Roman" w:eastAsia="Calibri" w:hAnsi="Times New Roman" w:cs="Times New Roman"/>
          <w:b/>
          <w:i/>
          <w:sz w:val="24"/>
          <w:szCs w:val="24"/>
        </w:rPr>
      </w:pPr>
      <w:r w:rsidRPr="009C13B2">
        <w:rPr>
          <w:rFonts w:ascii="Times New Roman" w:eastAsia="Calibri" w:hAnsi="Times New Roman" w:cs="Times New Roman"/>
          <w:b/>
          <w:i/>
          <w:sz w:val="24"/>
          <w:szCs w:val="24"/>
        </w:rPr>
        <w:t>Konkurencieschopnosť:</w:t>
      </w:r>
    </w:p>
    <w:p w14:paraId="6C684286" w14:textId="77777777" w:rsidR="00054C41" w:rsidRPr="009C13B2" w:rsidRDefault="00054C41" w:rsidP="00054C41">
      <w:pPr>
        <w:spacing w:after="0"/>
        <w:jc w:val="both"/>
        <w:rPr>
          <w:rFonts w:ascii="Times New Roman" w:eastAsia="Calibri" w:hAnsi="Times New Roman" w:cs="Times New Roman"/>
          <w:i/>
          <w:sz w:val="24"/>
          <w:szCs w:val="24"/>
        </w:rPr>
      </w:pPr>
      <w:r w:rsidRPr="009C13B2">
        <w:rPr>
          <w:rFonts w:ascii="Times New Roman" w:eastAsia="Calibri" w:hAnsi="Times New Roman" w:cs="Times New Roman"/>
          <w:i/>
          <w:sz w:val="24"/>
          <w:szCs w:val="24"/>
        </w:rPr>
        <w:t>Na základe uvedených odpovedí zaškrtnite a popíšte, či materiál konkurencieschopnosť:</w:t>
      </w:r>
    </w:p>
    <w:p w14:paraId="76CD0669" w14:textId="42EE4DB5" w:rsidR="00054C41" w:rsidRPr="009C13B2"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054C41" w:rsidRPr="009C13B2">
                <w:rPr>
                  <w:rFonts w:ascii="Segoe UI Symbol" w:eastAsia="Calibri" w:hAnsi="Segoe UI Symbol" w:cs="Segoe UI Symbol"/>
                  <w:i/>
                  <w:sz w:val="24"/>
                  <w:szCs w:val="24"/>
                </w:rPr>
                <w:t>☐</w:t>
              </w:r>
            </w:sdtContent>
          </w:sdt>
        </w:sdtContent>
      </w:sdt>
      <w:r w:rsidR="00054C41" w:rsidRPr="009C13B2">
        <w:rPr>
          <w:rFonts w:ascii="Times New Roman" w:eastAsia="Calibri" w:hAnsi="Times New Roman" w:cs="Times New Roman"/>
          <w:i/>
          <w:sz w:val="24"/>
          <w:szCs w:val="24"/>
        </w:rPr>
        <w:t xml:space="preserve"> zvyšuje  </w:t>
      </w:r>
      <w:r w:rsidR="00054C41" w:rsidRPr="009C13B2">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sdt>
                <w:sdtPr>
                  <w:rPr>
                    <w:rFonts w:ascii="Times New Roman" w:eastAsia="Calibri" w:hAnsi="Times New Roman" w:cs="Times New Roman"/>
                    <w:i/>
                    <w:sz w:val="24"/>
                    <w:szCs w:val="24"/>
                  </w:rPr>
                  <w:id w:val="-401982054"/>
                </w:sdtPr>
                <w:sdtContent>
                  <w:sdt>
                    <w:sdtPr>
                      <w:rPr>
                        <w:rFonts w:ascii="Times New Roman" w:eastAsia="Calibri" w:hAnsi="Times New Roman" w:cs="Times New Roman"/>
                        <w:iCs/>
                      </w:rPr>
                      <w:id w:val="-990720567"/>
                    </w:sdtPr>
                    <w:sdtContent>
                      <w:r w:rsidR="00B01196" w:rsidRPr="009C13B2">
                        <w:rPr>
                          <w:rFonts w:ascii="Segoe UI Symbol" w:eastAsia="Calibri" w:hAnsi="Segoe UI Symbol" w:cs="Segoe UI Symbol"/>
                          <w:i/>
                        </w:rPr>
                        <w:t>☒</w:t>
                      </w:r>
                    </w:sdtContent>
                  </w:sdt>
                </w:sdtContent>
              </w:sdt>
            </w:sdtContent>
          </w:sdt>
        </w:sdtContent>
      </w:sdt>
      <w:r w:rsidR="00054C41" w:rsidRPr="009C13B2">
        <w:rPr>
          <w:rFonts w:ascii="Times New Roman" w:eastAsia="Calibri" w:hAnsi="Times New Roman" w:cs="Times New Roman"/>
          <w:i/>
          <w:sz w:val="24"/>
          <w:szCs w:val="24"/>
        </w:rPr>
        <w:t xml:space="preserve"> nemení</w:t>
      </w:r>
      <w:r w:rsidR="00054C41" w:rsidRPr="009C13B2">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9C13B2">
                <w:rPr>
                  <w:rFonts w:ascii="Segoe UI Symbol" w:eastAsia="Calibri" w:hAnsi="Segoe UI Symbol" w:cs="Segoe UI Symbol"/>
                  <w:i/>
                  <w:sz w:val="24"/>
                  <w:szCs w:val="24"/>
                </w:rPr>
                <w:t>☐</w:t>
              </w:r>
            </w:sdtContent>
          </w:sdt>
        </w:sdtContent>
      </w:sdt>
      <w:r w:rsidR="00054C41" w:rsidRPr="009C13B2">
        <w:rPr>
          <w:rFonts w:ascii="Times New Roman" w:eastAsia="Calibri" w:hAnsi="Times New Roman" w:cs="Times New Roman"/>
          <w:i/>
          <w:sz w:val="24"/>
          <w:szCs w:val="24"/>
        </w:rPr>
        <w:t xml:space="preserve"> znižuje</w:t>
      </w:r>
    </w:p>
    <w:p w14:paraId="327BF48A" w14:textId="77777777" w:rsidR="00054C41" w:rsidRPr="009C13B2" w:rsidRDefault="00054C41" w:rsidP="00054C41">
      <w:pPr>
        <w:spacing w:after="0"/>
        <w:jc w:val="both"/>
        <w:rPr>
          <w:rFonts w:ascii="Times New Roman" w:eastAsia="Calibri" w:hAnsi="Times New Roman" w:cs="Times New Roman"/>
          <w:i/>
          <w:sz w:val="24"/>
          <w:szCs w:val="24"/>
        </w:rPr>
      </w:pPr>
    </w:p>
    <w:p w14:paraId="5861187D" w14:textId="77777777" w:rsidR="00054C41" w:rsidRPr="009C13B2" w:rsidRDefault="00054C41" w:rsidP="00054C41">
      <w:pPr>
        <w:spacing w:after="0"/>
        <w:jc w:val="both"/>
        <w:rPr>
          <w:rFonts w:ascii="Times New Roman" w:eastAsia="Calibri" w:hAnsi="Times New Roman" w:cs="Times New Roman"/>
          <w:b/>
          <w:i/>
          <w:sz w:val="24"/>
          <w:szCs w:val="24"/>
        </w:rPr>
      </w:pPr>
      <w:r w:rsidRPr="009C13B2">
        <w:rPr>
          <w:rFonts w:ascii="Times New Roman" w:eastAsia="Calibri" w:hAnsi="Times New Roman" w:cs="Times New Roman"/>
          <w:b/>
          <w:i/>
          <w:sz w:val="24"/>
          <w:szCs w:val="24"/>
        </w:rPr>
        <w:t>Produktivita:</w:t>
      </w:r>
    </w:p>
    <w:p w14:paraId="1FF562C2" w14:textId="77777777" w:rsidR="00054C41" w:rsidRPr="009C13B2" w:rsidRDefault="00054C41" w:rsidP="00054C41">
      <w:pPr>
        <w:spacing w:after="0"/>
        <w:jc w:val="both"/>
        <w:rPr>
          <w:rFonts w:ascii="Times New Roman" w:eastAsia="Calibri" w:hAnsi="Times New Roman" w:cs="Times New Roman"/>
          <w:i/>
          <w:sz w:val="24"/>
          <w:szCs w:val="24"/>
        </w:rPr>
      </w:pPr>
      <w:r w:rsidRPr="009C13B2">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9C13B2" w:rsidRDefault="00054C41" w:rsidP="00054C41">
      <w:pPr>
        <w:spacing w:after="0"/>
        <w:jc w:val="both"/>
        <w:rPr>
          <w:rFonts w:ascii="Times New Roman" w:eastAsia="Calibri" w:hAnsi="Times New Roman" w:cs="Times New Roman"/>
          <w:i/>
          <w:sz w:val="24"/>
          <w:szCs w:val="24"/>
        </w:rPr>
      </w:pPr>
    </w:p>
    <w:p w14:paraId="0B272ABF" w14:textId="77777777" w:rsidR="00054C41" w:rsidRPr="009C13B2" w:rsidRDefault="00054C41" w:rsidP="00054C41">
      <w:pPr>
        <w:spacing w:after="0"/>
        <w:jc w:val="both"/>
        <w:rPr>
          <w:rFonts w:ascii="Times New Roman" w:eastAsia="Calibri" w:hAnsi="Times New Roman" w:cs="Times New Roman"/>
          <w:i/>
          <w:sz w:val="24"/>
          <w:szCs w:val="24"/>
        </w:rPr>
      </w:pPr>
      <w:r w:rsidRPr="009C13B2">
        <w:rPr>
          <w:rFonts w:ascii="Times New Roman" w:eastAsia="Calibri" w:hAnsi="Times New Roman" w:cs="Times New Roman"/>
          <w:i/>
          <w:sz w:val="24"/>
          <w:szCs w:val="24"/>
        </w:rPr>
        <w:t>Na základe uvedenej odpovede zaškrtnite a popíšte, či materiál produktivitu:</w:t>
      </w:r>
    </w:p>
    <w:p w14:paraId="789FA80A" w14:textId="59B67741" w:rsidR="00054C41" w:rsidRPr="009C13B2"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9C13B2">
                <w:rPr>
                  <w:rFonts w:ascii="Segoe UI Symbol" w:eastAsia="Calibri" w:hAnsi="Segoe UI Symbol" w:cs="Segoe UI Symbol"/>
                  <w:i/>
                  <w:sz w:val="24"/>
                  <w:szCs w:val="24"/>
                </w:rPr>
                <w:t>☐</w:t>
              </w:r>
            </w:sdtContent>
          </w:sdt>
        </w:sdtContent>
      </w:sdt>
      <w:r w:rsidR="00054C41" w:rsidRPr="009C13B2">
        <w:rPr>
          <w:rFonts w:ascii="Times New Roman" w:eastAsia="Calibri" w:hAnsi="Times New Roman" w:cs="Times New Roman"/>
          <w:i/>
          <w:sz w:val="24"/>
          <w:szCs w:val="24"/>
        </w:rPr>
        <w:t xml:space="preserve"> zvyšuje  </w:t>
      </w:r>
      <w:r w:rsidR="00054C41" w:rsidRPr="009C13B2">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362709763"/>
            </w:sdtPr>
            <w:sdtContent>
              <w:sdt>
                <w:sdtPr>
                  <w:rPr>
                    <w:rFonts w:ascii="Times New Roman" w:eastAsia="Calibri" w:hAnsi="Times New Roman" w:cs="Times New Roman"/>
                    <w:iCs/>
                  </w:rPr>
                  <w:id w:val="-1141803737"/>
                </w:sdtPr>
                <w:sdtContent>
                  <w:r w:rsidR="00B01196" w:rsidRPr="009C13B2">
                    <w:rPr>
                      <w:rFonts w:ascii="Segoe UI Symbol" w:eastAsia="Calibri" w:hAnsi="Segoe UI Symbol" w:cs="Segoe UI Symbol"/>
                      <w:i/>
                    </w:rPr>
                    <w:t>☒</w:t>
                  </w:r>
                </w:sdtContent>
              </w:sdt>
            </w:sdtContent>
          </w:sdt>
        </w:sdtContent>
      </w:sdt>
      <w:r w:rsidR="00054C41" w:rsidRPr="009C13B2">
        <w:rPr>
          <w:rFonts w:ascii="Times New Roman" w:eastAsia="Calibri" w:hAnsi="Times New Roman" w:cs="Times New Roman"/>
          <w:i/>
          <w:sz w:val="24"/>
          <w:szCs w:val="24"/>
        </w:rPr>
        <w:t xml:space="preserve"> nemení</w:t>
      </w:r>
      <w:r w:rsidR="00054C41" w:rsidRPr="009C13B2">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9C13B2">
                <w:rPr>
                  <w:rFonts w:ascii="Segoe UI Symbol" w:eastAsia="Calibri" w:hAnsi="Segoe UI Symbol" w:cs="Segoe UI Symbol"/>
                  <w:i/>
                  <w:sz w:val="24"/>
                  <w:szCs w:val="24"/>
                </w:rPr>
                <w:t>☐</w:t>
              </w:r>
            </w:sdtContent>
          </w:sdt>
        </w:sdtContent>
      </w:sdt>
      <w:r w:rsidR="00054C41" w:rsidRPr="009C13B2">
        <w:rPr>
          <w:rFonts w:ascii="Times New Roman" w:eastAsia="Calibri" w:hAnsi="Times New Roman" w:cs="Times New Roman"/>
          <w:i/>
          <w:sz w:val="24"/>
          <w:szCs w:val="24"/>
        </w:rPr>
        <w:t xml:space="preserve"> znižuje</w:t>
      </w:r>
    </w:p>
    <w:p w14:paraId="1FFE92DA" w14:textId="77777777" w:rsidR="00054C41" w:rsidRPr="009C13B2" w:rsidRDefault="00054C41" w:rsidP="00054C41">
      <w:pPr>
        <w:spacing w:after="0"/>
        <w:jc w:val="both"/>
        <w:rPr>
          <w:rFonts w:ascii="Times New Roman" w:eastAsia="Calibri" w:hAnsi="Times New Roman" w:cs="Times New Roman"/>
          <w:i/>
          <w:sz w:val="24"/>
          <w:szCs w:val="24"/>
        </w:rPr>
      </w:pPr>
    </w:p>
    <w:p w14:paraId="3814BF91" w14:textId="77777777" w:rsidR="00E30D85" w:rsidRPr="009C13B2" w:rsidRDefault="00E30D85" w:rsidP="00054C41">
      <w:pPr>
        <w:spacing w:after="0"/>
        <w:jc w:val="both"/>
        <w:rPr>
          <w:rFonts w:ascii="Times New Roman" w:eastAsia="Calibri" w:hAnsi="Times New Roman" w:cs="Times New Roman"/>
          <w:i/>
          <w:sz w:val="24"/>
          <w:szCs w:val="24"/>
        </w:rPr>
      </w:pPr>
    </w:p>
    <w:p w14:paraId="749AF5B8" w14:textId="77D17998" w:rsidR="00B40FEE" w:rsidRPr="009C13B2" w:rsidRDefault="00054C41" w:rsidP="00B40FEE">
      <w:pPr>
        <w:jc w:val="both"/>
        <w:rPr>
          <w:rFonts w:ascii="Times New Roman" w:eastAsia="Calibri" w:hAnsi="Times New Roman" w:cs="Times New Roman"/>
          <w:b/>
          <w:sz w:val="24"/>
          <w:szCs w:val="24"/>
        </w:rPr>
      </w:pPr>
      <w:r w:rsidRPr="009C13B2">
        <w:rPr>
          <w:rFonts w:ascii="Times New Roman" w:eastAsia="Calibri" w:hAnsi="Times New Roman" w:cs="Times New Roman"/>
          <w:b/>
          <w:sz w:val="24"/>
          <w:szCs w:val="24"/>
        </w:rPr>
        <w:t xml:space="preserve">3.4  Iné vplyvy na podnikateľské prostredie </w:t>
      </w:r>
    </w:p>
    <w:p w14:paraId="19BF9916" w14:textId="607FF3EB" w:rsidR="006128DE" w:rsidRPr="009C13B2" w:rsidRDefault="00E56E0E" w:rsidP="00E56E0E">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Viaceré novelizačné úpravy v návrhu opatrenia majú iba charakter formulačných zmien v textácii už spoplatnených úkonov Národnej banky Slovenska</w:t>
      </w:r>
      <w:r w:rsidR="00F63596" w:rsidRPr="009C13B2">
        <w:rPr>
          <w:rFonts w:ascii="Times New Roman" w:eastAsia="Calibri" w:hAnsi="Times New Roman" w:cs="Times New Roman"/>
          <w:bCs/>
          <w:sz w:val="24"/>
          <w:szCs w:val="24"/>
        </w:rPr>
        <w:t>. Ide napr. o úpravu v časti 1 položke 1 písm. f) prílohy k opatreniu č. 5/2021 (nahradenie slov „interných modelov“ slovami „alternatívnych interných modelov“</w:t>
      </w:r>
      <w:r w:rsidR="006C17B5" w:rsidRPr="009C13B2">
        <w:rPr>
          <w:rFonts w:ascii="Times New Roman" w:eastAsia="Calibri" w:hAnsi="Times New Roman" w:cs="Times New Roman"/>
          <w:bCs/>
          <w:sz w:val="24"/>
          <w:szCs w:val="24"/>
        </w:rPr>
        <w:t xml:space="preserve"> – špecifický symbol 1109</w:t>
      </w:r>
      <w:r w:rsidR="00F63596" w:rsidRPr="009C13B2">
        <w:rPr>
          <w:rFonts w:ascii="Times New Roman" w:eastAsia="Calibri" w:hAnsi="Times New Roman" w:cs="Times New Roman"/>
          <w:bCs/>
          <w:sz w:val="24"/>
          <w:szCs w:val="24"/>
        </w:rPr>
        <w:t xml:space="preserve">), ako aj </w:t>
      </w:r>
      <w:r w:rsidR="00D83316" w:rsidRPr="009C13B2">
        <w:rPr>
          <w:rFonts w:ascii="Times New Roman" w:eastAsia="Calibri" w:hAnsi="Times New Roman" w:cs="Times New Roman"/>
          <w:bCs/>
          <w:sz w:val="24"/>
          <w:szCs w:val="24"/>
        </w:rPr>
        <w:t xml:space="preserve">úpravu v časti 6 položke </w:t>
      </w:r>
      <w:r w:rsidR="00D83316" w:rsidRPr="009C13B2">
        <w:rPr>
          <w:rFonts w:ascii="Times New Roman" w:eastAsia="Calibri" w:hAnsi="Times New Roman" w:cs="Times New Roman"/>
          <w:bCs/>
          <w:sz w:val="24"/>
          <w:szCs w:val="24"/>
        </w:rPr>
        <w:lastRenderedPageBreak/>
        <w:t>3 písm. d) prílohy k opatreniu č. 5/2021</w:t>
      </w:r>
      <w:r w:rsidR="005E786E">
        <w:rPr>
          <w:rFonts w:ascii="Times New Roman" w:eastAsia="Calibri" w:hAnsi="Times New Roman" w:cs="Times New Roman"/>
          <w:bCs/>
          <w:sz w:val="24"/>
          <w:szCs w:val="24"/>
        </w:rPr>
        <w:t xml:space="preserve"> </w:t>
      </w:r>
      <w:r w:rsidR="00D83316" w:rsidRPr="009C13B2">
        <w:rPr>
          <w:rFonts w:ascii="Times New Roman" w:eastAsia="Calibri" w:hAnsi="Times New Roman" w:cs="Times New Roman"/>
          <w:bCs/>
          <w:sz w:val="24"/>
          <w:szCs w:val="24"/>
        </w:rPr>
        <w:t>(</w:t>
      </w:r>
      <w:r w:rsidR="00265150" w:rsidRPr="009C13B2">
        <w:rPr>
          <w:rFonts w:ascii="Times New Roman" w:eastAsia="Calibri" w:hAnsi="Times New Roman" w:cs="Times New Roman"/>
          <w:bCs/>
          <w:sz w:val="24"/>
          <w:szCs w:val="24"/>
        </w:rPr>
        <w:t>vypustenie slov „alebo iného veriteľa“</w:t>
      </w:r>
      <w:r w:rsidR="00D83316" w:rsidRPr="009C13B2">
        <w:rPr>
          <w:rFonts w:ascii="Times New Roman" w:eastAsia="Calibri" w:hAnsi="Times New Roman" w:cs="Times New Roman"/>
          <w:bCs/>
          <w:sz w:val="24"/>
          <w:szCs w:val="24"/>
        </w:rPr>
        <w:t xml:space="preserve"> – špecifický symbol 6304)</w:t>
      </w:r>
      <w:r w:rsidR="00265150" w:rsidRPr="009C13B2">
        <w:rPr>
          <w:rFonts w:ascii="Times New Roman" w:eastAsia="Calibri" w:hAnsi="Times New Roman" w:cs="Times New Roman"/>
          <w:bCs/>
          <w:sz w:val="24"/>
          <w:szCs w:val="24"/>
        </w:rPr>
        <w:t>.</w:t>
      </w:r>
    </w:p>
    <w:p w14:paraId="63C7A98F" w14:textId="77777777" w:rsidR="00627963" w:rsidRDefault="006128DE" w:rsidP="00E56E0E">
      <w:pPr>
        <w:spacing w:after="0"/>
        <w:jc w:val="both"/>
        <w:rPr>
          <w:rFonts w:ascii="Times New Roman" w:eastAsia="Calibri" w:hAnsi="Times New Roman" w:cs="Times New Roman"/>
          <w:bCs/>
          <w:sz w:val="24"/>
          <w:szCs w:val="24"/>
        </w:rPr>
      </w:pPr>
      <w:r w:rsidRPr="009C13B2">
        <w:rPr>
          <w:rFonts w:ascii="Times New Roman" w:eastAsia="Calibri" w:hAnsi="Times New Roman" w:cs="Times New Roman"/>
          <w:bCs/>
          <w:sz w:val="24"/>
          <w:szCs w:val="24"/>
        </w:rPr>
        <w:t>Niektoré novelizačné úpravy v návrhu opatrenia majú charakter</w:t>
      </w:r>
      <w:r w:rsidR="00E56E0E" w:rsidRPr="009C13B2">
        <w:rPr>
          <w:rFonts w:ascii="Times New Roman" w:eastAsia="Calibri" w:hAnsi="Times New Roman" w:cs="Times New Roman"/>
          <w:bCs/>
          <w:sz w:val="24"/>
          <w:szCs w:val="24"/>
        </w:rPr>
        <w:t xml:space="preserve"> legislatívno-technických úprav (napr. aktualizácia poznámky pod čiarou tak, aby odkazovala na iné ustanovenie právneho predpisu, resp. iný právny predpis</w:t>
      </w:r>
      <w:r w:rsidR="00265150" w:rsidRPr="009C13B2">
        <w:rPr>
          <w:rFonts w:ascii="Times New Roman" w:eastAsia="Calibri" w:hAnsi="Times New Roman" w:cs="Times New Roman"/>
          <w:bCs/>
          <w:sz w:val="24"/>
          <w:szCs w:val="24"/>
        </w:rPr>
        <w:t>, ako aj zavedenie legislatívnej skratky v rámci iného úkonu, resp. zmeny označenia písmen v rámci príslušných položiek v prílohe k opatreniu č. 5/2021</w:t>
      </w:r>
      <w:r w:rsidR="00E56E0E" w:rsidRPr="009C13B2">
        <w:rPr>
          <w:rFonts w:ascii="Times New Roman" w:eastAsia="Calibri" w:hAnsi="Times New Roman" w:cs="Times New Roman"/>
          <w:bCs/>
          <w:sz w:val="24"/>
          <w:szCs w:val="24"/>
        </w:rPr>
        <w:t xml:space="preserve">). </w:t>
      </w:r>
    </w:p>
    <w:p w14:paraId="68717C59" w14:textId="77777777" w:rsidR="00627963" w:rsidRDefault="00627963" w:rsidP="00E56E0E">
      <w:pPr>
        <w:spacing w:after="0"/>
        <w:jc w:val="both"/>
        <w:rPr>
          <w:rFonts w:ascii="Times New Roman" w:eastAsia="Calibri" w:hAnsi="Times New Roman" w:cs="Times New Roman"/>
          <w:bCs/>
          <w:sz w:val="24"/>
          <w:szCs w:val="24"/>
        </w:rPr>
      </w:pPr>
    </w:p>
    <w:p w14:paraId="230DD5E2" w14:textId="7DC0CC7B" w:rsidR="00F63596" w:rsidRDefault="00E56E0E" w:rsidP="00E56E0E">
      <w:pPr>
        <w:spacing w:after="0"/>
        <w:jc w:val="both"/>
        <w:rPr>
          <w:rFonts w:ascii="Times New Roman" w:eastAsia="Calibri" w:hAnsi="Times New Roman" w:cs="Times New Roman"/>
          <w:bCs/>
          <w:color w:val="000000"/>
          <w:sz w:val="24"/>
          <w:szCs w:val="24"/>
        </w:rPr>
      </w:pPr>
      <w:r w:rsidRPr="009C13B2">
        <w:rPr>
          <w:rFonts w:ascii="Times New Roman" w:eastAsia="Calibri" w:hAnsi="Times New Roman" w:cs="Times New Roman"/>
          <w:bCs/>
          <w:sz w:val="24"/>
          <w:szCs w:val="24"/>
        </w:rPr>
        <w:t xml:space="preserve">V naznačenej súvislosti </w:t>
      </w:r>
      <w:r w:rsidR="006128DE" w:rsidRPr="009C13B2">
        <w:rPr>
          <w:rFonts w:ascii="Times New Roman" w:eastAsia="Calibri" w:hAnsi="Times New Roman" w:cs="Times New Roman"/>
          <w:bCs/>
          <w:sz w:val="24"/>
          <w:szCs w:val="24"/>
        </w:rPr>
        <w:t>vyššie spomínané</w:t>
      </w:r>
      <w:r w:rsidRPr="009C13B2">
        <w:rPr>
          <w:rFonts w:ascii="Times New Roman" w:eastAsia="Calibri" w:hAnsi="Times New Roman" w:cs="Times New Roman"/>
          <w:bCs/>
          <w:sz w:val="24"/>
          <w:szCs w:val="24"/>
        </w:rPr>
        <w:t xml:space="preserve"> novelizačné úpravy nemajú vplyv na podnikateľské prostredie, keďže nimi nedochádza k stanoveniu nového poplatku, resp. k zníženiu alebo zvýšeniu už stanoveného poplatku, iba k upresneniu znenia úkonu, na základe informácií z aplikačnej praxe, alebo pre účely zosúladenia znenia úkonov s inými novelizačnými zmenami vyplývajúcimi z návrhu opatrenia</w:t>
      </w:r>
      <w:r w:rsidR="00AD2BE4" w:rsidRPr="009C13B2">
        <w:rPr>
          <w:rFonts w:ascii="Times New Roman" w:eastAsia="Calibri" w:hAnsi="Times New Roman" w:cs="Times New Roman"/>
          <w:bCs/>
          <w:sz w:val="24"/>
          <w:szCs w:val="24"/>
        </w:rPr>
        <w:t>, resp. iných príslušných právnych predpisov</w:t>
      </w:r>
      <w:r w:rsidR="00D83316" w:rsidRPr="009C13B2">
        <w:rPr>
          <w:rFonts w:ascii="Times New Roman" w:eastAsia="Calibri" w:hAnsi="Times New Roman" w:cs="Times New Roman"/>
          <w:bCs/>
          <w:sz w:val="24"/>
          <w:szCs w:val="24"/>
        </w:rPr>
        <w:t>.</w:t>
      </w:r>
      <w:r w:rsidRPr="009C13B2">
        <w:rPr>
          <w:rFonts w:ascii="Times New Roman" w:eastAsia="Calibri" w:hAnsi="Times New Roman" w:cs="Times New Roman"/>
          <w:bCs/>
          <w:sz w:val="24"/>
          <w:szCs w:val="24"/>
        </w:rPr>
        <w:t xml:space="preserve"> </w:t>
      </w:r>
    </w:p>
    <w:p w14:paraId="1D13DFFC" w14:textId="260AA1D3" w:rsidR="004A314B" w:rsidRPr="00E04252" w:rsidRDefault="004A314B" w:rsidP="001F2152">
      <w:pPr>
        <w:spacing w:after="0"/>
        <w:jc w:val="both"/>
        <w:rPr>
          <w:rFonts w:ascii="Times New Roman" w:eastAsia="Calibri" w:hAnsi="Times New Roman" w:cs="Times New Roman"/>
          <w:bCs/>
          <w:color w:val="FF0000"/>
          <w:sz w:val="24"/>
          <w:szCs w:val="24"/>
        </w:rPr>
      </w:pPr>
    </w:p>
    <w:sectPr w:rsidR="004A314B" w:rsidRPr="00E04252"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32FC7" w14:textId="77777777" w:rsidR="00B653BC" w:rsidRDefault="00B653BC" w:rsidP="00054C41">
      <w:pPr>
        <w:spacing w:after="0" w:line="240" w:lineRule="auto"/>
      </w:pPr>
      <w:r>
        <w:separator/>
      </w:r>
    </w:p>
  </w:endnote>
  <w:endnote w:type="continuationSeparator" w:id="0">
    <w:p w14:paraId="50820DDB" w14:textId="77777777" w:rsidR="00B653BC" w:rsidRDefault="00B653BC"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3170AA5" w:rsidR="00F244DC" w:rsidRPr="006045CB" w:rsidRDefault="00F244DC" w:rsidP="00054C41">
        <w:pPr>
          <w:pStyle w:val="Footer"/>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Footer"/>
      <w:rPr>
        <w:sz w:val="24"/>
        <w:szCs w:val="24"/>
      </w:rPr>
    </w:pPr>
  </w:p>
  <w:p w14:paraId="20FE6A4A" w14:textId="77777777" w:rsidR="00F244DC" w:rsidRDefault="00F24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27D09" w14:textId="77777777" w:rsidR="00B653BC" w:rsidRDefault="00B653BC" w:rsidP="00054C41">
      <w:pPr>
        <w:spacing w:after="0" w:line="240" w:lineRule="auto"/>
      </w:pPr>
      <w:r>
        <w:separator/>
      </w:r>
    </w:p>
  </w:footnote>
  <w:footnote w:type="continuationSeparator" w:id="0">
    <w:p w14:paraId="7B02D525" w14:textId="77777777" w:rsidR="00B653BC" w:rsidRDefault="00B653BC" w:rsidP="00054C41">
      <w:pPr>
        <w:spacing w:after="0" w:line="240" w:lineRule="auto"/>
      </w:pPr>
      <w:r>
        <w:continuationSeparator/>
      </w:r>
    </w:p>
  </w:footnote>
  <w:footnote w:id="1">
    <w:p w14:paraId="6CC680CB" w14:textId="6BF8CDC6" w:rsidR="00F244DC" w:rsidRPr="000A6B7F" w:rsidRDefault="00F244DC" w:rsidP="00C929AE">
      <w:pPr>
        <w:pStyle w:val="FootnoteText"/>
        <w:rPr>
          <w:rFonts w:ascii="Times New Roman" w:hAnsi="Times New Roman" w:cs="Times New Roman"/>
        </w:rPr>
      </w:pPr>
      <w:r>
        <w:rPr>
          <w:rStyle w:val="FootnoteReference"/>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F244DC" w:rsidRPr="009C13B2" w:rsidRDefault="00F244DC" w:rsidP="00804BC8">
      <w:pPr>
        <w:pStyle w:val="FootnoteText"/>
        <w:jc w:val="both"/>
        <w:rPr>
          <w:rFonts w:ascii="Times New Roman" w:hAnsi="Times New Roman" w:cs="Times New Roman"/>
        </w:rPr>
      </w:pPr>
      <w:r w:rsidRPr="009C13B2">
        <w:rPr>
          <w:rStyle w:val="FootnoteReference"/>
          <w:rFonts w:ascii="Times New Roman" w:hAnsi="Times New Roman" w:cs="Times New Roman"/>
        </w:rPr>
        <w:footnoteRef/>
      </w:r>
      <w:r w:rsidRPr="009C13B2">
        <w:rPr>
          <w:rFonts w:ascii="Times New Roman" w:hAnsi="Times New Roman" w:cs="Times New Roman"/>
        </w:rPr>
        <w:t xml:space="preserve"> Informácie sa uvádzajú  iba v prípade, ak sa predkladaným návrhom regulácie vykonáva transpozícia smernice EÚ a bol identifikovaný goldplating podľa tabuľky zhody alebo sa vykonáva implementácia nariadenia EÚ s goldplatingom. Informácie sa uvádzajú aj v prípade (ak nejde o transpozíciu smernice EÚ alebo implementáciu nariadenia EÚ), ak sa predloženým návrhom odstraňuje goldplating, ktorého pôvod je v skoršom zachovaní existujúcej právnej úpravy (existujúcich vnútroštátnych požiadaviek).</w:t>
      </w:r>
    </w:p>
    <w:p w14:paraId="5D313DAF" w14:textId="77777777" w:rsidR="00F244DC" w:rsidRPr="009C13B2" w:rsidRDefault="00F244DC" w:rsidP="00512BA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4C2677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BC77C6F"/>
    <w:multiLevelType w:val="hybridMultilevel"/>
    <w:tmpl w:val="52F0472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3F73D94"/>
    <w:multiLevelType w:val="hybridMultilevel"/>
    <w:tmpl w:val="D488179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601638778">
    <w:abstractNumId w:val="3"/>
  </w:num>
  <w:num w:numId="2" w16cid:durableId="2130665147">
    <w:abstractNumId w:val="12"/>
  </w:num>
  <w:num w:numId="3" w16cid:durableId="1295217623">
    <w:abstractNumId w:val="13"/>
  </w:num>
  <w:num w:numId="4" w16cid:durableId="1347563306">
    <w:abstractNumId w:val="11"/>
  </w:num>
  <w:num w:numId="5" w16cid:durableId="887646612">
    <w:abstractNumId w:val="8"/>
  </w:num>
  <w:num w:numId="6" w16cid:durableId="8722277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3265828">
    <w:abstractNumId w:val="13"/>
  </w:num>
  <w:num w:numId="8" w16cid:durableId="13465181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1626194">
    <w:abstractNumId w:val="10"/>
  </w:num>
  <w:num w:numId="10" w16cid:durableId="415131017">
    <w:abstractNumId w:val="5"/>
  </w:num>
  <w:num w:numId="11" w16cid:durableId="78984759">
    <w:abstractNumId w:val="6"/>
  </w:num>
  <w:num w:numId="12" w16cid:durableId="237443160">
    <w:abstractNumId w:val="1"/>
  </w:num>
  <w:num w:numId="13" w16cid:durableId="1188329914">
    <w:abstractNumId w:val="14"/>
  </w:num>
  <w:num w:numId="14" w16cid:durableId="180360199">
    <w:abstractNumId w:val="7"/>
  </w:num>
  <w:num w:numId="15" w16cid:durableId="477575107">
    <w:abstractNumId w:val="9"/>
  </w:num>
  <w:num w:numId="16" w16cid:durableId="4479549">
    <w:abstractNumId w:val="2"/>
  </w:num>
  <w:num w:numId="17" w16cid:durableId="237905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045E0"/>
    <w:rsid w:val="000139E2"/>
    <w:rsid w:val="000204DE"/>
    <w:rsid w:val="00021B1A"/>
    <w:rsid w:val="00022280"/>
    <w:rsid w:val="0002271F"/>
    <w:rsid w:val="0002425A"/>
    <w:rsid w:val="00024EE4"/>
    <w:rsid w:val="000378AB"/>
    <w:rsid w:val="00047C70"/>
    <w:rsid w:val="00050AAB"/>
    <w:rsid w:val="00054A53"/>
    <w:rsid w:val="00054C41"/>
    <w:rsid w:val="0005582C"/>
    <w:rsid w:val="00060DA1"/>
    <w:rsid w:val="00061E85"/>
    <w:rsid w:val="00067615"/>
    <w:rsid w:val="0007220F"/>
    <w:rsid w:val="00074E15"/>
    <w:rsid w:val="00081F60"/>
    <w:rsid w:val="000820E0"/>
    <w:rsid w:val="00084336"/>
    <w:rsid w:val="00091A43"/>
    <w:rsid w:val="0009490E"/>
    <w:rsid w:val="000A6B7F"/>
    <w:rsid w:val="000B1804"/>
    <w:rsid w:val="000B4437"/>
    <w:rsid w:val="000B5243"/>
    <w:rsid w:val="000C44E6"/>
    <w:rsid w:val="000C5419"/>
    <w:rsid w:val="000C5E9A"/>
    <w:rsid w:val="000C7BB8"/>
    <w:rsid w:val="000D15F0"/>
    <w:rsid w:val="000D57C7"/>
    <w:rsid w:val="000D7476"/>
    <w:rsid w:val="000F0762"/>
    <w:rsid w:val="00100EF1"/>
    <w:rsid w:val="0010115C"/>
    <w:rsid w:val="0011003B"/>
    <w:rsid w:val="001133DA"/>
    <w:rsid w:val="00114119"/>
    <w:rsid w:val="00117048"/>
    <w:rsid w:val="00124065"/>
    <w:rsid w:val="00126A2B"/>
    <w:rsid w:val="00142154"/>
    <w:rsid w:val="001444D3"/>
    <w:rsid w:val="001476A4"/>
    <w:rsid w:val="00147C50"/>
    <w:rsid w:val="00161813"/>
    <w:rsid w:val="00162C6C"/>
    <w:rsid w:val="0016512E"/>
    <w:rsid w:val="0017772A"/>
    <w:rsid w:val="001820F0"/>
    <w:rsid w:val="0018514A"/>
    <w:rsid w:val="0018715C"/>
    <w:rsid w:val="001968D0"/>
    <w:rsid w:val="001971A6"/>
    <w:rsid w:val="001A1561"/>
    <w:rsid w:val="001B0F62"/>
    <w:rsid w:val="001B2608"/>
    <w:rsid w:val="001B41C4"/>
    <w:rsid w:val="001B4C03"/>
    <w:rsid w:val="001B6F32"/>
    <w:rsid w:val="001C7B91"/>
    <w:rsid w:val="001D1083"/>
    <w:rsid w:val="001D3FA0"/>
    <w:rsid w:val="001E24E8"/>
    <w:rsid w:val="001E3806"/>
    <w:rsid w:val="001E53CB"/>
    <w:rsid w:val="001F2152"/>
    <w:rsid w:val="002032EB"/>
    <w:rsid w:val="00207F43"/>
    <w:rsid w:val="00213850"/>
    <w:rsid w:val="00217449"/>
    <w:rsid w:val="002176FC"/>
    <w:rsid w:val="00217C3A"/>
    <w:rsid w:val="002232D3"/>
    <w:rsid w:val="00225A83"/>
    <w:rsid w:val="00231B8F"/>
    <w:rsid w:val="00235569"/>
    <w:rsid w:val="00245545"/>
    <w:rsid w:val="002576EE"/>
    <w:rsid w:val="00265150"/>
    <w:rsid w:val="00270EA5"/>
    <w:rsid w:val="002712B9"/>
    <w:rsid w:val="00284B8C"/>
    <w:rsid w:val="0029483F"/>
    <w:rsid w:val="002B4A74"/>
    <w:rsid w:val="002C2FC0"/>
    <w:rsid w:val="002D0E62"/>
    <w:rsid w:val="002D33F0"/>
    <w:rsid w:val="002D4E6B"/>
    <w:rsid w:val="002E0E5E"/>
    <w:rsid w:val="002E5308"/>
    <w:rsid w:val="00302A17"/>
    <w:rsid w:val="003040B3"/>
    <w:rsid w:val="003060B8"/>
    <w:rsid w:val="00306E15"/>
    <w:rsid w:val="00314D25"/>
    <w:rsid w:val="00315B46"/>
    <w:rsid w:val="00315BE2"/>
    <w:rsid w:val="00320788"/>
    <w:rsid w:val="00320C48"/>
    <w:rsid w:val="0032540A"/>
    <w:rsid w:val="003322EE"/>
    <w:rsid w:val="00336F03"/>
    <w:rsid w:val="003373D6"/>
    <w:rsid w:val="00337630"/>
    <w:rsid w:val="00340CFD"/>
    <w:rsid w:val="003413D5"/>
    <w:rsid w:val="00342621"/>
    <w:rsid w:val="00356274"/>
    <w:rsid w:val="00357F22"/>
    <w:rsid w:val="00365FF0"/>
    <w:rsid w:val="0036748D"/>
    <w:rsid w:val="003729CF"/>
    <w:rsid w:val="0037345F"/>
    <w:rsid w:val="00374553"/>
    <w:rsid w:val="00376039"/>
    <w:rsid w:val="003771BF"/>
    <w:rsid w:val="00377C2F"/>
    <w:rsid w:val="0038255E"/>
    <w:rsid w:val="003828FF"/>
    <w:rsid w:val="003913FC"/>
    <w:rsid w:val="00391648"/>
    <w:rsid w:val="0039304E"/>
    <w:rsid w:val="0039334E"/>
    <w:rsid w:val="00394AD2"/>
    <w:rsid w:val="003A02AF"/>
    <w:rsid w:val="003A0555"/>
    <w:rsid w:val="003A0EB1"/>
    <w:rsid w:val="003A3124"/>
    <w:rsid w:val="003A686F"/>
    <w:rsid w:val="003B36BB"/>
    <w:rsid w:val="003B6F19"/>
    <w:rsid w:val="003C1545"/>
    <w:rsid w:val="003C6943"/>
    <w:rsid w:val="003D6CF0"/>
    <w:rsid w:val="003E445F"/>
    <w:rsid w:val="003E45D2"/>
    <w:rsid w:val="003E58B8"/>
    <w:rsid w:val="003F06D7"/>
    <w:rsid w:val="00400205"/>
    <w:rsid w:val="00400224"/>
    <w:rsid w:val="00400676"/>
    <w:rsid w:val="00400BA5"/>
    <w:rsid w:val="004022A8"/>
    <w:rsid w:val="00406EA2"/>
    <w:rsid w:val="00410E62"/>
    <w:rsid w:val="0041382D"/>
    <w:rsid w:val="00414FA7"/>
    <w:rsid w:val="00420090"/>
    <w:rsid w:val="004239D1"/>
    <w:rsid w:val="00437EC7"/>
    <w:rsid w:val="00445638"/>
    <w:rsid w:val="00446432"/>
    <w:rsid w:val="00446512"/>
    <w:rsid w:val="00462273"/>
    <w:rsid w:val="00466D7A"/>
    <w:rsid w:val="00473FA7"/>
    <w:rsid w:val="00480476"/>
    <w:rsid w:val="0048237B"/>
    <w:rsid w:val="00484D16"/>
    <w:rsid w:val="00491853"/>
    <w:rsid w:val="004A045B"/>
    <w:rsid w:val="004A14CD"/>
    <w:rsid w:val="004A2C6B"/>
    <w:rsid w:val="004A314B"/>
    <w:rsid w:val="004B0E98"/>
    <w:rsid w:val="004B1EBA"/>
    <w:rsid w:val="004B3507"/>
    <w:rsid w:val="004C7402"/>
    <w:rsid w:val="004D20CB"/>
    <w:rsid w:val="004D65B2"/>
    <w:rsid w:val="004D681D"/>
    <w:rsid w:val="004E2324"/>
    <w:rsid w:val="004E736B"/>
    <w:rsid w:val="004F63E6"/>
    <w:rsid w:val="00501941"/>
    <w:rsid w:val="0050389E"/>
    <w:rsid w:val="0050556F"/>
    <w:rsid w:val="00506E31"/>
    <w:rsid w:val="005103DA"/>
    <w:rsid w:val="00511F8F"/>
    <w:rsid w:val="00512BA7"/>
    <w:rsid w:val="00515726"/>
    <w:rsid w:val="0052078C"/>
    <w:rsid w:val="0054149B"/>
    <w:rsid w:val="00545BA7"/>
    <w:rsid w:val="005549D0"/>
    <w:rsid w:val="00554E3A"/>
    <w:rsid w:val="00560FB0"/>
    <w:rsid w:val="00561F11"/>
    <w:rsid w:val="00562527"/>
    <w:rsid w:val="00562A1E"/>
    <w:rsid w:val="00563427"/>
    <w:rsid w:val="00565B0A"/>
    <w:rsid w:val="005737E2"/>
    <w:rsid w:val="00573867"/>
    <w:rsid w:val="005817E4"/>
    <w:rsid w:val="00581EB9"/>
    <w:rsid w:val="00582347"/>
    <w:rsid w:val="0058529E"/>
    <w:rsid w:val="00586E55"/>
    <w:rsid w:val="0059391A"/>
    <w:rsid w:val="005B4E6E"/>
    <w:rsid w:val="005B56E4"/>
    <w:rsid w:val="005C1EB8"/>
    <w:rsid w:val="005C37D0"/>
    <w:rsid w:val="005C795C"/>
    <w:rsid w:val="005D0E50"/>
    <w:rsid w:val="005D39D8"/>
    <w:rsid w:val="005D3D3C"/>
    <w:rsid w:val="005D52CB"/>
    <w:rsid w:val="005E08D1"/>
    <w:rsid w:val="005E786E"/>
    <w:rsid w:val="005F1C4B"/>
    <w:rsid w:val="005F3433"/>
    <w:rsid w:val="0061097B"/>
    <w:rsid w:val="00612777"/>
    <w:rsid w:val="006128DE"/>
    <w:rsid w:val="00615E56"/>
    <w:rsid w:val="0061612F"/>
    <w:rsid w:val="006172CB"/>
    <w:rsid w:val="006177C8"/>
    <w:rsid w:val="00621447"/>
    <w:rsid w:val="0062600A"/>
    <w:rsid w:val="00627963"/>
    <w:rsid w:val="006360B0"/>
    <w:rsid w:val="0063777D"/>
    <w:rsid w:val="006402C2"/>
    <w:rsid w:val="006416C2"/>
    <w:rsid w:val="00643358"/>
    <w:rsid w:val="006434FA"/>
    <w:rsid w:val="00645A7C"/>
    <w:rsid w:val="00646084"/>
    <w:rsid w:val="006564C3"/>
    <w:rsid w:val="006578CB"/>
    <w:rsid w:val="00663A55"/>
    <w:rsid w:val="00666C7F"/>
    <w:rsid w:val="00673FCB"/>
    <w:rsid w:val="006822F2"/>
    <w:rsid w:val="0069049D"/>
    <w:rsid w:val="0069302F"/>
    <w:rsid w:val="006A32B7"/>
    <w:rsid w:val="006A4E85"/>
    <w:rsid w:val="006A60C0"/>
    <w:rsid w:val="006A712F"/>
    <w:rsid w:val="006B5D74"/>
    <w:rsid w:val="006C03B9"/>
    <w:rsid w:val="006C0EA4"/>
    <w:rsid w:val="006C0ED2"/>
    <w:rsid w:val="006C17B5"/>
    <w:rsid w:val="006C25BE"/>
    <w:rsid w:val="006C679F"/>
    <w:rsid w:val="006C6E12"/>
    <w:rsid w:val="006D0B65"/>
    <w:rsid w:val="006D7AD8"/>
    <w:rsid w:val="006E5E1B"/>
    <w:rsid w:val="006F1D57"/>
    <w:rsid w:val="006F6930"/>
    <w:rsid w:val="0070364C"/>
    <w:rsid w:val="00710EDF"/>
    <w:rsid w:val="00717BB3"/>
    <w:rsid w:val="0072221D"/>
    <w:rsid w:val="007227C7"/>
    <w:rsid w:val="0072357C"/>
    <w:rsid w:val="00724AF6"/>
    <w:rsid w:val="007259CB"/>
    <w:rsid w:val="00726031"/>
    <w:rsid w:val="00726DD6"/>
    <w:rsid w:val="00730E52"/>
    <w:rsid w:val="00735682"/>
    <w:rsid w:val="007513A7"/>
    <w:rsid w:val="00751DA9"/>
    <w:rsid w:val="00755E69"/>
    <w:rsid w:val="00757BD5"/>
    <w:rsid w:val="0076329B"/>
    <w:rsid w:val="00763430"/>
    <w:rsid w:val="007648EE"/>
    <w:rsid w:val="00765B27"/>
    <w:rsid w:val="0077106D"/>
    <w:rsid w:val="00776F0E"/>
    <w:rsid w:val="00780ACC"/>
    <w:rsid w:val="007850B6"/>
    <w:rsid w:val="00787A11"/>
    <w:rsid w:val="00792C8C"/>
    <w:rsid w:val="00797983"/>
    <w:rsid w:val="00797B40"/>
    <w:rsid w:val="007A0C9D"/>
    <w:rsid w:val="007A11CC"/>
    <w:rsid w:val="007A2502"/>
    <w:rsid w:val="007A43B6"/>
    <w:rsid w:val="007A62D2"/>
    <w:rsid w:val="007A64F0"/>
    <w:rsid w:val="007B12EE"/>
    <w:rsid w:val="007B40FB"/>
    <w:rsid w:val="007B62AF"/>
    <w:rsid w:val="007C464D"/>
    <w:rsid w:val="007D698B"/>
    <w:rsid w:val="007E24B2"/>
    <w:rsid w:val="007E2DA4"/>
    <w:rsid w:val="007E6362"/>
    <w:rsid w:val="007E6815"/>
    <w:rsid w:val="007E7632"/>
    <w:rsid w:val="007F1C84"/>
    <w:rsid w:val="007F4579"/>
    <w:rsid w:val="007F564F"/>
    <w:rsid w:val="007F5D6A"/>
    <w:rsid w:val="00801596"/>
    <w:rsid w:val="00801B52"/>
    <w:rsid w:val="008030CA"/>
    <w:rsid w:val="008039D3"/>
    <w:rsid w:val="00804BC8"/>
    <w:rsid w:val="00806E23"/>
    <w:rsid w:val="00807981"/>
    <w:rsid w:val="008113E6"/>
    <w:rsid w:val="00820E7E"/>
    <w:rsid w:val="008232B9"/>
    <w:rsid w:val="00823F5A"/>
    <w:rsid w:val="008262C4"/>
    <w:rsid w:val="00826333"/>
    <w:rsid w:val="00832EC7"/>
    <w:rsid w:val="0084076B"/>
    <w:rsid w:val="008450F7"/>
    <w:rsid w:val="00845D3B"/>
    <w:rsid w:val="008475AC"/>
    <w:rsid w:val="008634E9"/>
    <w:rsid w:val="00863AFE"/>
    <w:rsid w:val="00877BF7"/>
    <w:rsid w:val="008801B5"/>
    <w:rsid w:val="00880578"/>
    <w:rsid w:val="00882407"/>
    <w:rsid w:val="008867A2"/>
    <w:rsid w:val="008920C3"/>
    <w:rsid w:val="00894052"/>
    <w:rsid w:val="008A3379"/>
    <w:rsid w:val="008A4E88"/>
    <w:rsid w:val="008A5C76"/>
    <w:rsid w:val="008A7B87"/>
    <w:rsid w:val="008B174C"/>
    <w:rsid w:val="008B4AA1"/>
    <w:rsid w:val="008B6C07"/>
    <w:rsid w:val="008B77DD"/>
    <w:rsid w:val="008C1C71"/>
    <w:rsid w:val="008D51BA"/>
    <w:rsid w:val="008E1AD0"/>
    <w:rsid w:val="008E295A"/>
    <w:rsid w:val="008E315F"/>
    <w:rsid w:val="008E4834"/>
    <w:rsid w:val="008E50AC"/>
    <w:rsid w:val="008E591B"/>
    <w:rsid w:val="008E6B82"/>
    <w:rsid w:val="008E7774"/>
    <w:rsid w:val="008F5061"/>
    <w:rsid w:val="008F5F5E"/>
    <w:rsid w:val="008F6ADE"/>
    <w:rsid w:val="00903550"/>
    <w:rsid w:val="0091269B"/>
    <w:rsid w:val="00916149"/>
    <w:rsid w:val="00920DF7"/>
    <w:rsid w:val="00923C0C"/>
    <w:rsid w:val="00924C01"/>
    <w:rsid w:val="009253A7"/>
    <w:rsid w:val="009400BB"/>
    <w:rsid w:val="00942970"/>
    <w:rsid w:val="0094583F"/>
    <w:rsid w:val="00945DF4"/>
    <w:rsid w:val="0095170D"/>
    <w:rsid w:val="00952CF6"/>
    <w:rsid w:val="00955418"/>
    <w:rsid w:val="00955F08"/>
    <w:rsid w:val="00956468"/>
    <w:rsid w:val="00960413"/>
    <w:rsid w:val="0096387B"/>
    <w:rsid w:val="00975998"/>
    <w:rsid w:val="00981995"/>
    <w:rsid w:val="00981C7F"/>
    <w:rsid w:val="00981D70"/>
    <w:rsid w:val="00985515"/>
    <w:rsid w:val="00990813"/>
    <w:rsid w:val="0099544D"/>
    <w:rsid w:val="00997513"/>
    <w:rsid w:val="00997D62"/>
    <w:rsid w:val="009A0E2C"/>
    <w:rsid w:val="009A4D56"/>
    <w:rsid w:val="009B1F04"/>
    <w:rsid w:val="009B3D48"/>
    <w:rsid w:val="009B5C99"/>
    <w:rsid w:val="009C13B2"/>
    <w:rsid w:val="009C2A74"/>
    <w:rsid w:val="009C4372"/>
    <w:rsid w:val="009C64B4"/>
    <w:rsid w:val="009E09F7"/>
    <w:rsid w:val="009E0C73"/>
    <w:rsid w:val="009E2D5C"/>
    <w:rsid w:val="009E3E44"/>
    <w:rsid w:val="009F02F1"/>
    <w:rsid w:val="009F0887"/>
    <w:rsid w:val="009F4175"/>
    <w:rsid w:val="009F66A4"/>
    <w:rsid w:val="009F6C80"/>
    <w:rsid w:val="00A000DA"/>
    <w:rsid w:val="00A13100"/>
    <w:rsid w:val="00A153F3"/>
    <w:rsid w:val="00A1736E"/>
    <w:rsid w:val="00A216DF"/>
    <w:rsid w:val="00A21F5E"/>
    <w:rsid w:val="00A33F2C"/>
    <w:rsid w:val="00A37DF6"/>
    <w:rsid w:val="00A40305"/>
    <w:rsid w:val="00A50EE3"/>
    <w:rsid w:val="00A511CD"/>
    <w:rsid w:val="00A70CD3"/>
    <w:rsid w:val="00A72C0D"/>
    <w:rsid w:val="00A83E11"/>
    <w:rsid w:val="00A844FC"/>
    <w:rsid w:val="00A85639"/>
    <w:rsid w:val="00A87760"/>
    <w:rsid w:val="00A94A0F"/>
    <w:rsid w:val="00AA3C6D"/>
    <w:rsid w:val="00AB1915"/>
    <w:rsid w:val="00AB57C4"/>
    <w:rsid w:val="00AB7A29"/>
    <w:rsid w:val="00AD2BE4"/>
    <w:rsid w:val="00AD491A"/>
    <w:rsid w:val="00AD56A0"/>
    <w:rsid w:val="00AE20DD"/>
    <w:rsid w:val="00AE372F"/>
    <w:rsid w:val="00AE768C"/>
    <w:rsid w:val="00AF2CBE"/>
    <w:rsid w:val="00AF4E2F"/>
    <w:rsid w:val="00B01196"/>
    <w:rsid w:val="00B07ED9"/>
    <w:rsid w:val="00B1197B"/>
    <w:rsid w:val="00B11CF5"/>
    <w:rsid w:val="00B1377C"/>
    <w:rsid w:val="00B14D2B"/>
    <w:rsid w:val="00B209FA"/>
    <w:rsid w:val="00B210C3"/>
    <w:rsid w:val="00B21D1F"/>
    <w:rsid w:val="00B3764C"/>
    <w:rsid w:val="00B40FEE"/>
    <w:rsid w:val="00B410BA"/>
    <w:rsid w:val="00B43D68"/>
    <w:rsid w:val="00B44A3A"/>
    <w:rsid w:val="00B44ECD"/>
    <w:rsid w:val="00B4743D"/>
    <w:rsid w:val="00B5600C"/>
    <w:rsid w:val="00B653BC"/>
    <w:rsid w:val="00B66114"/>
    <w:rsid w:val="00B66E33"/>
    <w:rsid w:val="00B72FB1"/>
    <w:rsid w:val="00B741B5"/>
    <w:rsid w:val="00B76757"/>
    <w:rsid w:val="00B87C88"/>
    <w:rsid w:val="00B91C6C"/>
    <w:rsid w:val="00B953DA"/>
    <w:rsid w:val="00B97126"/>
    <w:rsid w:val="00BA1955"/>
    <w:rsid w:val="00BA19B0"/>
    <w:rsid w:val="00BB1410"/>
    <w:rsid w:val="00BB3870"/>
    <w:rsid w:val="00BB45A7"/>
    <w:rsid w:val="00BC3B75"/>
    <w:rsid w:val="00BD0EF7"/>
    <w:rsid w:val="00BD13A5"/>
    <w:rsid w:val="00BD6778"/>
    <w:rsid w:val="00BE0A63"/>
    <w:rsid w:val="00BE1D99"/>
    <w:rsid w:val="00BE4648"/>
    <w:rsid w:val="00C01599"/>
    <w:rsid w:val="00C048D1"/>
    <w:rsid w:val="00C05563"/>
    <w:rsid w:val="00C11132"/>
    <w:rsid w:val="00C115B9"/>
    <w:rsid w:val="00C12FDD"/>
    <w:rsid w:val="00C145AA"/>
    <w:rsid w:val="00C14655"/>
    <w:rsid w:val="00C21399"/>
    <w:rsid w:val="00C25913"/>
    <w:rsid w:val="00C446E2"/>
    <w:rsid w:val="00C52CAB"/>
    <w:rsid w:val="00C535F5"/>
    <w:rsid w:val="00C544D8"/>
    <w:rsid w:val="00C560C4"/>
    <w:rsid w:val="00C6748F"/>
    <w:rsid w:val="00C74337"/>
    <w:rsid w:val="00C75DC8"/>
    <w:rsid w:val="00C80C8B"/>
    <w:rsid w:val="00C8625E"/>
    <w:rsid w:val="00C873AD"/>
    <w:rsid w:val="00C902D5"/>
    <w:rsid w:val="00C929AE"/>
    <w:rsid w:val="00C93D9B"/>
    <w:rsid w:val="00CA4344"/>
    <w:rsid w:val="00CA53A7"/>
    <w:rsid w:val="00CA6348"/>
    <w:rsid w:val="00CB1232"/>
    <w:rsid w:val="00CB17A0"/>
    <w:rsid w:val="00CB1D58"/>
    <w:rsid w:val="00CC0B18"/>
    <w:rsid w:val="00CC1CF1"/>
    <w:rsid w:val="00CC3A0D"/>
    <w:rsid w:val="00CC3B7D"/>
    <w:rsid w:val="00CD259E"/>
    <w:rsid w:val="00CD5AE4"/>
    <w:rsid w:val="00CD5DC2"/>
    <w:rsid w:val="00CD5E86"/>
    <w:rsid w:val="00CE038B"/>
    <w:rsid w:val="00CE3B21"/>
    <w:rsid w:val="00CE6DC4"/>
    <w:rsid w:val="00CF4D09"/>
    <w:rsid w:val="00D005F2"/>
    <w:rsid w:val="00D015C6"/>
    <w:rsid w:val="00D01817"/>
    <w:rsid w:val="00D01C56"/>
    <w:rsid w:val="00D03A8E"/>
    <w:rsid w:val="00D05951"/>
    <w:rsid w:val="00D111B6"/>
    <w:rsid w:val="00D114ED"/>
    <w:rsid w:val="00D13DF4"/>
    <w:rsid w:val="00D14A8C"/>
    <w:rsid w:val="00D17F70"/>
    <w:rsid w:val="00D27A73"/>
    <w:rsid w:val="00D3032C"/>
    <w:rsid w:val="00D31A3B"/>
    <w:rsid w:val="00D33CA9"/>
    <w:rsid w:val="00D47D21"/>
    <w:rsid w:val="00D5309D"/>
    <w:rsid w:val="00D631FA"/>
    <w:rsid w:val="00D65520"/>
    <w:rsid w:val="00D67FCD"/>
    <w:rsid w:val="00D71064"/>
    <w:rsid w:val="00D71D9A"/>
    <w:rsid w:val="00D73D65"/>
    <w:rsid w:val="00D811BB"/>
    <w:rsid w:val="00D82356"/>
    <w:rsid w:val="00D83316"/>
    <w:rsid w:val="00D84EEE"/>
    <w:rsid w:val="00D856DF"/>
    <w:rsid w:val="00D90A61"/>
    <w:rsid w:val="00D946EF"/>
    <w:rsid w:val="00D95553"/>
    <w:rsid w:val="00DA066F"/>
    <w:rsid w:val="00DB1FBB"/>
    <w:rsid w:val="00DC355F"/>
    <w:rsid w:val="00DD1E4C"/>
    <w:rsid w:val="00DD2006"/>
    <w:rsid w:val="00DD21C8"/>
    <w:rsid w:val="00DE331A"/>
    <w:rsid w:val="00DE6ACB"/>
    <w:rsid w:val="00DE6E6F"/>
    <w:rsid w:val="00DE73EB"/>
    <w:rsid w:val="00DF02CE"/>
    <w:rsid w:val="00DF1462"/>
    <w:rsid w:val="00E030DA"/>
    <w:rsid w:val="00E04252"/>
    <w:rsid w:val="00E10A99"/>
    <w:rsid w:val="00E123B3"/>
    <w:rsid w:val="00E123F8"/>
    <w:rsid w:val="00E13631"/>
    <w:rsid w:val="00E214C0"/>
    <w:rsid w:val="00E22B56"/>
    <w:rsid w:val="00E24662"/>
    <w:rsid w:val="00E24B3A"/>
    <w:rsid w:val="00E30D85"/>
    <w:rsid w:val="00E30F0A"/>
    <w:rsid w:val="00E444EB"/>
    <w:rsid w:val="00E56E0E"/>
    <w:rsid w:val="00E60C23"/>
    <w:rsid w:val="00E6141D"/>
    <w:rsid w:val="00E72607"/>
    <w:rsid w:val="00E72DF1"/>
    <w:rsid w:val="00E73A7B"/>
    <w:rsid w:val="00E7619D"/>
    <w:rsid w:val="00E77A69"/>
    <w:rsid w:val="00E81A42"/>
    <w:rsid w:val="00E826BB"/>
    <w:rsid w:val="00E95438"/>
    <w:rsid w:val="00E961E8"/>
    <w:rsid w:val="00E96244"/>
    <w:rsid w:val="00E96DE0"/>
    <w:rsid w:val="00EA0DCD"/>
    <w:rsid w:val="00EA7A87"/>
    <w:rsid w:val="00EB2BEC"/>
    <w:rsid w:val="00EB3604"/>
    <w:rsid w:val="00EB74BF"/>
    <w:rsid w:val="00EC02B6"/>
    <w:rsid w:val="00EC0704"/>
    <w:rsid w:val="00EC508B"/>
    <w:rsid w:val="00EC58EB"/>
    <w:rsid w:val="00ED0730"/>
    <w:rsid w:val="00ED38C3"/>
    <w:rsid w:val="00ED5143"/>
    <w:rsid w:val="00ED6B5D"/>
    <w:rsid w:val="00EE0779"/>
    <w:rsid w:val="00EE46B4"/>
    <w:rsid w:val="00EE4C99"/>
    <w:rsid w:val="00EF077E"/>
    <w:rsid w:val="00EF2E50"/>
    <w:rsid w:val="00F153D7"/>
    <w:rsid w:val="00F1599C"/>
    <w:rsid w:val="00F169A3"/>
    <w:rsid w:val="00F2433F"/>
    <w:rsid w:val="00F244DC"/>
    <w:rsid w:val="00F3455B"/>
    <w:rsid w:val="00F378F4"/>
    <w:rsid w:val="00F47912"/>
    <w:rsid w:val="00F541B6"/>
    <w:rsid w:val="00F57702"/>
    <w:rsid w:val="00F611DA"/>
    <w:rsid w:val="00F61361"/>
    <w:rsid w:val="00F613E8"/>
    <w:rsid w:val="00F63596"/>
    <w:rsid w:val="00F6441F"/>
    <w:rsid w:val="00F6591E"/>
    <w:rsid w:val="00F744B4"/>
    <w:rsid w:val="00F74D3C"/>
    <w:rsid w:val="00F74FC9"/>
    <w:rsid w:val="00F8643B"/>
    <w:rsid w:val="00F91F47"/>
    <w:rsid w:val="00F93DF7"/>
    <w:rsid w:val="00F96FE1"/>
    <w:rsid w:val="00FA4F36"/>
    <w:rsid w:val="00FA5606"/>
    <w:rsid w:val="00FA6FFE"/>
    <w:rsid w:val="00FC121B"/>
    <w:rsid w:val="00FC48AE"/>
    <w:rsid w:val="00FD3DFB"/>
    <w:rsid w:val="00FD74EE"/>
    <w:rsid w:val="00FE7C29"/>
    <w:rsid w:val="00FF0272"/>
    <w:rsid w:val="00FF414B"/>
    <w:rsid w:val="00FF4B7A"/>
    <w:rsid w:val="00FF527D"/>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C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C41"/>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4C41"/>
  </w:style>
  <w:style w:type="paragraph" w:styleId="NormalWeb">
    <w:name w:val="Normal (Web)"/>
    <w:basedOn w:val="Normal"/>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TableNormal"/>
    <w:next w:val="TableGrid"/>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54C41"/>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4C41"/>
  </w:style>
  <w:style w:type="paragraph" w:styleId="BalloonText">
    <w:name w:val="Balloon Text"/>
    <w:basedOn w:val="Normal"/>
    <w:link w:val="BalloonTextChar"/>
    <w:uiPriority w:val="99"/>
    <w:semiHidden/>
    <w:unhideWhenUsed/>
    <w:rsid w:val="001B4C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C03"/>
    <w:rPr>
      <w:rFonts w:ascii="Segoe UI" w:hAnsi="Segoe UI" w:cs="Segoe UI"/>
      <w:sz w:val="18"/>
      <w:szCs w:val="18"/>
    </w:rPr>
  </w:style>
  <w:style w:type="character" w:styleId="CommentReference">
    <w:name w:val="annotation reference"/>
    <w:basedOn w:val="DefaultParagraphFont"/>
    <w:uiPriority w:val="99"/>
    <w:semiHidden/>
    <w:unhideWhenUsed/>
    <w:rsid w:val="001B4C03"/>
    <w:rPr>
      <w:sz w:val="16"/>
      <w:szCs w:val="16"/>
    </w:rPr>
  </w:style>
  <w:style w:type="paragraph" w:styleId="CommentText">
    <w:name w:val="annotation text"/>
    <w:basedOn w:val="Normal"/>
    <w:link w:val="CommentTextChar"/>
    <w:uiPriority w:val="99"/>
    <w:unhideWhenUsed/>
    <w:rsid w:val="001B4C03"/>
    <w:pPr>
      <w:spacing w:line="240" w:lineRule="auto"/>
    </w:pPr>
    <w:rPr>
      <w:sz w:val="20"/>
      <w:szCs w:val="20"/>
    </w:rPr>
  </w:style>
  <w:style w:type="character" w:customStyle="1" w:styleId="CommentTextChar">
    <w:name w:val="Comment Text Char"/>
    <w:basedOn w:val="DefaultParagraphFont"/>
    <w:link w:val="CommentText"/>
    <w:uiPriority w:val="99"/>
    <w:rsid w:val="001B4C03"/>
    <w:rPr>
      <w:sz w:val="20"/>
      <w:szCs w:val="20"/>
    </w:rPr>
  </w:style>
  <w:style w:type="paragraph" w:styleId="CommentSubject">
    <w:name w:val="annotation subject"/>
    <w:basedOn w:val="CommentText"/>
    <w:next w:val="CommentText"/>
    <w:link w:val="CommentSubjectChar"/>
    <w:uiPriority w:val="99"/>
    <w:semiHidden/>
    <w:unhideWhenUsed/>
    <w:rsid w:val="001B4C03"/>
    <w:rPr>
      <w:b/>
      <w:bCs/>
    </w:rPr>
  </w:style>
  <w:style w:type="character" w:customStyle="1" w:styleId="CommentSubjectChar">
    <w:name w:val="Comment Subject Char"/>
    <w:basedOn w:val="CommentTextChar"/>
    <w:link w:val="CommentSubject"/>
    <w:uiPriority w:val="99"/>
    <w:semiHidden/>
    <w:rsid w:val="001B4C03"/>
    <w:rPr>
      <w:b/>
      <w:bCs/>
      <w:sz w:val="20"/>
      <w:szCs w:val="20"/>
    </w:rPr>
  </w:style>
  <w:style w:type="paragraph" w:styleId="ListParagraph">
    <w:name w:val="List Paragraph"/>
    <w:basedOn w:val="Normal"/>
    <w:uiPriority w:val="34"/>
    <w:qFormat/>
    <w:rsid w:val="00EE4C99"/>
    <w:pPr>
      <w:ind w:left="720"/>
      <w:contextualSpacing/>
    </w:pPr>
  </w:style>
  <w:style w:type="paragraph" w:customStyle="1" w:styleId="gmail-m-1648484718305530482msolistparagraph">
    <w:name w:val="gmail-m_-1648484718305530482msolistparagraph"/>
    <w:basedOn w:val="Normal"/>
    <w:rsid w:val="00A50EE3"/>
    <w:pPr>
      <w:spacing w:before="100" w:beforeAutospacing="1" w:after="100" w:afterAutospacing="1" w:line="240" w:lineRule="auto"/>
    </w:pPr>
    <w:rPr>
      <w:rFonts w:ascii="Calibri" w:hAnsi="Calibri" w:cs="Calibri"/>
      <w:lang w:eastAsia="sk-SK"/>
    </w:rPr>
  </w:style>
  <w:style w:type="paragraph" w:styleId="FootnoteText">
    <w:name w:val="footnote text"/>
    <w:basedOn w:val="Normal"/>
    <w:link w:val="FootnoteTextChar"/>
    <w:uiPriority w:val="99"/>
    <w:semiHidden/>
    <w:unhideWhenUsed/>
    <w:rsid w:val="00C929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29AE"/>
    <w:rPr>
      <w:sz w:val="20"/>
      <w:szCs w:val="20"/>
    </w:rPr>
  </w:style>
  <w:style w:type="character" w:styleId="FootnoteReference">
    <w:name w:val="footnote reference"/>
    <w:basedOn w:val="DefaultParagraphFont"/>
    <w:uiPriority w:val="99"/>
    <w:semiHidden/>
    <w:unhideWhenUsed/>
    <w:rsid w:val="00C929AE"/>
    <w:rPr>
      <w:vertAlign w:val="superscript"/>
    </w:rPr>
  </w:style>
  <w:style w:type="paragraph" w:styleId="Revision">
    <w:name w:val="Revision"/>
    <w:hidden/>
    <w:uiPriority w:val="99"/>
    <w:semiHidden/>
    <w:rsid w:val="00DE6ACB"/>
    <w:pPr>
      <w:spacing w:after="0" w:line="240" w:lineRule="auto"/>
    </w:pPr>
  </w:style>
  <w:style w:type="character" w:styleId="Hyperlink">
    <w:name w:val="Hyperlink"/>
    <w:basedOn w:val="DefaultParagraphFont"/>
    <w:uiPriority w:val="99"/>
    <w:unhideWhenUsed/>
    <w:rsid w:val="00B01196"/>
    <w:rPr>
      <w:color w:val="0000FF"/>
      <w:u w:val="single"/>
    </w:rPr>
  </w:style>
  <w:style w:type="paragraph" w:styleId="ListBullet">
    <w:name w:val="List Bullet"/>
    <w:basedOn w:val="Normal"/>
    <w:uiPriority w:val="99"/>
    <w:unhideWhenUsed/>
    <w:rsid w:val="005549D0"/>
    <w:pPr>
      <w:numPr>
        <w:numId w:val="17"/>
      </w:numPr>
      <w:contextualSpacing/>
    </w:pPr>
  </w:style>
  <w:style w:type="character" w:styleId="FollowedHyperlink">
    <w:name w:val="FollowedHyperlink"/>
    <w:basedOn w:val="DefaultParagraphFont"/>
    <w:uiPriority w:val="99"/>
    <w:semiHidden/>
    <w:unhideWhenUsed/>
    <w:rsid w:val="00437EC7"/>
    <w:rPr>
      <w:color w:val="800080"/>
      <w:u w:val="single"/>
    </w:rPr>
  </w:style>
  <w:style w:type="paragraph" w:customStyle="1" w:styleId="msonormal0">
    <w:name w:val="msonormal"/>
    <w:basedOn w:val="Normal"/>
    <w:rsid w:val="00437EC7"/>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font5">
    <w:name w:val="font5"/>
    <w:basedOn w:val="Normal"/>
    <w:rsid w:val="00437EC7"/>
    <w:pPr>
      <w:spacing w:before="100" w:beforeAutospacing="1" w:after="100" w:afterAutospacing="1" w:line="240" w:lineRule="auto"/>
    </w:pPr>
    <w:rPr>
      <w:rFonts w:ascii="Times New Roman" w:eastAsia="Times New Roman" w:hAnsi="Times New Roman" w:cs="Times New Roman"/>
      <w:color w:val="000000"/>
      <w:sz w:val="20"/>
      <w:szCs w:val="20"/>
      <w:lang w:eastAsia="sk-SK"/>
    </w:rPr>
  </w:style>
  <w:style w:type="paragraph" w:customStyle="1" w:styleId="xl73">
    <w:name w:val="xl73"/>
    <w:basedOn w:val="Normal"/>
    <w:rsid w:val="00437EC7"/>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xl74">
    <w:name w:val="xl74"/>
    <w:basedOn w:val="Normal"/>
    <w:rsid w:val="00437EC7"/>
    <w:pPr>
      <w:spacing w:before="100" w:beforeAutospacing="1" w:after="100" w:afterAutospacing="1" w:line="240" w:lineRule="auto"/>
      <w:jc w:val="center"/>
    </w:pPr>
    <w:rPr>
      <w:rFonts w:ascii="Times New Roman" w:eastAsia="Times New Roman" w:hAnsi="Times New Roman" w:cs="Times New Roman"/>
      <w:sz w:val="24"/>
      <w:szCs w:val="24"/>
      <w:lang w:eastAsia="sk-SK"/>
    </w:rPr>
  </w:style>
  <w:style w:type="paragraph" w:customStyle="1" w:styleId="xl75">
    <w:name w:val="xl75"/>
    <w:basedOn w:val="Normal"/>
    <w:rsid w:val="00437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sk-SK"/>
    </w:rPr>
  </w:style>
  <w:style w:type="paragraph" w:customStyle="1" w:styleId="xl76">
    <w:name w:val="xl76"/>
    <w:basedOn w:val="Normal"/>
    <w:rsid w:val="00437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sk-SK"/>
    </w:rPr>
  </w:style>
  <w:style w:type="paragraph" w:customStyle="1" w:styleId="xl77">
    <w:name w:val="xl77"/>
    <w:basedOn w:val="Normal"/>
    <w:rsid w:val="00437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sk-SK"/>
    </w:rPr>
  </w:style>
  <w:style w:type="paragraph" w:customStyle="1" w:styleId="xl78">
    <w:name w:val="xl78"/>
    <w:basedOn w:val="Normal"/>
    <w:rsid w:val="00437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sk-SK"/>
    </w:rPr>
  </w:style>
  <w:style w:type="paragraph" w:customStyle="1" w:styleId="xl79">
    <w:name w:val="xl79"/>
    <w:basedOn w:val="Normal"/>
    <w:rsid w:val="00437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sk-SK"/>
    </w:rPr>
  </w:style>
  <w:style w:type="paragraph" w:customStyle="1" w:styleId="xl80">
    <w:name w:val="xl80"/>
    <w:basedOn w:val="Normal"/>
    <w:rsid w:val="00437E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sk-SK"/>
    </w:rPr>
  </w:style>
  <w:style w:type="paragraph" w:customStyle="1" w:styleId="xl81">
    <w:name w:val="xl81"/>
    <w:basedOn w:val="Normal"/>
    <w:rsid w:val="00437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sk-SK"/>
    </w:rPr>
  </w:style>
  <w:style w:type="paragraph" w:customStyle="1" w:styleId="xl82">
    <w:name w:val="xl82"/>
    <w:basedOn w:val="Normal"/>
    <w:rsid w:val="00437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sk-SK"/>
    </w:rPr>
  </w:style>
  <w:style w:type="paragraph" w:customStyle="1" w:styleId="xl83">
    <w:name w:val="xl83"/>
    <w:basedOn w:val="Normal"/>
    <w:rsid w:val="00437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sk-SK"/>
    </w:rPr>
  </w:style>
  <w:style w:type="paragraph" w:customStyle="1" w:styleId="xl84">
    <w:name w:val="xl84"/>
    <w:basedOn w:val="Normal"/>
    <w:rsid w:val="00437EC7"/>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xl85">
    <w:name w:val="xl85"/>
    <w:basedOn w:val="Normal"/>
    <w:rsid w:val="00437E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sk-SK"/>
    </w:rPr>
  </w:style>
  <w:style w:type="paragraph" w:customStyle="1" w:styleId="xl86">
    <w:name w:val="xl86"/>
    <w:basedOn w:val="Normal"/>
    <w:rsid w:val="00437EC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sk-SK"/>
    </w:rPr>
  </w:style>
  <w:style w:type="paragraph" w:customStyle="1" w:styleId="xl87">
    <w:name w:val="xl87"/>
    <w:basedOn w:val="Normal"/>
    <w:rsid w:val="00437EC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sk-SK"/>
    </w:rPr>
  </w:style>
  <w:style w:type="paragraph" w:customStyle="1" w:styleId="xl88">
    <w:name w:val="xl88"/>
    <w:basedOn w:val="Normal"/>
    <w:rsid w:val="00437EC7"/>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sk-SK"/>
    </w:rPr>
  </w:style>
  <w:style w:type="paragraph" w:customStyle="1" w:styleId="xl89">
    <w:name w:val="xl89"/>
    <w:basedOn w:val="Normal"/>
    <w:rsid w:val="00437EC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ubjekty.nbs.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3314</TotalTime>
  <Pages>69</Pages>
  <Words>14059</Words>
  <Characters>80139</Characters>
  <Application>Microsoft Office Word</Application>
  <DocSecurity>0</DocSecurity>
  <Lines>667</Lines>
  <Paragraphs>188</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Ministerstvo hospodárstva Slovenskej republiky</Company>
  <LinksUpToDate>false</LinksUpToDate>
  <CharactersWithSpaces>94010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Hladký Vladimír</cp:lastModifiedBy>
  <cp:revision>253</cp:revision>
  <dcterms:created xsi:type="dcterms:W3CDTF">2023-09-13T07:31:00Z</dcterms:created>
  <dcterms:modified xsi:type="dcterms:W3CDTF">2026-10-16T09:34:00Z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