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17FD2D6C" w:rsidR="00E66622" w:rsidRPr="00785E8D" w:rsidRDefault="00461B69" w:rsidP="00796EBE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VYHODNOTENIE PRIPOMIENKOVÉHO KONANIA</w:t>
      </w:r>
      <w:r w:rsidR="00785E8D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215E64">
        <w:rPr>
          <w:rFonts w:ascii="Times New Roman" w:eastAsia="Times New Roman" w:hAnsi="Times New Roman" w:cs="Times New Roman"/>
          <w:b/>
          <w:sz w:val="24"/>
          <w:szCs w:val="20"/>
        </w:rPr>
        <w:t>Návrh poslanca Národnej rady Slovenskej republiky Daniela KARASA na vydanie zákona, ktorým sa dopĺňa zákon č. 35/2019 Z. z. o finančnej správe a o zmene a doplnení niektorých zákonov v znení neskorších predpisov a ktorým sa dopĺňa zákon č. 563/2009 Z. z. o správe daní (daňový poriadok) a o zmene a doplnení niektorých zákonov v znení neskorších predpisov (tlač 1443)</w:t>
      </w:r>
      <w:r w:rsidR="00917A99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3F1216" w:rsidRPr="00785E8D">
        <w:rPr>
          <w:rFonts w:ascii="Times New Roman" w:eastAsia="Times New Roman" w:hAnsi="Times New Roman" w:cs="Times New Roman"/>
          <w:bCs/>
          <w:sz w:val="24"/>
          <w:szCs w:val="24"/>
        </w:rPr>
        <w:t>LP/2026/512</w:t>
      </w:r>
    </w:p>
    <w:p w14:paraId="37B19B45" w14:textId="0784701B" w:rsidR="00362D69" w:rsidRPr="00362D69" w:rsidRDefault="00785E8D" w:rsidP="00362D6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  <w:sectPr w:rsidR="00362D69" w:rsidRPr="00362D69" w:rsidSect="00362D69">
          <w:footerReference w:type="default" r:id="rId7"/>
          <w:pgSz w:w="15840" w:h="12240" w:orient="landscape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785E8D">
        <w:rPr>
          <w:rFonts w:ascii="Times New Roman" w:eastAsia="Times New Roman" w:hAnsi="Times New Roman" w:cs="Times New Roman"/>
          <w:b/>
          <w:bCs/>
          <w:sz w:val="24"/>
          <w:szCs w:val="24"/>
        </w:rPr>
        <w:t>Spôsob pripomienkového konania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Počet vznesených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  <w:lang w:val="en-US"/>
        </w:rPr>
        <w:t>10/0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vyhodnoten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754CB0">
        <w:rPr>
          <w:rFonts w:ascii="Times New Roman" w:eastAsia="Times New Roman" w:hAnsi="Times New Roman" w:cs="Times New Roman"/>
          <w:sz w:val="24"/>
          <w:szCs w:val="24"/>
        </w:rPr>
        <w:t>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akceptovan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pripomienok, 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18"/>
          <w:szCs w:val="18"/>
        </w:rPr>
        <w:tab/>
      </w:r>
      <w:r w:rsidR="009275DB">
        <w:rPr>
          <w:rFonts w:ascii="Times New Roman" w:eastAsia="Times New Roman" w:hAnsi="Times New Roman" w:cs="Times New Roman"/>
          <w:sz w:val="18"/>
          <w:szCs w:val="18"/>
        </w:rPr>
        <w:tab/>
      </w:r>
      <w:r w:rsidR="00273D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754CB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9275DB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pripomienok, z toho zásadných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0/</w:t>
      </w:r>
      <w:r w:rsidR="008E0404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hAnsi="Times New Roman" w:cs="Times New Roman"/>
          <w:sz w:val="24"/>
          <w:szCs w:val="24"/>
        </w:rPr>
        <w:t>et neakceptovaných pripomienok, z toho zásadných</w:t>
      </w:r>
      <w:r w:rsidR="009275DB">
        <w:rPr>
          <w:rFonts w:ascii="Times New Roman" w:hAnsi="Times New Roman" w:cs="Times New Roman"/>
          <w:sz w:val="24"/>
          <w:szCs w:val="24"/>
        </w:rPr>
        <w:t>:</w:t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4A48F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vznesených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011D51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vyhodnotených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hAnsi="Times New Roman" w:cs="Times New Roman"/>
          <w:sz w:val="24"/>
          <w:szCs w:val="24"/>
        </w:rPr>
        <w:t>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neakceptovaných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362D69">
        <w:rPr>
          <w:sz w:val="24"/>
          <w:szCs w:val="24"/>
        </w:rPr>
        <w:tab/>
      </w:r>
    </w:p>
    <w:p w14:paraId="7416DD4C" w14:textId="08345D1C" w:rsidR="00677591" w:rsidRP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lastRenderedPageBreak/>
        <w:t>Vysvetlivky k použitým skratkám v tabu</w:t>
      </w:r>
      <w:r w:rsidR="00A6034C">
        <w:rPr>
          <w:rFonts w:ascii="Times New Roman" w:eastAsia="Times New Roman" w:hAnsi="Times New Roman" w:cs="Times New Roman"/>
          <w:sz w:val="24"/>
          <w:szCs w:val="24"/>
        </w:rPr>
        <w:t>ľ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>kách:</w:t>
      </w:r>
    </w:p>
    <w:p w14:paraId="6682E303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t>O – obyčajná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A –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N – neakceptovaná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ČA – čiastočne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NEP – neprihliada sa</w:t>
      </w:r>
    </w:p>
    <w:p w14:paraId="1D01C82C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Vyhodnotenie vecných pripomienok</w:t>
      </w:r>
    </w:p>
    <w:p w14:paraId="1F0934E1" w14:textId="3FA44BEE" w:rsidR="007C1A93" w:rsidRPr="00677591" w:rsidRDefault="00E66622" w:rsidP="001E6254">
      <w:pPr>
        <w:keepLines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5AAFA8" w14:textId="1649F593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4B4FA583" w14:textId="62ECD7CF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498D7DF6" w14:textId="5D009C3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6480" w:type="dxa"/>
            <w:vAlign w:val="center"/>
          </w:tcPr>
          <w:p w14:paraId="54262B5F" w14:textId="62E0E806" w:rsidR="000B16EA" w:rsidRPr="00785E8D" w:rsidRDefault="000B16EA" w:rsidP="001E6254">
            <w:pPr>
              <w:keepLines/>
              <w:spacing w:after="0" w:line="240" w:lineRule="auto"/>
              <w:ind w:left="-21" w:firstLine="2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41ADFD06" w14:textId="0CD664FD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2E5EC5EB" w14:textId="449D24DE" w:rsidR="000B16EA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návrhu zákona všeobecne - O: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celom rozsahu sa stotožňujeme so stanoviskom Ministerstva financií Slovenskej republiky uvedeným v predkladacej správe.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Doložke vybraných vplyvov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 predložiť aktuálnu verziu Doložky vybraných vplyvov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súlade s platnou Jednotnou metodikou na posudzovanie vybraných vplyvov.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Odôvodnenie: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Predkladateľom predložená Doložka vybraných vplyvov nie je v súlade s aktuálne platnou Jednotnou metodikou na posudzovanie vybraných vplyvov účinnou od 1.10.2023. Aktuálne platné formuláre sprievodných dokumentov sú k dispozícii na webovom sídle: https://www.economy.gov.sk/podnikatelske-prostredie/jednotna-metodika/posudzovanie-vplyvov-pre-predkladatelov/dokumenty?csrt=15428989065935973543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predkladacej správe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v Čl. I vypustiť navrhovanú úpravu týkajúcu sa absolventskej praxe.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Odôvodnenie:	Podľa poslaneckého návrhu zákona Finančné riaditeľstvo Slovenskej republiky môže na účel vykonávania absolventskej praxe na orgánoch finančnej správy uzatvárať dohody o vykonávaní absolventskej praxe, pričom absolventskú prax môže vykonávať len osoba, ktorá je uchádzačom o zamestnanie. Predložený návrh považujeme v časti absolventskej praxe za nadbytočný. Problematika absolventskej praxe je už upravená v § 51 zákona č. 5/2004 Z. z. o službách zamestnanosti a o zmene a doplnení niektorých zákonov v znení neskorších predpisov (ďalej len „zákon o službách zamestnanosti“) a v plnom rozsahu je aplikovateľná aj pre orgány finančnej správy. Podľa § 3 ods. 1 zákona o službách zamestnanosti sa zamestnávateľom rozumie právnická osoba, ktorá má sídlo alebo sídlo svojej organizačnej jednotky na území Slovenskej republiky, alebo fyzická osoba, ktorá má na území Slovenskej republiky trvalý pobyt a ktorá zamestnáva fyzickú osobu v pracovnom pomere alebo v obdobnom pracovnom vzťahu. Podľa § 51 ods. 2 zákona o službách zamestnanosti sa absolventská prax môže vykonávať na základe uzatvorenej písomnej dohody o absolventskej praxi medzi absolventom školy vedeným v evidencii uchádzačov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 zamestnanie najmenej jeden mesiac a úradom práce, sociálnych vecí a rodiny a na základe uzatvorenej písomnej dohody medzi úradom práce, sociálnych vecí a rodiny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a zamestnávateľom. Podľa § 4 ods. 2 zákona č. 35/2019 Z. z. o finančnej správe a o zmene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a doplnení niektorých zákonov Finančné riaditeľstvo je rozpočtová organizácia zapojená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 štátny rozpočet prostredníctvom rozpočtovej kapitoly ministerstva financií a je služobným úradom príslušníkov finančnej správy, zamestnávateľom zamestnancov, ktorí vykonávajú práce vo verejnom záujme alebo práce na základe dohôd o prácach vykonávaných mimo pracovného pomeru podľa Zákonníka práce na finančnom riaditeľstve, daňových úradoch, colných úradoch a Kriminálnom úrade finančnej správy, služobným úradom štátnych zamestnancov podľa osobitného predpisu.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 vyššie uvedeného jednoznačne vyplýva, že Finančné riaditeľstvo Slovenskej republiky je zamestnávateľom na účely zákona o službách zamestnanosti, a ako také v prípade záujmu o absolventskú prax môže uzatvoriť na účel vykonávania absolventskej praxe na orgánoch finančnej správy dohodu s príslušným úradom práce, sociálnych vecí a rodiny. Nemožno preto súhlasiť ani s tvrdením v dôvodovej správe, že z právneho hľadiska súčasný stav neumožňuje Finančnému riaditeľstvu Slovenskej republiky uzatvárať dohody o vykonávaní absolventskej praxe. Navrhovanú povinnosť osoby vykonávajúcej absolventskú prax zachovávať mlčanlivosť o skutočnostiach, s ktorými sa oboznámila pri vykonávaní praxe, považujeme za nepriamu novelizáciu zákona o službách zamestnanosti. Osoba vykonávajúca absolventskú prax nie je v právnom vzťahu so zamestnávateľom, u ktorého absolventskú prax vykonáva, ale absolventskú prax vykonáva na základe dohody s úradom práce, sociálnych vecí a rodiny. Súčasťou tejto dohody je podľa § 51 ods. 8 písm. e) zákona o službách zamestnanosti aj záväzok absolventa školy dodržiavať všeobecne záväzné právne predpisy, vnútorné predpisy zamestnávateľa a predpisy na zaistenie bezpečnosti a ochrany zdravia pri vykonávaní absolventskej praxe, s ktorými bol preukázateľne oboznámený. Ak by gestor zákona nepovažoval citovanú úpravu v časti zachovania mlčanlivosti za dostatočnú, odporúčame v zákone o službách zamestnanosti explicitne doplniť tento záväzok o povinnosť absolventa školy zachovávať mlčanlivosť o skutočnostiach, s ktorými sa oboznámil pri vykonávaní absolventskej praxe.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návrhu zákona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Považujeme za vhodné zvážiť, aby v návrhu zákona bol obsiahnutý aj princíp minimalizácie údajov a zároveň aj posúdenie možnosti využívať anonymizované údaje bez potreby sprístupňovania daňového tajomstva osobám vykonávajúcim študentskú alebo absolventskú prax.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Národný bezpečnostný úrad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Protimonopolný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priemyselného vlastníctva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verejné obstarávanie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návrhu zákona ako celku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 zásadne nesúhlasí s predloženým návrhom zákona, ktorý rozširuje okruh osôb oprávnených oboznamovať sa s predmetom daňového tajomstva.  Inštitút tajomstva zavedený v osobitných predpisoch, ktorého súčasťou je záväzok mlčanlivosti oprávnených osôb slúži na zníženie rizika prezradenia a ďalšieho neoprávneného nakladania s predmetom zákonne vymedzeného tajomstva. Preto argument v prospech rozšírenia oprávnených osôb, ktorý nespočíva v povahe a účele použitia chránených údajov, ale v personálnych podmienkach budúceho zabezpečovania úloh finančnej správy, smeruje jednoznačne proti oprávnenému záujmu dotknutých účastníkov správnych konaní a kontrolovaných subjektov na ochranu údajov o nich. Formálne rozšírenie okruhu oprávnených osôb v zákone o ďalšie kategórie nepredstavuje z pohľadu informačnej a kybernetickej bezpečnosti samo osebe adekvátne opatrenie informačnej a kybernetickej bezpečnosti. Navyše dočasnosť a obsah právneho vzťahu medzi orgánom finančnej správy a nezamestnaným absolventom, študentom vysokej školy alebo dokonca žiakom strednej školy (ktorý nemá vzhľadom na svoj vek primeranú rozumovú a vôľovú vyspelosť na posúdenie následkov správania)  predstavuje podľa nášho názoru neprimerané riziko úniku informácií  a ich zneužitia. uvedené osoby nemajú dostatok zručností , vedomostí a skúseností, aby sa priamo oboznamovali s citlivými údajmi. ich praktická výučba by mala prebiehať v simulovanom prostredí a na modelových prípadoch. Zároveň upozorňujeme na fakt, že Štatistický úrad Slovenskej republiky, ktorý sa rovnako vyrovnáva s problematikou veku svojich odborných zamestnancov, je prísne viazaný princípom ochrany štatistickej dôvernosti zakotvenom v európskej štatistickej legislatíve a záväznom Kódexe postupov pre európsku štatistiku. Predmetom ochrany štatistickej dôvernosti je aj daňové tajomstvo pri údajoch z administratívnych zdrojov údajov spravovaných Finančným riaditeľstvom SR, ktoré spracúva na štatistické účely. Štatistický úrad SR sa preto v tejto súvislosti obáva, že rozšírenie okruhu oprávnených osôb na oboznamovanie s daňovým tajomstvom sa môže stať v podmienkach SR požadovaným štandardom aj pre štatistické orgány, čo by sekundárne mohlo ohroziť vôľu subjektov (štatistických/spravodajských jednotiek) poskytovať údaje na štatistické účely.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Táto pripomienka je zásadná.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investícií, regionálneho rozvoja a informatizácie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obrany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zahraničných vecí a európskych záležitostí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 výskumu, 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životného prostredia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</w:tbl>
    <w:p w14:paraId="3A57E3AF" w14:textId="77777777" w:rsidR="000B2D78" w:rsidRPr="00785E8D" w:rsidRDefault="000B2D78">
      <w:pPr>
        <w:rPr>
          <w:rFonts w:ascii="Times New Roman" w:hAnsi="Times New Roman" w:cs="Times New Roman"/>
        </w:rPr>
      </w:pPr>
    </w:p>
    <w:p w14:paraId="48602EC8" w14:textId="37FB2F71" w:rsidR="00E66622" w:rsidRPr="00785E8D" w:rsidRDefault="00E66622" w:rsidP="001E6254">
      <w:pPr>
        <w:keepLines/>
        <w:rPr>
          <w:rFonts w:ascii="Times New Roman" w:hAnsi="Times New Roman" w:cs="Times New Roman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hromadné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C7F9BD" w14:textId="5FDA99DB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12485476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7BDCDFBF" w14:textId="7CC13C3E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6480" w:type="dxa"/>
            <w:vAlign w:val="center"/>
          </w:tcPr>
          <w:p w14:paraId="63809B05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5D84DA5A" w14:textId="5E88111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604D4B30" w14:textId="0F85F5F9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Default="00E66622">
      <w:pPr>
        <w:rPr>
          <w:rFonts w:ascii="Times New Roman" w:hAnsi="Times New Roman" w:cs="Times New Roman"/>
        </w:rPr>
      </w:pPr>
    </w:p>
    <w:p w14:paraId="20BAA03A" w14:textId="3B15C826" w:rsidR="00677591" w:rsidRDefault="00677591" w:rsidP="001E6254">
      <w:pPr>
        <w:keepLines/>
        <w:rPr>
          <w:rFonts w:ascii="Times New Roman" w:hAnsi="Times New Roman" w:cs="Times New Roman"/>
          <w:sz w:val="24"/>
          <w:szCs w:val="24"/>
          <w:lang w:val="en-US"/>
        </w:rPr>
      </w:pPr>
      <w:r w:rsidRPr="00677591">
        <w:rPr>
          <w:rFonts w:ascii="Times New Roman" w:hAnsi="Times New Roman" w:cs="Times New Roman"/>
          <w:sz w:val="24"/>
          <w:szCs w:val="24"/>
        </w:rPr>
        <w:t>Sumarizácia vznesených pripomienok pod</w:t>
      </w:r>
      <w:r w:rsidRPr="00677591">
        <w:rPr>
          <w:rFonts w:ascii="Times New Roman" w:hAnsi="Times New Roman" w:cs="Times New Roman"/>
          <w:sz w:val="24"/>
          <w:szCs w:val="24"/>
          <w:lang w:val="en-US"/>
        </w:rPr>
        <w:t>ľa subjektov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6777"/>
        <w:gridCol w:w="1550"/>
        <w:gridCol w:w="1550"/>
        <w:gridCol w:w="1537"/>
        <w:gridCol w:w="1096"/>
      </w:tblGrid>
      <w:tr w:rsidR="00634468" w:rsidRPr="00785E8D" w14:paraId="45EBE45F" w14:textId="77777777" w:rsidTr="008C63F3">
        <w:trPr>
          <w:trHeight w:val="648"/>
          <w:jc w:val="center"/>
        </w:trPr>
        <w:tc>
          <w:tcPr>
            <w:tcW w:w="178" w:type="pct"/>
            <w:tcBorders>
              <w:right w:val="single" w:sz="2" w:space="0" w:color="auto"/>
            </w:tcBorders>
            <w:vAlign w:val="center"/>
          </w:tcPr>
          <w:p w14:paraId="2337D103" w14:textId="702E9A83" w:rsidR="00634468" w:rsidRPr="00785E8D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Č.</w:t>
            </w:r>
          </w:p>
        </w:tc>
        <w:tc>
          <w:tcPr>
            <w:tcW w:w="275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F5A17B0" w14:textId="580FA8A4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613" w:type="pct"/>
            <w:tcBorders>
              <w:left w:val="single" w:sz="2" w:space="0" w:color="auto"/>
            </w:tcBorders>
            <w:vAlign w:val="center"/>
          </w:tcPr>
          <w:p w14:paraId="2E49D00C" w14:textId="475549EF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do termínu</w:t>
            </w:r>
          </w:p>
        </w:tc>
        <w:tc>
          <w:tcPr>
            <w:tcW w:w="613" w:type="pct"/>
            <w:vAlign w:val="center"/>
          </w:tcPr>
          <w:p w14:paraId="2E4B8C3C" w14:textId="1CD05F49" w:rsidR="00634468" w:rsidRPr="00A80C4C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po termíne</w:t>
            </w:r>
          </w:p>
        </w:tc>
        <w:tc>
          <w:tcPr>
            <w:tcW w:w="486" w:type="pct"/>
            <w:vAlign w:val="center"/>
          </w:tcPr>
          <w:p w14:paraId="4561F266" w14:textId="377257BE" w:rsidR="00634468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Nemali pripomienky</w:t>
            </w:r>
          </w:p>
        </w:tc>
        <w:tc>
          <w:tcPr>
            <w:tcW w:w="486" w:type="pct"/>
            <w:vAlign w:val="center"/>
          </w:tcPr>
          <w:p w14:paraId="44212096" w14:textId="60E9F3CB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Vôbec neza</w:t>
            </w:r>
            <w:r w:rsidR="00013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slali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Generálna prokuratúra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dopravy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financií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hospodárstva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cestovného ruchu a športu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investícií, regionálneho rozvoja a informatizácie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kultúry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obrany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pôdohospodárstva a rozvoja vidieka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práce, sociálnych vecí a rodiny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spravodlivosti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vnútra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zdravotníctva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zahraničných vecí a európskych záležitostí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školstva, výskumu, vývoja a mládeže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životného prostredia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Národný bezpečnostný úrad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Protimonopolný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UPVSR POaZE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podpredsedu vlády Slovenskej republiky pre Plán obnovy a znalostnú ekonomiku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jadrového dozoru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priemyselného vlastníctva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verejné obstarávanie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Štatistický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center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Spolu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10 (10o,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10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3</w:t>
            </w:r>
          </w:p>
        </w:tc>
      </w:tr>
    </w:tbl>
    <w:p w14:paraId="1D280440" w14:textId="77777777" w:rsidR="008960F8" w:rsidRPr="00677591" w:rsidRDefault="008960F8" w:rsidP="00C00CF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960F8" w:rsidRPr="00677591" w:rsidSect="00362D69">
      <w:headerReference w:type="first" r:id="rId8"/>
      <w:footerReference w:type="firs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92465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endnote>
  <w:endnote w:type="continuationSeparator" w:id="0">
    <w:p w14:paraId="72C637E6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274362024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45945688" w14:textId="3489CFEE" w:rsidR="00362D69" w:rsidRPr="00362D69" w:rsidRDefault="00362D69">
        <w:pPr>
          <w:pStyle w:val="Footer"/>
          <w:jc w:val="center"/>
          <w:rPr>
            <w:rFonts w:ascii="Times New Roman" w:hAnsi="Times New Roman"/>
          </w:rPr>
        </w:pPr>
        <w:r w:rsidRPr="00362D69">
          <w:rPr>
            <w:rFonts w:ascii="Times New Roman" w:hAnsi="Times New Roman"/>
            <w:noProof w:val="0"/>
          </w:rPr>
          <w:fldChar w:fldCharType="begin"/>
        </w:r>
        <w:r w:rsidRPr="00362D69">
          <w:rPr>
            <w:rFonts w:ascii="Times New Roman" w:hAnsi="Times New Roman"/>
          </w:rPr>
          <w:instrText xml:space="preserve"> PAGE   \* MERGEFORMAT </w:instrText>
        </w:r>
        <w:r w:rsidRPr="00362D69">
          <w:rPr>
            <w:rFonts w:ascii="Times New Roman" w:hAnsi="Times New Roman"/>
            <w:noProof w:val="0"/>
          </w:rPr>
          <w:fldChar w:fldCharType="separate"/>
        </w:r>
        <w:r w:rsidRPr="00362D69">
          <w:rPr>
            <w:rFonts w:ascii="Times New Roman" w:hAnsi="Times New Roman"/>
          </w:rPr>
          <w:t>2</w:t>
        </w:r>
        <w:r w:rsidRPr="00362D69">
          <w:rPr>
            <w:rFonts w:ascii="Times New Roman" w:hAnsi="Times New Roman"/>
          </w:rPr>
          <w:fldChar w:fldCharType="end"/>
        </w:r>
      </w:p>
    </w:sdtContent>
  </w:sdt>
  <w:p w14:paraId="1A536CAE" w14:textId="77777777" w:rsidR="00362D69" w:rsidRDefault="00362D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7091464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87DCFBA" w14:textId="77777777" w:rsidR="00362D69" w:rsidRPr="003E3F51" w:rsidRDefault="00362D69">
        <w:pPr>
          <w:pStyle w:val="Footer"/>
          <w:jc w:val="center"/>
          <w:rPr>
            <w:rFonts w:ascii="Times New Roman" w:hAnsi="Times New Roman" w:cs="Times New Roman"/>
          </w:rPr>
        </w:pPr>
        <w:r w:rsidRPr="003E3F51">
          <w:rPr>
            <w:rFonts w:ascii="Times New Roman" w:hAnsi="Times New Roman" w:cs="Times New Roman"/>
            <w:noProof w:val="0"/>
          </w:rPr>
          <w:fldChar w:fldCharType="begin"/>
        </w:r>
        <w:r w:rsidRPr="003E3F51">
          <w:rPr>
            <w:rFonts w:ascii="Times New Roman" w:hAnsi="Times New Roman" w:cs="Times New Roman"/>
          </w:rPr>
          <w:instrText xml:space="preserve"> PAGE   \* MERGEFORMAT </w:instrText>
        </w:r>
        <w:r w:rsidRPr="003E3F51">
          <w:rPr>
            <w:rFonts w:ascii="Times New Roman" w:hAnsi="Times New Roman" w:cs="Times New Roman"/>
            <w:noProof w:val="0"/>
          </w:rPr>
          <w:fldChar w:fldCharType="separate"/>
        </w:r>
        <w:r w:rsidRPr="003E3F51">
          <w:rPr>
            <w:rFonts w:ascii="Times New Roman" w:hAnsi="Times New Roman" w:cs="Times New Roman"/>
          </w:rPr>
          <w:t>2</w:t>
        </w:r>
        <w:r w:rsidRPr="003E3F51">
          <w:rPr>
            <w:rFonts w:ascii="Times New Roman" w:hAnsi="Times New Roman" w:cs="Times New Roman"/>
          </w:rPr>
          <w:fldChar w:fldCharType="end"/>
        </w:r>
      </w:p>
    </w:sdtContent>
  </w:sdt>
  <w:p w14:paraId="1D96E3B8" w14:textId="77777777" w:rsidR="00362D69" w:rsidRDefault="00362D69" w:rsidP="00FD38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C60E1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footnote>
  <w:footnote w:type="continuationSeparator" w:id="0">
    <w:p w14:paraId="1ED6E918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88A22" w14:textId="77777777" w:rsidR="00362D69" w:rsidRDefault="00362D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11D51"/>
    <w:rsid w:val="0001352E"/>
    <w:rsid w:val="00047E84"/>
    <w:rsid w:val="00050137"/>
    <w:rsid w:val="0006133B"/>
    <w:rsid w:val="000A2F5F"/>
    <w:rsid w:val="000B16EA"/>
    <w:rsid w:val="000B2D78"/>
    <w:rsid w:val="000C172E"/>
    <w:rsid w:val="000D3CA3"/>
    <w:rsid w:val="000D5402"/>
    <w:rsid w:val="001228AD"/>
    <w:rsid w:val="00131490"/>
    <w:rsid w:val="00131742"/>
    <w:rsid w:val="001433FA"/>
    <w:rsid w:val="00146A7D"/>
    <w:rsid w:val="00176679"/>
    <w:rsid w:val="0019276A"/>
    <w:rsid w:val="001B1BE3"/>
    <w:rsid w:val="001D2B4E"/>
    <w:rsid w:val="001E50FA"/>
    <w:rsid w:val="001E6254"/>
    <w:rsid w:val="001F2C94"/>
    <w:rsid w:val="001F5D28"/>
    <w:rsid w:val="001F777F"/>
    <w:rsid w:val="00215E64"/>
    <w:rsid w:val="00231554"/>
    <w:rsid w:val="00237490"/>
    <w:rsid w:val="00245F36"/>
    <w:rsid w:val="0026614F"/>
    <w:rsid w:val="002715E0"/>
    <w:rsid w:val="00273DAE"/>
    <w:rsid w:val="0029170C"/>
    <w:rsid w:val="00295E6A"/>
    <w:rsid w:val="002A0A58"/>
    <w:rsid w:val="002A4482"/>
    <w:rsid w:val="002D3B5E"/>
    <w:rsid w:val="002E17D6"/>
    <w:rsid w:val="002F4660"/>
    <w:rsid w:val="002F717D"/>
    <w:rsid w:val="003034A4"/>
    <w:rsid w:val="00303CA7"/>
    <w:rsid w:val="00335FFB"/>
    <w:rsid w:val="00343965"/>
    <w:rsid w:val="00362D69"/>
    <w:rsid w:val="003640A5"/>
    <w:rsid w:val="003A59FA"/>
    <w:rsid w:val="003C31D4"/>
    <w:rsid w:val="003E3F51"/>
    <w:rsid w:val="003E641E"/>
    <w:rsid w:val="003E7146"/>
    <w:rsid w:val="003F1216"/>
    <w:rsid w:val="003F37C1"/>
    <w:rsid w:val="004050CF"/>
    <w:rsid w:val="00405348"/>
    <w:rsid w:val="00434080"/>
    <w:rsid w:val="00461B69"/>
    <w:rsid w:val="0048545F"/>
    <w:rsid w:val="004A12EE"/>
    <w:rsid w:val="004A48F0"/>
    <w:rsid w:val="004A62B8"/>
    <w:rsid w:val="004B4188"/>
    <w:rsid w:val="004C6C3C"/>
    <w:rsid w:val="004E0BF7"/>
    <w:rsid w:val="004F10FF"/>
    <w:rsid w:val="004F4092"/>
    <w:rsid w:val="00500EBD"/>
    <w:rsid w:val="00506E0B"/>
    <w:rsid w:val="00511A3C"/>
    <w:rsid w:val="00513767"/>
    <w:rsid w:val="005146CA"/>
    <w:rsid w:val="005259A1"/>
    <w:rsid w:val="0053699B"/>
    <w:rsid w:val="00550D13"/>
    <w:rsid w:val="00583F11"/>
    <w:rsid w:val="0059287B"/>
    <w:rsid w:val="005B618C"/>
    <w:rsid w:val="005C0A7E"/>
    <w:rsid w:val="005C4CF5"/>
    <w:rsid w:val="005E6A45"/>
    <w:rsid w:val="005F3B1C"/>
    <w:rsid w:val="005F3E6F"/>
    <w:rsid w:val="005F5908"/>
    <w:rsid w:val="00602231"/>
    <w:rsid w:val="006031E3"/>
    <w:rsid w:val="00634468"/>
    <w:rsid w:val="006371D1"/>
    <w:rsid w:val="00641DD8"/>
    <w:rsid w:val="006434AC"/>
    <w:rsid w:val="00664F3B"/>
    <w:rsid w:val="00677591"/>
    <w:rsid w:val="00695857"/>
    <w:rsid w:val="006C2D6E"/>
    <w:rsid w:val="006D051F"/>
    <w:rsid w:val="0070694E"/>
    <w:rsid w:val="00707B3A"/>
    <w:rsid w:val="0072062B"/>
    <w:rsid w:val="00724A0E"/>
    <w:rsid w:val="00726A34"/>
    <w:rsid w:val="00727704"/>
    <w:rsid w:val="00745443"/>
    <w:rsid w:val="00754CB0"/>
    <w:rsid w:val="0077472A"/>
    <w:rsid w:val="00774ED8"/>
    <w:rsid w:val="00776E62"/>
    <w:rsid w:val="00784062"/>
    <w:rsid w:val="00785E8D"/>
    <w:rsid w:val="00796E02"/>
    <w:rsid w:val="00796EBE"/>
    <w:rsid w:val="007C1A93"/>
    <w:rsid w:val="007C678D"/>
    <w:rsid w:val="007E7C38"/>
    <w:rsid w:val="007E7E01"/>
    <w:rsid w:val="007F53D4"/>
    <w:rsid w:val="0084532B"/>
    <w:rsid w:val="0087153C"/>
    <w:rsid w:val="008741FE"/>
    <w:rsid w:val="00876D47"/>
    <w:rsid w:val="008960F8"/>
    <w:rsid w:val="008C2612"/>
    <w:rsid w:val="008C63F3"/>
    <w:rsid w:val="008D299D"/>
    <w:rsid w:val="008E0404"/>
    <w:rsid w:val="008F1FF3"/>
    <w:rsid w:val="00913D14"/>
    <w:rsid w:val="00917A99"/>
    <w:rsid w:val="00925ABD"/>
    <w:rsid w:val="009275DB"/>
    <w:rsid w:val="00932936"/>
    <w:rsid w:val="00947810"/>
    <w:rsid w:val="00980D7A"/>
    <w:rsid w:val="009912BF"/>
    <w:rsid w:val="00995007"/>
    <w:rsid w:val="009B0C1F"/>
    <w:rsid w:val="009B1491"/>
    <w:rsid w:val="009D152C"/>
    <w:rsid w:val="009D32B4"/>
    <w:rsid w:val="009D3FBE"/>
    <w:rsid w:val="009F35D2"/>
    <w:rsid w:val="00A070EB"/>
    <w:rsid w:val="00A6034C"/>
    <w:rsid w:val="00A61348"/>
    <w:rsid w:val="00A80C4C"/>
    <w:rsid w:val="00A81039"/>
    <w:rsid w:val="00AD6CAE"/>
    <w:rsid w:val="00AE09D4"/>
    <w:rsid w:val="00AF678C"/>
    <w:rsid w:val="00B02EF2"/>
    <w:rsid w:val="00B0310C"/>
    <w:rsid w:val="00B11932"/>
    <w:rsid w:val="00B13C0C"/>
    <w:rsid w:val="00B41FEA"/>
    <w:rsid w:val="00B60148"/>
    <w:rsid w:val="00B74B69"/>
    <w:rsid w:val="00B8742A"/>
    <w:rsid w:val="00B946A0"/>
    <w:rsid w:val="00BD7F55"/>
    <w:rsid w:val="00BE323C"/>
    <w:rsid w:val="00BF207A"/>
    <w:rsid w:val="00C00CF3"/>
    <w:rsid w:val="00C42676"/>
    <w:rsid w:val="00C43D79"/>
    <w:rsid w:val="00C53F43"/>
    <w:rsid w:val="00C62C70"/>
    <w:rsid w:val="00C84A5B"/>
    <w:rsid w:val="00CD7313"/>
    <w:rsid w:val="00D40591"/>
    <w:rsid w:val="00D44E47"/>
    <w:rsid w:val="00D466F6"/>
    <w:rsid w:val="00D50310"/>
    <w:rsid w:val="00D610D0"/>
    <w:rsid w:val="00D91683"/>
    <w:rsid w:val="00DA267A"/>
    <w:rsid w:val="00DD2850"/>
    <w:rsid w:val="00DD302E"/>
    <w:rsid w:val="00DD7CB5"/>
    <w:rsid w:val="00DE3F5A"/>
    <w:rsid w:val="00E06854"/>
    <w:rsid w:val="00E07639"/>
    <w:rsid w:val="00E078E8"/>
    <w:rsid w:val="00E11D16"/>
    <w:rsid w:val="00E245BC"/>
    <w:rsid w:val="00E37A37"/>
    <w:rsid w:val="00E41A2D"/>
    <w:rsid w:val="00E66622"/>
    <w:rsid w:val="00E741B6"/>
    <w:rsid w:val="00E92A50"/>
    <w:rsid w:val="00EA23A2"/>
    <w:rsid w:val="00EB4CEF"/>
    <w:rsid w:val="00ED6E83"/>
    <w:rsid w:val="00EE00C6"/>
    <w:rsid w:val="00F23986"/>
    <w:rsid w:val="00F273EE"/>
    <w:rsid w:val="00F456DC"/>
    <w:rsid w:val="00F727C3"/>
    <w:rsid w:val="00F758C6"/>
    <w:rsid w:val="00F8431B"/>
    <w:rsid w:val="00F85AB8"/>
    <w:rsid w:val="00F907A2"/>
    <w:rsid w:val="00FA016F"/>
    <w:rsid w:val="00FA0A5A"/>
    <w:rsid w:val="00FA40AE"/>
    <w:rsid w:val="00FC0831"/>
    <w:rsid w:val="00FD38D1"/>
    <w:rsid w:val="00FE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0F8"/>
    <w:rPr>
      <w:noProof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oter1.xml" Type="http://schemas.openxmlformats.org/officeDocument/2006/relationships/footer"/><Relationship Id="rId8" Target="header1.xml" Type="http://schemas.openxmlformats.org/officeDocument/2006/relationships/head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3904B-5DF0-4166-8157-7EF183BD1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2025-01-21T10:34:00Z</dcterms:modified>
  <cp:revision>80</cp:revision>
</cp:coreProperties>
</file>