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9424A" w14:textId="77777777" w:rsidR="008B7F53" w:rsidRPr="00E71D2D" w:rsidRDefault="008B7F53" w:rsidP="008B7F53">
      <w:pPr>
        <w:spacing w:after="120"/>
        <w:jc w:val="center"/>
        <w:rPr>
          <w:rFonts w:eastAsia="Calibri"/>
          <w:b/>
          <w:bCs/>
          <w:sz w:val="24"/>
          <w:szCs w:val="24"/>
        </w:rPr>
      </w:pPr>
      <w:r w:rsidRPr="00E71D2D">
        <w:rPr>
          <w:rFonts w:eastAsia="Calibri"/>
          <w:b/>
          <w:bCs/>
          <w:sz w:val="24"/>
          <w:szCs w:val="24"/>
        </w:rPr>
        <w:t>NARIADENIE VLÁDY</w:t>
      </w:r>
    </w:p>
    <w:p w14:paraId="0650BDFE" w14:textId="77777777" w:rsidR="008B7F53" w:rsidRPr="00E71D2D" w:rsidRDefault="008B7F53" w:rsidP="008B7F53">
      <w:pPr>
        <w:spacing w:after="120"/>
        <w:jc w:val="center"/>
        <w:rPr>
          <w:rFonts w:eastAsia="Calibri"/>
          <w:b/>
          <w:bCs/>
          <w:sz w:val="24"/>
          <w:szCs w:val="24"/>
        </w:rPr>
      </w:pPr>
      <w:r w:rsidRPr="00E71D2D">
        <w:rPr>
          <w:rFonts w:eastAsia="Calibri"/>
          <w:b/>
          <w:bCs/>
          <w:sz w:val="24"/>
          <w:szCs w:val="24"/>
        </w:rPr>
        <w:t>Slovenskej republiky</w:t>
      </w:r>
    </w:p>
    <w:p w14:paraId="62957A16" w14:textId="77777777" w:rsidR="008B7F53" w:rsidRPr="00E71D2D" w:rsidRDefault="008B7F53" w:rsidP="008B7F53">
      <w:pPr>
        <w:spacing w:after="120"/>
        <w:jc w:val="center"/>
        <w:rPr>
          <w:rFonts w:eastAsia="Calibri"/>
          <w:b/>
          <w:bCs/>
          <w:sz w:val="24"/>
          <w:szCs w:val="24"/>
        </w:rPr>
      </w:pPr>
    </w:p>
    <w:p w14:paraId="1B797C68" w14:textId="77777777" w:rsidR="008B7F53" w:rsidRPr="00E71D2D" w:rsidRDefault="008B7F53" w:rsidP="008B7F53">
      <w:pPr>
        <w:spacing w:after="120"/>
        <w:jc w:val="center"/>
        <w:rPr>
          <w:rFonts w:eastAsia="Calibri"/>
          <w:b/>
          <w:bCs/>
          <w:sz w:val="24"/>
          <w:szCs w:val="24"/>
        </w:rPr>
      </w:pPr>
      <w:r w:rsidRPr="00E71D2D">
        <w:rPr>
          <w:rFonts w:eastAsia="Calibri"/>
          <w:b/>
          <w:bCs/>
          <w:sz w:val="24"/>
          <w:szCs w:val="24"/>
        </w:rPr>
        <w:t>z ..... 2026,</w:t>
      </w:r>
    </w:p>
    <w:p w14:paraId="1EA6502A" w14:textId="77777777" w:rsidR="008B7F53" w:rsidRPr="00E71D2D" w:rsidRDefault="008B7F53" w:rsidP="008B7F53">
      <w:pPr>
        <w:spacing w:after="120"/>
        <w:jc w:val="center"/>
        <w:rPr>
          <w:rFonts w:eastAsia="Calibri"/>
          <w:b/>
          <w:bCs/>
          <w:sz w:val="24"/>
          <w:szCs w:val="24"/>
        </w:rPr>
      </w:pPr>
    </w:p>
    <w:p w14:paraId="6D5E1F71" w14:textId="7EA3FA1C" w:rsidR="008B7F53" w:rsidRPr="00E71D2D" w:rsidRDefault="008B7F53" w:rsidP="008B7F53">
      <w:pPr>
        <w:spacing w:after="120"/>
        <w:jc w:val="center"/>
        <w:rPr>
          <w:rFonts w:eastAsia="Calibri"/>
          <w:b/>
          <w:bCs/>
          <w:sz w:val="24"/>
          <w:szCs w:val="24"/>
        </w:rPr>
      </w:pPr>
      <w:r w:rsidRPr="28E18FF1">
        <w:rPr>
          <w:rFonts w:eastAsia="Calibri"/>
          <w:b/>
          <w:bCs/>
          <w:sz w:val="24"/>
          <w:szCs w:val="24"/>
        </w:rPr>
        <w:t xml:space="preserve">ktorým sa </w:t>
      </w:r>
      <w:r w:rsidR="00E71D2D" w:rsidRPr="28E18FF1">
        <w:rPr>
          <w:rFonts w:eastAsia="Calibri"/>
          <w:b/>
          <w:bCs/>
          <w:sz w:val="24"/>
          <w:szCs w:val="24"/>
        </w:rPr>
        <w:t xml:space="preserve">mení </w:t>
      </w:r>
      <w:r w:rsidRPr="28E18FF1">
        <w:rPr>
          <w:rFonts w:eastAsia="Calibri"/>
          <w:b/>
          <w:bCs/>
          <w:sz w:val="24"/>
          <w:szCs w:val="24"/>
        </w:rPr>
        <w:t>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 hromadným prílevom cudzincov na územie Slovenskej republiky spôsobeným ozbrojeným konfliktom na území Ukrajiny v znení neskorších predpisov</w:t>
      </w:r>
    </w:p>
    <w:p w14:paraId="4EE91721" w14:textId="77777777" w:rsidR="008B7F53" w:rsidRPr="00E71D2D" w:rsidRDefault="008B7F53" w:rsidP="008B7F53">
      <w:pPr>
        <w:spacing w:after="120"/>
        <w:jc w:val="center"/>
        <w:rPr>
          <w:rFonts w:eastAsia="Calibri"/>
          <w:bCs/>
          <w:sz w:val="24"/>
          <w:szCs w:val="24"/>
        </w:rPr>
      </w:pPr>
    </w:p>
    <w:p w14:paraId="5F29282D" w14:textId="77777777" w:rsidR="008B7F53" w:rsidRPr="00E71D2D" w:rsidRDefault="008B7F53" w:rsidP="008B7F53">
      <w:pPr>
        <w:spacing w:after="120"/>
        <w:jc w:val="both"/>
        <w:rPr>
          <w:rFonts w:eastAsia="Calibri"/>
          <w:bCs/>
          <w:sz w:val="24"/>
          <w:szCs w:val="24"/>
        </w:rPr>
      </w:pPr>
      <w:r w:rsidRPr="00E71D2D">
        <w:rPr>
          <w:rFonts w:eastAsia="Calibri"/>
          <w:bCs/>
          <w:sz w:val="24"/>
          <w:szCs w:val="24"/>
        </w:rPr>
        <w:t>Vláda Slovenskej republiky pod</w:t>
      </w:r>
      <w:r w:rsidRPr="00E71D2D">
        <w:rPr>
          <w:rFonts w:eastAsia="Calibri"/>
          <w:bCs/>
          <w:color w:val="000000" w:themeColor="text1"/>
          <w:sz w:val="24"/>
          <w:szCs w:val="24"/>
        </w:rPr>
        <w:t>ľa </w:t>
      </w:r>
      <w:hyperlink r:id="rId5" w:anchor="paragraf-15a" w:tooltip="Odkaz na predpis alebo ustanovenie" w:history="1">
        <w:r w:rsidRPr="00E71D2D">
          <w:rPr>
            <w:rStyle w:val="Hypertextovprepojenie"/>
            <w:rFonts w:eastAsia="Calibri"/>
            <w:bCs/>
            <w:color w:val="000000" w:themeColor="text1"/>
            <w:sz w:val="24"/>
            <w:szCs w:val="24"/>
            <w:u w:val="none"/>
          </w:rPr>
          <w:t>§ 15a zákona č. 544/2010 Z. z.</w:t>
        </w:r>
      </w:hyperlink>
      <w:r w:rsidRPr="00E71D2D">
        <w:rPr>
          <w:rFonts w:eastAsia="Calibri"/>
          <w:bCs/>
          <w:sz w:val="24"/>
          <w:szCs w:val="24"/>
        </w:rPr>
        <w:t> o dotáciách v pôsobnosti Ministerstva práce, sociálnych vecí a rodiny Slovenskej republiky v znení zákona č. 89/2020 Z. z. nariaďuje:</w:t>
      </w:r>
    </w:p>
    <w:p w14:paraId="48F7225C" w14:textId="77777777" w:rsidR="008B7F53" w:rsidRPr="00E71D2D" w:rsidRDefault="008B7F53" w:rsidP="00994BB8">
      <w:pPr>
        <w:spacing w:after="120"/>
        <w:jc w:val="center"/>
        <w:rPr>
          <w:rFonts w:eastAsia="Calibri"/>
          <w:b/>
          <w:bCs/>
          <w:sz w:val="24"/>
          <w:szCs w:val="24"/>
        </w:rPr>
      </w:pPr>
      <w:r w:rsidRPr="00E71D2D">
        <w:rPr>
          <w:rFonts w:eastAsia="Calibri"/>
          <w:b/>
          <w:bCs/>
          <w:sz w:val="24"/>
          <w:szCs w:val="24"/>
        </w:rPr>
        <w:t>Čl. I</w:t>
      </w:r>
    </w:p>
    <w:p w14:paraId="4BEDFF5C" w14:textId="1988298C" w:rsidR="008B7F53" w:rsidRPr="00E71D2D" w:rsidRDefault="00994BB8" w:rsidP="28E18FF1">
      <w:pPr>
        <w:spacing w:after="120"/>
        <w:jc w:val="both"/>
        <w:rPr>
          <w:rFonts w:eastAsia="Calibri"/>
          <w:sz w:val="24"/>
          <w:szCs w:val="24"/>
        </w:rPr>
      </w:pPr>
      <w:r w:rsidRPr="28E18FF1">
        <w:rPr>
          <w:rFonts w:eastAsia="Calibri"/>
          <w:sz w:val="24"/>
          <w:szCs w:val="24"/>
        </w:rPr>
        <w:t xml:space="preserve">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 hromadným prílevom cudzincov na územie Slovenskej republiky spôsobeným ozbrojeným konfliktom na území Ukrajiny v znení nariadenia vlády Slovenskej republiky č. 143/2022 Z. z., nariadenia vlády Slovenskej republiky č. 292/2022 Z. z., nariadenia vlády Slovenskej republiky č. 326/2022 Z. z., nariadenia vlády Slovenskej republiky č. 374/2022 Z. z., nariadenia vlády Slovenskej republiky č. 416/2022 Z. z., nariadenia vlády Slovenskej republiky č. 524/2022 Z. z., nariadenia vlády Slovenskej republiky č. 155/2023 Z. z., nariadenia vlády Slovenskej republiky č. 290/2025 Z. z., nariadenia vlády Slovenskej republiky č. 309/2025 Z. z. a nariadenia vlády Slovenskej republiky  č. 352/2025 Z. z. </w:t>
      </w:r>
      <w:r w:rsidR="008B7F53" w:rsidRPr="28E18FF1">
        <w:rPr>
          <w:rFonts w:eastAsia="Calibri"/>
          <w:sz w:val="24"/>
          <w:szCs w:val="24"/>
        </w:rPr>
        <w:t>sa</w:t>
      </w:r>
      <w:r w:rsidR="00E71D2D" w:rsidRPr="28E18FF1">
        <w:rPr>
          <w:rFonts w:eastAsia="Calibri"/>
          <w:sz w:val="24"/>
          <w:szCs w:val="24"/>
        </w:rPr>
        <w:t xml:space="preserve"> mení </w:t>
      </w:r>
      <w:r w:rsidR="008B7F53" w:rsidRPr="28E18FF1">
        <w:rPr>
          <w:rFonts w:eastAsia="Calibri"/>
          <w:sz w:val="24"/>
          <w:szCs w:val="24"/>
        </w:rPr>
        <w:t>takto:</w:t>
      </w:r>
    </w:p>
    <w:p w14:paraId="046A4165" w14:textId="77777777" w:rsidR="008B7F53" w:rsidRPr="00E71D2D" w:rsidRDefault="008B7F53" w:rsidP="008B7F53">
      <w:pPr>
        <w:spacing w:after="120"/>
        <w:jc w:val="both"/>
        <w:rPr>
          <w:rFonts w:eastAsia="Calibri"/>
          <w:bCs/>
          <w:sz w:val="24"/>
          <w:szCs w:val="24"/>
        </w:rPr>
      </w:pPr>
    </w:p>
    <w:p w14:paraId="6D323134" w14:textId="17AE9669" w:rsidR="00DC6109" w:rsidRDefault="00DC6109" w:rsidP="28E18FF1">
      <w:pPr>
        <w:numPr>
          <w:ilvl w:val="0"/>
          <w:numId w:val="3"/>
        </w:numPr>
        <w:spacing w:after="120"/>
        <w:jc w:val="both"/>
        <w:rPr>
          <w:rFonts w:eastAsia="Calibri"/>
          <w:sz w:val="24"/>
          <w:szCs w:val="24"/>
        </w:rPr>
      </w:pPr>
      <w:r w:rsidRPr="28E18FF1">
        <w:rPr>
          <w:rFonts w:eastAsia="Calibri"/>
          <w:sz w:val="24"/>
          <w:szCs w:val="24"/>
        </w:rPr>
        <w:t>V § 3n  ods</w:t>
      </w:r>
      <w:r w:rsidR="3C672D20" w:rsidRPr="28E18FF1">
        <w:rPr>
          <w:rFonts w:eastAsia="Calibri"/>
          <w:sz w:val="24"/>
          <w:szCs w:val="24"/>
        </w:rPr>
        <w:t>ek</w:t>
      </w:r>
      <w:r w:rsidRPr="28E18FF1">
        <w:rPr>
          <w:rFonts w:eastAsia="Calibri"/>
          <w:sz w:val="24"/>
          <w:szCs w:val="24"/>
        </w:rPr>
        <w:t xml:space="preserve"> 4 </w:t>
      </w:r>
      <w:r w:rsidR="3C6C61FC" w:rsidRPr="28E18FF1">
        <w:rPr>
          <w:rFonts w:eastAsia="Calibri"/>
          <w:sz w:val="24"/>
          <w:szCs w:val="24"/>
        </w:rPr>
        <w:t>znie :</w:t>
      </w:r>
    </w:p>
    <w:p w14:paraId="1EDE40B8" w14:textId="5F917E63" w:rsidR="00DC6109" w:rsidRDefault="3C6C61FC" w:rsidP="000262DB">
      <w:pPr>
        <w:spacing w:after="120"/>
        <w:jc w:val="both"/>
      </w:pPr>
      <w:r w:rsidRPr="28E18FF1">
        <w:rPr>
          <w:sz w:val="24"/>
          <w:szCs w:val="24"/>
        </w:rPr>
        <w:t>„</w:t>
      </w:r>
      <w:r w:rsidRPr="28E18FF1">
        <w:rPr>
          <w:rFonts w:eastAsia="Calibri"/>
          <w:sz w:val="24"/>
          <w:szCs w:val="24"/>
        </w:rPr>
        <w:t xml:space="preserve">(4) </w:t>
      </w:r>
      <w:r w:rsidRPr="000262DB">
        <w:rPr>
          <w:rFonts w:eastAsia="Calibri"/>
          <w:sz w:val="24"/>
          <w:szCs w:val="24"/>
        </w:rPr>
        <w:t>Dotáciu podľa odseku 1 nemožno poskytnúť žiadateľovi,</w:t>
      </w:r>
    </w:p>
    <w:p w14:paraId="4AF6ADE2" w14:textId="4C79CE40" w:rsidR="00DC6109" w:rsidRPr="000262DB" w:rsidRDefault="3C6C61FC" w:rsidP="000262DB">
      <w:pPr>
        <w:pStyle w:val="Odsekzoznamu"/>
        <w:numPr>
          <w:ilvl w:val="0"/>
          <w:numId w:val="1"/>
        </w:numPr>
        <w:spacing w:after="120"/>
        <w:rPr>
          <w:rFonts w:eastAsia="Calibri"/>
          <w:sz w:val="24"/>
          <w:szCs w:val="24"/>
        </w:rPr>
      </w:pPr>
      <w:r w:rsidRPr="000262DB">
        <w:rPr>
          <w:rFonts w:eastAsia="Calibri"/>
          <w:sz w:val="24"/>
          <w:szCs w:val="24"/>
        </w:rPr>
        <w:t>ktorému sa poskytuje sociálna služba uvedená v § 3b písm. a) bode 1j až 1p,</w:t>
      </w:r>
    </w:p>
    <w:p w14:paraId="2B0C3DA7" w14:textId="7DD1EE8D" w:rsidR="00DC6109" w:rsidRDefault="3C6C61FC" w:rsidP="000262DB">
      <w:pPr>
        <w:pStyle w:val="Odsekzoznamu"/>
        <w:numPr>
          <w:ilvl w:val="0"/>
          <w:numId w:val="1"/>
        </w:numPr>
        <w:spacing w:after="120"/>
        <w:rPr>
          <w:rFonts w:eastAsia="Calibri"/>
          <w:sz w:val="24"/>
          <w:szCs w:val="24"/>
        </w:rPr>
      </w:pPr>
      <w:r w:rsidRPr="000262DB">
        <w:rPr>
          <w:rFonts w:eastAsia="Calibri"/>
          <w:sz w:val="24"/>
          <w:szCs w:val="24"/>
        </w:rPr>
        <w:t>ktorý sa nezdržiava na území Slovenskej republiky alebo</w:t>
      </w:r>
    </w:p>
    <w:p w14:paraId="2E3A62C7" w14:textId="4BB6B7E7" w:rsidR="00DC6109" w:rsidRDefault="3C6C61FC" w:rsidP="000262DB">
      <w:pPr>
        <w:pStyle w:val="Odsekzoznamu"/>
        <w:numPr>
          <w:ilvl w:val="0"/>
          <w:numId w:val="1"/>
        </w:numPr>
        <w:spacing w:after="120"/>
      </w:pPr>
      <w:r w:rsidRPr="28E18FF1">
        <w:rPr>
          <w:rFonts w:eastAsia="Calibri"/>
          <w:sz w:val="24"/>
          <w:szCs w:val="24"/>
        </w:rPr>
        <w:t>ktorému sa poskytuje preddavok na príspevok na pomoc pri odkázanosti na pomoc inej fyzickej osoby alebo príspevok na pomoc pri odkázanosti na pomoc inej fyzickej osoby.</w:t>
      </w:r>
      <w:r w:rsidR="7161ABB1" w:rsidRPr="28E18FF1">
        <w:rPr>
          <w:sz w:val="24"/>
          <w:szCs w:val="24"/>
        </w:rPr>
        <w:t>“.</w:t>
      </w:r>
    </w:p>
    <w:p w14:paraId="61D3F409" w14:textId="0FFE858F" w:rsidR="00DC6109" w:rsidRDefault="00DC6109" w:rsidP="000262DB">
      <w:pPr>
        <w:pStyle w:val="Odsekzoznamu"/>
        <w:spacing w:after="120"/>
        <w:ind w:left="360"/>
      </w:pPr>
    </w:p>
    <w:p w14:paraId="61EE17FB" w14:textId="0CB866CB" w:rsidR="00DC6109" w:rsidRDefault="2BD7BFC5" w:rsidP="28E18FF1">
      <w:pPr>
        <w:numPr>
          <w:ilvl w:val="0"/>
          <w:numId w:val="3"/>
        </w:numPr>
        <w:spacing w:after="120"/>
        <w:jc w:val="both"/>
        <w:rPr>
          <w:rFonts w:eastAsia="Calibri"/>
          <w:sz w:val="24"/>
          <w:szCs w:val="24"/>
        </w:rPr>
      </w:pPr>
      <w:r w:rsidRPr="28E18FF1">
        <w:rPr>
          <w:rFonts w:eastAsia="Calibri"/>
          <w:sz w:val="24"/>
          <w:szCs w:val="24"/>
        </w:rPr>
        <w:t>§ 3aa</w:t>
      </w:r>
      <w:r w:rsidR="0F5D8161" w:rsidRPr="28E18FF1">
        <w:rPr>
          <w:rFonts w:eastAsia="Calibri"/>
          <w:sz w:val="24"/>
          <w:szCs w:val="24"/>
        </w:rPr>
        <w:t xml:space="preserve"> až 3z</w:t>
      </w:r>
      <w:r w:rsidR="00DC6109" w:rsidRPr="28E18FF1">
        <w:rPr>
          <w:rFonts w:eastAsia="Calibri"/>
          <w:sz w:val="24"/>
          <w:szCs w:val="24"/>
        </w:rPr>
        <w:t xml:space="preserve"> </w:t>
      </w:r>
      <w:r w:rsidR="0391F251" w:rsidRPr="28E18FF1">
        <w:rPr>
          <w:rFonts w:eastAsia="Calibri"/>
          <w:sz w:val="24"/>
          <w:szCs w:val="24"/>
        </w:rPr>
        <w:t>vrátane nadpisov a nadpis</w:t>
      </w:r>
      <w:r w:rsidR="73B58415" w:rsidRPr="28E18FF1">
        <w:rPr>
          <w:rFonts w:eastAsia="Calibri"/>
          <w:sz w:val="24"/>
          <w:szCs w:val="24"/>
        </w:rPr>
        <w:t>ov</w:t>
      </w:r>
      <w:r w:rsidR="0391F251" w:rsidRPr="28E18FF1">
        <w:rPr>
          <w:rFonts w:eastAsia="Calibri"/>
          <w:sz w:val="24"/>
          <w:szCs w:val="24"/>
        </w:rPr>
        <w:t xml:space="preserve"> nad § 3b, </w:t>
      </w:r>
      <w:r w:rsidR="191CD17C" w:rsidRPr="28E18FF1">
        <w:rPr>
          <w:rFonts w:eastAsia="Calibri"/>
          <w:sz w:val="24"/>
          <w:szCs w:val="24"/>
        </w:rPr>
        <w:t xml:space="preserve">§ </w:t>
      </w:r>
      <w:r w:rsidR="0391F251" w:rsidRPr="28E18FF1">
        <w:rPr>
          <w:rFonts w:eastAsia="Calibri"/>
          <w:sz w:val="24"/>
          <w:szCs w:val="24"/>
        </w:rPr>
        <w:t xml:space="preserve">3g, </w:t>
      </w:r>
      <w:r w:rsidR="34D64230" w:rsidRPr="28E18FF1">
        <w:rPr>
          <w:rFonts w:eastAsia="Calibri"/>
          <w:sz w:val="24"/>
          <w:szCs w:val="24"/>
        </w:rPr>
        <w:t xml:space="preserve">§ </w:t>
      </w:r>
      <w:r w:rsidR="0391F251" w:rsidRPr="28E18FF1">
        <w:rPr>
          <w:rFonts w:eastAsia="Calibri"/>
          <w:sz w:val="24"/>
          <w:szCs w:val="24"/>
        </w:rPr>
        <w:t>3j,</w:t>
      </w:r>
      <w:r w:rsidR="6A84AEA1" w:rsidRPr="28E18FF1">
        <w:rPr>
          <w:rFonts w:eastAsia="Calibri"/>
          <w:sz w:val="24"/>
          <w:szCs w:val="24"/>
        </w:rPr>
        <w:t xml:space="preserve"> §</w:t>
      </w:r>
      <w:r w:rsidR="0391F251" w:rsidRPr="28E18FF1">
        <w:rPr>
          <w:rFonts w:eastAsia="Calibri"/>
          <w:sz w:val="24"/>
          <w:szCs w:val="24"/>
        </w:rPr>
        <w:t xml:space="preserve"> 3o</w:t>
      </w:r>
      <w:r w:rsidR="380F468B" w:rsidRPr="28E18FF1">
        <w:rPr>
          <w:rFonts w:eastAsia="Calibri"/>
          <w:sz w:val="24"/>
          <w:szCs w:val="24"/>
        </w:rPr>
        <w:t xml:space="preserve">, </w:t>
      </w:r>
      <w:r w:rsidR="549D86BB" w:rsidRPr="28E18FF1">
        <w:rPr>
          <w:rFonts w:eastAsia="Calibri"/>
          <w:sz w:val="24"/>
          <w:szCs w:val="24"/>
        </w:rPr>
        <w:t xml:space="preserve">§ </w:t>
      </w:r>
      <w:r w:rsidR="380F468B" w:rsidRPr="28E18FF1">
        <w:rPr>
          <w:rFonts w:eastAsia="Calibri"/>
          <w:sz w:val="24"/>
          <w:szCs w:val="24"/>
        </w:rPr>
        <w:t xml:space="preserve">3t a </w:t>
      </w:r>
      <w:r w:rsidR="7F816FE8" w:rsidRPr="28E18FF1">
        <w:rPr>
          <w:rFonts w:eastAsia="Calibri"/>
          <w:sz w:val="24"/>
          <w:szCs w:val="24"/>
        </w:rPr>
        <w:t xml:space="preserve">§ </w:t>
      </w:r>
      <w:r w:rsidR="380F468B" w:rsidRPr="28E18FF1">
        <w:rPr>
          <w:rFonts w:eastAsia="Calibri"/>
          <w:sz w:val="24"/>
          <w:szCs w:val="24"/>
        </w:rPr>
        <w:t xml:space="preserve">3v </w:t>
      </w:r>
      <w:r w:rsidR="00DC6109" w:rsidRPr="28E18FF1">
        <w:rPr>
          <w:rFonts w:eastAsia="Calibri"/>
          <w:sz w:val="24"/>
          <w:szCs w:val="24"/>
        </w:rPr>
        <w:t>sa vypúšťa</w:t>
      </w:r>
      <w:r w:rsidR="522DB992" w:rsidRPr="28E18FF1">
        <w:rPr>
          <w:rFonts w:eastAsia="Calibri"/>
          <w:sz w:val="24"/>
          <w:szCs w:val="24"/>
        </w:rPr>
        <w:t>jú</w:t>
      </w:r>
      <w:r w:rsidR="00DC6109" w:rsidRPr="28E18FF1">
        <w:rPr>
          <w:rFonts w:eastAsia="Calibri"/>
          <w:sz w:val="24"/>
          <w:szCs w:val="24"/>
        </w:rPr>
        <w:t>.</w:t>
      </w:r>
      <w:bookmarkStart w:id="0" w:name="_GoBack"/>
      <w:bookmarkEnd w:id="0"/>
    </w:p>
    <w:p w14:paraId="4E13DBEB" w14:textId="77777777" w:rsidR="0086159A" w:rsidRPr="00E71D2D" w:rsidRDefault="00B8243D" w:rsidP="00E71D2D">
      <w:pPr>
        <w:spacing w:after="120"/>
        <w:jc w:val="center"/>
        <w:rPr>
          <w:sz w:val="24"/>
          <w:szCs w:val="24"/>
        </w:rPr>
      </w:pPr>
      <w:r w:rsidRPr="00E71D2D">
        <w:rPr>
          <w:rFonts w:eastAsia="Calibri"/>
          <w:b/>
          <w:bCs/>
          <w:sz w:val="24"/>
          <w:szCs w:val="24"/>
        </w:rPr>
        <w:t>Čl. II</w:t>
      </w:r>
    </w:p>
    <w:p w14:paraId="6AE8A23B" w14:textId="194C2668" w:rsidR="0086159A" w:rsidRPr="00E71D2D" w:rsidRDefault="00B8243D" w:rsidP="008B7F53">
      <w:pPr>
        <w:spacing w:after="120"/>
        <w:jc w:val="both"/>
        <w:rPr>
          <w:rFonts w:eastAsia="Calibri"/>
          <w:sz w:val="24"/>
          <w:szCs w:val="24"/>
        </w:rPr>
      </w:pPr>
      <w:r w:rsidRPr="28E18FF1">
        <w:rPr>
          <w:rFonts w:eastAsia="Calibri"/>
          <w:sz w:val="24"/>
          <w:szCs w:val="24"/>
        </w:rPr>
        <w:t xml:space="preserve">Toto nariadenie vlády nadobúda účinnosť </w:t>
      </w:r>
      <w:r w:rsidR="00DC6109" w:rsidRPr="28E18FF1">
        <w:rPr>
          <w:rFonts w:eastAsia="Calibri"/>
          <w:sz w:val="24"/>
          <w:szCs w:val="24"/>
        </w:rPr>
        <w:t xml:space="preserve">1. januára 2027 </w:t>
      </w:r>
      <w:r w:rsidR="00992702" w:rsidRPr="28E18FF1">
        <w:rPr>
          <w:rFonts w:eastAsia="Calibri"/>
          <w:sz w:val="24"/>
          <w:szCs w:val="24"/>
        </w:rPr>
        <w:t xml:space="preserve">okrem </w:t>
      </w:r>
      <w:r w:rsidR="00DC6109" w:rsidRPr="28E18FF1">
        <w:rPr>
          <w:rFonts w:eastAsia="Calibri"/>
          <w:sz w:val="24"/>
          <w:szCs w:val="24"/>
        </w:rPr>
        <w:t xml:space="preserve">bodu </w:t>
      </w:r>
      <w:r w:rsidR="03BD3E16" w:rsidRPr="28E18FF1">
        <w:rPr>
          <w:rFonts w:eastAsia="Calibri"/>
          <w:sz w:val="24"/>
          <w:szCs w:val="24"/>
        </w:rPr>
        <w:t>2</w:t>
      </w:r>
      <w:r w:rsidR="00DC6109" w:rsidRPr="28E18FF1">
        <w:rPr>
          <w:rFonts w:eastAsia="Calibri"/>
          <w:sz w:val="24"/>
          <w:szCs w:val="24"/>
        </w:rPr>
        <w:t>, ktorý nadobúda účinnosť 1. januára 2028</w:t>
      </w:r>
      <w:r w:rsidRPr="28E18FF1">
        <w:rPr>
          <w:rFonts w:eastAsia="Calibri"/>
          <w:sz w:val="24"/>
          <w:szCs w:val="24"/>
        </w:rPr>
        <w:t>.</w:t>
      </w:r>
    </w:p>
    <w:p w14:paraId="79A4A5CB" w14:textId="77777777" w:rsidR="00C418A5" w:rsidRDefault="00C418A5">
      <w:pPr>
        <w:spacing w:after="120"/>
      </w:pPr>
    </w:p>
    <w:sectPr w:rsidR="00C418A5" w:rsidSect="00992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E62ABC4" w16cex:dateUtc="2026-10-30T10:38:39.476Z"/>
  <w16cex:commentExtensible w16cex:durableId="3808E492" w16cex:dateUtc="2026-10-30T12:03:53.363Z"/>
  <w16cex:commentExtensible w16cex:durableId="2911D65A" w16cex:dateUtc="2026-10-30T12:35:58.821Z"/>
  <w16cex:commentExtensible w16cex:durableId="0941A155" w16cex:dateUtc="2026-11-02T07:09:21.115Z"/>
  <w16cex:commentExtensible w16cex:durableId="183B26D7" w16cex:dateUtc="2026-11-02T08:57:31.55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92762B0" w16cid:durableId="7379AF1B"/>
  <w16cid:commentId w16cid:paraId="75F54C51" w16cid:durableId="4333A216"/>
  <w16cid:commentId w16cid:paraId="6D3FADAD" w16cid:durableId="1E62ABC4"/>
  <w16cid:commentId w16cid:paraId="73B0499A" w16cid:durableId="3808E492"/>
  <w16cid:commentId w16cid:paraId="3DEC9027" w16cid:durableId="2911D65A"/>
  <w16cid:commentId w16cid:paraId="59971DE4" w16cid:durableId="0941A155"/>
  <w16cid:commentId w16cid:paraId="610DE6D1" w16cid:durableId="183B26D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6EF4"/>
    <w:multiLevelType w:val="hybridMultilevel"/>
    <w:tmpl w:val="07FA4166"/>
    <w:lvl w:ilvl="0" w:tplc="37CE4836">
      <w:start w:val="1"/>
      <w:numFmt w:val="lowerLetter"/>
      <w:lvlText w:val="%1)"/>
      <w:lvlJc w:val="left"/>
      <w:pPr>
        <w:ind w:left="360" w:hanging="360"/>
      </w:pPr>
    </w:lvl>
    <w:lvl w:ilvl="1" w:tplc="9FDEACA0">
      <w:start w:val="1"/>
      <w:numFmt w:val="lowerLetter"/>
      <w:lvlText w:val="%2."/>
      <w:lvlJc w:val="left"/>
      <w:pPr>
        <w:ind w:left="1080" w:hanging="360"/>
      </w:pPr>
    </w:lvl>
    <w:lvl w:ilvl="2" w:tplc="28CEB88A">
      <w:start w:val="1"/>
      <w:numFmt w:val="lowerRoman"/>
      <w:lvlText w:val="%3."/>
      <w:lvlJc w:val="right"/>
      <w:pPr>
        <w:ind w:left="1800" w:hanging="180"/>
      </w:pPr>
    </w:lvl>
    <w:lvl w:ilvl="3" w:tplc="1DB40D2A">
      <w:start w:val="1"/>
      <w:numFmt w:val="decimal"/>
      <w:lvlText w:val="%4."/>
      <w:lvlJc w:val="left"/>
      <w:pPr>
        <w:ind w:left="2520" w:hanging="360"/>
      </w:pPr>
    </w:lvl>
    <w:lvl w:ilvl="4" w:tplc="82823A28">
      <w:start w:val="1"/>
      <w:numFmt w:val="lowerLetter"/>
      <w:lvlText w:val="%5."/>
      <w:lvlJc w:val="left"/>
      <w:pPr>
        <w:ind w:left="3240" w:hanging="360"/>
      </w:pPr>
    </w:lvl>
    <w:lvl w:ilvl="5" w:tplc="81EA7960">
      <w:start w:val="1"/>
      <w:numFmt w:val="lowerRoman"/>
      <w:lvlText w:val="%6."/>
      <w:lvlJc w:val="right"/>
      <w:pPr>
        <w:ind w:left="3960" w:hanging="180"/>
      </w:pPr>
    </w:lvl>
    <w:lvl w:ilvl="6" w:tplc="E1C4A5EC">
      <w:start w:val="1"/>
      <w:numFmt w:val="decimal"/>
      <w:lvlText w:val="%7."/>
      <w:lvlJc w:val="left"/>
      <w:pPr>
        <w:ind w:left="4680" w:hanging="360"/>
      </w:pPr>
    </w:lvl>
    <w:lvl w:ilvl="7" w:tplc="F2B0EE74">
      <w:start w:val="1"/>
      <w:numFmt w:val="lowerLetter"/>
      <w:lvlText w:val="%8."/>
      <w:lvlJc w:val="left"/>
      <w:pPr>
        <w:ind w:left="5400" w:hanging="360"/>
      </w:pPr>
    </w:lvl>
    <w:lvl w:ilvl="8" w:tplc="7A521070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700E8F"/>
    <w:multiLevelType w:val="hybridMultilevel"/>
    <w:tmpl w:val="86B42DD6"/>
    <w:lvl w:ilvl="0" w:tplc="C2D4C88A">
      <w:start w:val="1"/>
      <w:numFmt w:val="bullet"/>
      <w:lvlText w:val="●"/>
      <w:lvlJc w:val="left"/>
      <w:pPr>
        <w:ind w:left="720" w:hanging="360"/>
      </w:pPr>
    </w:lvl>
    <w:lvl w:ilvl="1" w:tplc="E4F412BA">
      <w:start w:val="1"/>
      <w:numFmt w:val="bullet"/>
      <w:lvlText w:val="○"/>
      <w:lvlJc w:val="left"/>
      <w:pPr>
        <w:ind w:left="1440" w:hanging="360"/>
      </w:pPr>
    </w:lvl>
    <w:lvl w:ilvl="2" w:tplc="DA0A4E70">
      <w:start w:val="1"/>
      <w:numFmt w:val="bullet"/>
      <w:lvlText w:val="■"/>
      <w:lvlJc w:val="left"/>
      <w:pPr>
        <w:ind w:left="2160" w:hanging="360"/>
      </w:pPr>
    </w:lvl>
    <w:lvl w:ilvl="3" w:tplc="72D2489A">
      <w:start w:val="1"/>
      <w:numFmt w:val="bullet"/>
      <w:lvlText w:val="●"/>
      <w:lvlJc w:val="left"/>
      <w:pPr>
        <w:ind w:left="2880" w:hanging="360"/>
      </w:pPr>
    </w:lvl>
    <w:lvl w:ilvl="4" w:tplc="893C4D36">
      <w:start w:val="1"/>
      <w:numFmt w:val="bullet"/>
      <w:lvlText w:val="○"/>
      <w:lvlJc w:val="left"/>
      <w:pPr>
        <w:ind w:left="3600" w:hanging="360"/>
      </w:pPr>
    </w:lvl>
    <w:lvl w:ilvl="5" w:tplc="A3B2895E">
      <w:start w:val="1"/>
      <w:numFmt w:val="bullet"/>
      <w:lvlText w:val="■"/>
      <w:lvlJc w:val="left"/>
      <w:pPr>
        <w:ind w:left="4320" w:hanging="360"/>
      </w:pPr>
    </w:lvl>
    <w:lvl w:ilvl="6" w:tplc="606C746A">
      <w:start w:val="1"/>
      <w:numFmt w:val="bullet"/>
      <w:lvlText w:val="●"/>
      <w:lvlJc w:val="left"/>
      <w:pPr>
        <w:ind w:left="5040" w:hanging="360"/>
      </w:pPr>
    </w:lvl>
    <w:lvl w:ilvl="7" w:tplc="8E7A7806">
      <w:start w:val="1"/>
      <w:numFmt w:val="bullet"/>
      <w:lvlText w:val="●"/>
      <w:lvlJc w:val="left"/>
      <w:pPr>
        <w:ind w:left="5760" w:hanging="360"/>
      </w:pPr>
    </w:lvl>
    <w:lvl w:ilvl="8" w:tplc="0DD40188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20342DB4"/>
    <w:multiLevelType w:val="hybridMultilevel"/>
    <w:tmpl w:val="2FAC268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59A"/>
    <w:rsid w:val="000262DB"/>
    <w:rsid w:val="000F42F0"/>
    <w:rsid w:val="00105AE0"/>
    <w:rsid w:val="001D26EB"/>
    <w:rsid w:val="0021543A"/>
    <w:rsid w:val="002974A8"/>
    <w:rsid w:val="00343E4B"/>
    <w:rsid w:val="003B7E09"/>
    <w:rsid w:val="004873F9"/>
    <w:rsid w:val="005969A2"/>
    <w:rsid w:val="00634D1E"/>
    <w:rsid w:val="006C6C90"/>
    <w:rsid w:val="0073369C"/>
    <w:rsid w:val="008238CE"/>
    <w:rsid w:val="0086159A"/>
    <w:rsid w:val="0087343D"/>
    <w:rsid w:val="008B7F53"/>
    <w:rsid w:val="008F47EC"/>
    <w:rsid w:val="00992702"/>
    <w:rsid w:val="00994BB8"/>
    <w:rsid w:val="00996071"/>
    <w:rsid w:val="00AA6906"/>
    <w:rsid w:val="00B8243D"/>
    <w:rsid w:val="00C418A5"/>
    <w:rsid w:val="00C51A1A"/>
    <w:rsid w:val="00DB65E7"/>
    <w:rsid w:val="00DC6109"/>
    <w:rsid w:val="00E430FF"/>
    <w:rsid w:val="00E71D2D"/>
    <w:rsid w:val="0391F251"/>
    <w:rsid w:val="03BD3E16"/>
    <w:rsid w:val="09032423"/>
    <w:rsid w:val="0BCF44CE"/>
    <w:rsid w:val="0F5D8161"/>
    <w:rsid w:val="13E2EC5F"/>
    <w:rsid w:val="1431745B"/>
    <w:rsid w:val="191CD17C"/>
    <w:rsid w:val="1A131E2B"/>
    <w:rsid w:val="28E18FF1"/>
    <w:rsid w:val="2BD7BFC5"/>
    <w:rsid w:val="2E513F35"/>
    <w:rsid w:val="2FDF86C6"/>
    <w:rsid w:val="3308DCF8"/>
    <w:rsid w:val="34D64230"/>
    <w:rsid w:val="380F468B"/>
    <w:rsid w:val="3C672D20"/>
    <w:rsid w:val="3C6C61FC"/>
    <w:rsid w:val="3F5E2774"/>
    <w:rsid w:val="418CD932"/>
    <w:rsid w:val="46DF2D69"/>
    <w:rsid w:val="499C384F"/>
    <w:rsid w:val="49A5E08A"/>
    <w:rsid w:val="4BF8289E"/>
    <w:rsid w:val="4E53EB02"/>
    <w:rsid w:val="522DB992"/>
    <w:rsid w:val="549D86BB"/>
    <w:rsid w:val="6A84AEA1"/>
    <w:rsid w:val="6B6BF14F"/>
    <w:rsid w:val="6E40007A"/>
    <w:rsid w:val="6FA85B33"/>
    <w:rsid w:val="7161ABB1"/>
    <w:rsid w:val="72D4B569"/>
    <w:rsid w:val="73B58415"/>
    <w:rsid w:val="7F81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2D26"/>
  <w15:docId w15:val="{DD40A58D-4075-4D74-90B2-55B9BB61E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qFormat/>
    <w:pPr>
      <w:outlineLvl w:val="0"/>
    </w:pPr>
    <w:rPr>
      <w:color w:val="2E74B5"/>
      <w:sz w:val="32"/>
      <w:szCs w:val="32"/>
    </w:rPr>
  </w:style>
  <w:style w:type="paragraph" w:styleId="Nadpis2">
    <w:name w:val="heading 2"/>
    <w:qFormat/>
    <w:pPr>
      <w:outlineLvl w:val="1"/>
    </w:pPr>
    <w:rPr>
      <w:color w:val="2E74B5"/>
      <w:sz w:val="26"/>
      <w:szCs w:val="26"/>
    </w:rPr>
  </w:style>
  <w:style w:type="paragraph" w:styleId="Nadpis3">
    <w:name w:val="heading 3"/>
    <w:qFormat/>
    <w:pPr>
      <w:outlineLvl w:val="2"/>
    </w:pPr>
    <w:rPr>
      <w:color w:val="1F4D78"/>
      <w:sz w:val="24"/>
      <w:szCs w:val="24"/>
    </w:rPr>
  </w:style>
  <w:style w:type="paragraph" w:styleId="Nadpis4">
    <w:name w:val="heading 4"/>
    <w:qFormat/>
    <w:pPr>
      <w:outlineLvl w:val="3"/>
    </w:pPr>
    <w:rPr>
      <w:i/>
      <w:iCs/>
      <w:color w:val="2E74B5"/>
    </w:rPr>
  </w:style>
  <w:style w:type="paragraph" w:styleId="Nadpis5">
    <w:name w:val="heading 5"/>
    <w:qFormat/>
    <w:pPr>
      <w:outlineLvl w:val="4"/>
    </w:pPr>
    <w:rPr>
      <w:color w:val="2E74B5"/>
    </w:rPr>
  </w:style>
  <w:style w:type="paragraph" w:styleId="Nadpis6">
    <w:name w:val="heading 6"/>
    <w:qFormat/>
    <w:pPr>
      <w:outlineLvl w:val="5"/>
    </w:pPr>
    <w:rPr>
      <w:color w:val="1F4D7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qFormat/>
    <w:rPr>
      <w:sz w:val="56"/>
      <w:szCs w:val="56"/>
    </w:rPr>
  </w:style>
  <w:style w:type="paragraph" w:customStyle="1" w:styleId="Vrazn1">
    <w:name w:val="Výrazný1"/>
    <w:qFormat/>
    <w:rPr>
      <w:b/>
      <w:bCs/>
    </w:rPr>
  </w:style>
  <w:style w:type="paragraph" w:styleId="Odsekzoznamu">
    <w:name w:val="List Paragraph"/>
    <w:qFormat/>
  </w:style>
  <w:style w:type="character" w:styleId="Hypertextovprepojenie">
    <w:name w:val="Hyperlink"/>
    <w:uiPriority w:val="99"/>
    <w:unhideWhenUsed/>
    <w:rPr>
      <w:color w:val="0563C1"/>
      <w:u w:val="single"/>
    </w:rPr>
  </w:style>
  <w:style w:type="character" w:styleId="Odkaznapoznmkupodiarou">
    <w:name w:val="footnote reference"/>
    <w:uiPriority w:val="99"/>
    <w:semiHidden/>
    <w:unhideWhenUsed/>
    <w:rPr>
      <w:vertAlign w:val="superscript"/>
    </w:rPr>
  </w:style>
  <w:style w:type="paragraph" w:styleId="Textpoznmkypodiarou">
    <w:name w:val="footnote text"/>
    <w:link w:val="TextpoznmkypodiarouChar"/>
    <w:uiPriority w:val="99"/>
    <w:semiHidden/>
    <w:unhideWhenUsed/>
  </w:style>
  <w:style w:type="character" w:customStyle="1" w:styleId="TextpoznmkypodiarouChar">
    <w:name w:val="Text poznámky pod čiarou Char"/>
    <w:link w:val="Textpoznmkypodiarou"/>
    <w:uiPriority w:val="99"/>
    <w:semiHidden/>
    <w:unhideWhenUsed/>
    <w:rPr>
      <w:sz w:val="20"/>
      <w:szCs w:val="20"/>
    </w:rPr>
  </w:style>
  <w:style w:type="character" w:styleId="Odkaznavysvetlivku">
    <w:name w:val="endnote reference"/>
    <w:uiPriority w:val="99"/>
    <w:semiHidden/>
    <w:unhideWhenUsed/>
    <w:rPr>
      <w:vertAlign w:val="superscript"/>
    </w:rPr>
  </w:style>
  <w:style w:type="paragraph" w:styleId="Textvysvetlivky">
    <w:name w:val="endnote text"/>
    <w:link w:val="TextvysvetlivkyChar"/>
    <w:uiPriority w:val="99"/>
    <w:semiHidden/>
    <w:unhideWhenUsed/>
  </w:style>
  <w:style w:type="character" w:customStyle="1" w:styleId="TextvysvetlivkyChar">
    <w:name w:val="Text vysvetlivky Char"/>
    <w:link w:val="Textvysvetlivky"/>
    <w:uiPriority w:val="99"/>
    <w:semiHidden/>
    <w:unhideWhenUsed/>
    <w:rPr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94BB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94BB8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8F47E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F47EC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F47EC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F47E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F4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64cdc5f10dcc4d34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lov-lex.sk/pravne-predpisy/SK/ZZ/2010/544/" TargetMode="External"/><Relationship Id="R20c7415bc24f4ec6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Jozef Gorel</cp:lastModifiedBy>
  <cp:revision>8</cp:revision>
  <dcterms:created xsi:type="dcterms:W3CDTF">2026-10-21T09:24:00Z</dcterms:created>
  <dcterms:modified xsi:type="dcterms:W3CDTF">2026-11-06T08:48:00Z</dcterms:modified>
</cp:coreProperties>
</file>