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E5925" w14:textId="77777777" w:rsidR="008D124B" w:rsidRPr="001D64CC" w:rsidRDefault="008D124B" w:rsidP="001D64CC">
      <w:pPr>
        <w:pStyle w:val="Nzov"/>
      </w:pPr>
      <w:r w:rsidRPr="001D64CC">
        <w:t>DÔVODOVÁ SPRÁVA</w:t>
      </w:r>
    </w:p>
    <w:p w14:paraId="715EB82E" w14:textId="77777777" w:rsidR="008D124B" w:rsidRPr="001D64CC" w:rsidRDefault="008D124B" w:rsidP="001D64CC">
      <w:pPr>
        <w:pStyle w:val="Nzov"/>
      </w:pPr>
    </w:p>
    <w:p w14:paraId="59CCB173" w14:textId="77777777" w:rsidR="008D124B" w:rsidRPr="001D64CC" w:rsidRDefault="008D124B" w:rsidP="001D64CC">
      <w:pPr>
        <w:jc w:val="both"/>
        <w:rPr>
          <w:b/>
        </w:rPr>
      </w:pPr>
    </w:p>
    <w:p w14:paraId="1CC0629E" w14:textId="5DB3F7EB" w:rsidR="008D124B" w:rsidRPr="001D64CC" w:rsidRDefault="008D124B" w:rsidP="001D64CC">
      <w:pPr>
        <w:pStyle w:val="Odsekzoznamu"/>
        <w:numPr>
          <w:ilvl w:val="0"/>
          <w:numId w:val="9"/>
        </w:numPr>
        <w:jc w:val="both"/>
        <w:rPr>
          <w:b/>
        </w:rPr>
      </w:pPr>
      <w:r w:rsidRPr="001D64CC">
        <w:rPr>
          <w:b/>
        </w:rPr>
        <w:t xml:space="preserve">Všeobecná </w:t>
      </w:r>
      <w:proofErr w:type="spellStart"/>
      <w:r w:rsidRPr="001D64CC">
        <w:rPr>
          <w:b/>
        </w:rPr>
        <w:t>časť</w:t>
      </w:r>
      <w:proofErr w:type="spellEnd"/>
      <w:r w:rsidRPr="001D64CC">
        <w:rPr>
          <w:b/>
        </w:rPr>
        <w:t xml:space="preserve">  </w:t>
      </w:r>
    </w:p>
    <w:p w14:paraId="1B941913" w14:textId="77777777" w:rsidR="008D124B" w:rsidRPr="001D64CC" w:rsidRDefault="008D124B" w:rsidP="001D64CC">
      <w:pPr>
        <w:jc w:val="both"/>
      </w:pPr>
    </w:p>
    <w:p w14:paraId="3CF0D3EB" w14:textId="31B05EEC" w:rsidR="007D40A2" w:rsidRPr="001D64CC" w:rsidRDefault="007D40A2" w:rsidP="001D64CC">
      <w:pPr>
        <w:ind w:firstLine="360"/>
        <w:jc w:val="both"/>
        <w:rPr>
          <w:lang w:eastAsia="cs-CZ"/>
        </w:rPr>
      </w:pPr>
      <w:r w:rsidRPr="001D64CC">
        <w:rPr>
          <w:lang w:eastAsia="cs-CZ"/>
        </w:rPr>
        <w:t xml:space="preserve">Dôvodom predloženia návrhu nariadenia vlády Slovenskej republiky, ktorým sa mení nariadenie vlády Slovenskej republiky č. 174/2017 Z. z., ktorým sa ustanovujú citlivé oblasti a zraniteľné oblasti </w:t>
      </w:r>
      <w:r w:rsidR="00E956E7" w:rsidRPr="00E956E7">
        <w:rPr>
          <w:lang w:eastAsia="cs-CZ"/>
        </w:rPr>
        <w:t>v znení nariadenia vlády Slovenskej republiky č. 62/2022 Z. z.</w:t>
      </w:r>
      <w:r w:rsidR="00397042">
        <w:rPr>
          <w:lang w:eastAsia="cs-CZ"/>
        </w:rPr>
        <w:t xml:space="preserve"> </w:t>
      </w:r>
      <w:r w:rsidRPr="001D64CC">
        <w:rPr>
          <w:lang w:eastAsia="cs-CZ"/>
        </w:rPr>
        <w:t xml:space="preserve">(ďalej </w:t>
      </w:r>
      <w:r w:rsidR="00B07A98">
        <w:rPr>
          <w:lang w:eastAsia="cs-CZ"/>
        </w:rPr>
        <w:br/>
      </w:r>
      <w:r w:rsidRPr="001D64CC">
        <w:rPr>
          <w:lang w:eastAsia="cs-CZ"/>
        </w:rPr>
        <w:t>len „návrh nariadenia vlády“) je splnenie povinnosti vyplývajúce</w:t>
      </w:r>
      <w:r w:rsidR="005D5CD1">
        <w:rPr>
          <w:lang w:eastAsia="cs-CZ"/>
        </w:rPr>
        <w:t>j</w:t>
      </w:r>
      <w:r w:rsidRPr="001D64CC">
        <w:rPr>
          <w:lang w:eastAsia="cs-CZ"/>
        </w:rPr>
        <w:t xml:space="preserve"> zo smernice Rady 91/676/EHS z 12. decembra 1991 o ochrane vôd pred znečistením dusičnanmi z poľnohospodárskych zdrojov</w:t>
      </w:r>
      <w:r w:rsidR="00397042">
        <w:rPr>
          <w:lang w:eastAsia="cs-CZ"/>
        </w:rPr>
        <w:t xml:space="preserve"> </w:t>
      </w:r>
      <w:r w:rsidR="005D5CD1" w:rsidRPr="005D5CD1">
        <w:rPr>
          <w:lang w:eastAsia="cs-CZ"/>
        </w:rPr>
        <w:t xml:space="preserve">(Mimoriadne vydanie Ú. v. EÚ, kap. 15/zv. 2; Ú. v. ES L 375, 31.12.1991) </w:t>
      </w:r>
      <w:r w:rsidR="00397042" w:rsidRPr="00397042">
        <w:rPr>
          <w:lang w:eastAsia="cs-CZ"/>
        </w:rPr>
        <w:t xml:space="preserve"> v platnom znení</w:t>
      </w:r>
      <w:r w:rsidRPr="001D64CC">
        <w:rPr>
          <w:lang w:eastAsia="cs-CZ"/>
        </w:rPr>
        <w:t xml:space="preserve"> (ďalej </w:t>
      </w:r>
      <w:r w:rsidR="00936FEF">
        <w:rPr>
          <w:lang w:eastAsia="cs-CZ"/>
        </w:rPr>
        <w:br/>
      </w:r>
      <w:r w:rsidRPr="001D64CC">
        <w:rPr>
          <w:lang w:eastAsia="cs-CZ"/>
        </w:rPr>
        <w:t>len „</w:t>
      </w:r>
      <w:r w:rsidR="005D5CD1">
        <w:rPr>
          <w:lang w:eastAsia="cs-CZ"/>
        </w:rPr>
        <w:t xml:space="preserve">dusičnanová </w:t>
      </w:r>
      <w:r w:rsidRPr="001D64CC">
        <w:rPr>
          <w:lang w:eastAsia="cs-CZ"/>
        </w:rPr>
        <w:t xml:space="preserve">smernica“). </w:t>
      </w:r>
    </w:p>
    <w:p w14:paraId="3161E657" w14:textId="77777777" w:rsidR="007D40A2" w:rsidRPr="001D64CC" w:rsidRDefault="007D40A2" w:rsidP="001D64CC">
      <w:pPr>
        <w:ind w:firstLine="709"/>
        <w:jc w:val="both"/>
      </w:pPr>
    </w:p>
    <w:p w14:paraId="1498CE84" w14:textId="794BFD5B" w:rsidR="00F97CA1" w:rsidRPr="001D64CC" w:rsidRDefault="00F97CA1" w:rsidP="001D64CC">
      <w:pPr>
        <w:ind w:firstLine="709"/>
        <w:jc w:val="both"/>
      </w:pPr>
      <w:r w:rsidRPr="001D64CC">
        <w:t>Jednou z</w:t>
      </w:r>
      <w:r w:rsidR="005D5CD1">
        <w:t>o</w:t>
      </w:r>
      <w:r w:rsidRPr="001D64CC">
        <w:t xml:space="preserve"> základných požiadaviek </w:t>
      </w:r>
      <w:r w:rsidR="005D5CD1">
        <w:t xml:space="preserve">dusičnanovej smernice </w:t>
      </w:r>
      <w:r w:rsidRPr="001D64CC">
        <w:t>je vymedzenie zraniteľných oblastí. Zraniteľné oblasti sú poľnohospodársky využívané územia, z ktorých odtekajú vody zo zrážok do povrchových vôd alebo vsakujú do podzemných vôd, v ktorých je koncentrácia dusičnanov vyššia ako 50 mg.l</w:t>
      </w:r>
      <w:r w:rsidRPr="00D4370C">
        <w:rPr>
          <w:vertAlign w:val="superscript"/>
        </w:rPr>
        <w:t>-1</w:t>
      </w:r>
      <w:r w:rsidRPr="001D64CC">
        <w:t xml:space="preserve"> alebo v blízkej budúcnosti môže byť táto hranica prekročená.</w:t>
      </w:r>
    </w:p>
    <w:p w14:paraId="45376CED" w14:textId="77777777" w:rsidR="00F97CA1" w:rsidRPr="001D64CC" w:rsidRDefault="00F97CA1" w:rsidP="001D64CC">
      <w:pPr>
        <w:ind w:firstLine="709"/>
        <w:jc w:val="both"/>
      </w:pPr>
    </w:p>
    <w:p w14:paraId="7A5AAB2B" w14:textId="1788EE3D" w:rsidR="00F97CA1" w:rsidRPr="001D64CC" w:rsidRDefault="005D5CD1" w:rsidP="001D64CC">
      <w:pPr>
        <w:ind w:firstLine="709"/>
        <w:jc w:val="both"/>
      </w:pPr>
      <w:r>
        <w:t>Dusičnanová s</w:t>
      </w:r>
      <w:r w:rsidR="00F97CA1" w:rsidRPr="001D64CC">
        <w:t xml:space="preserve">mernica tiež ustanovuje povinnosť pre členské štáty revidovať zoznam zraniteľných oblastí najmenej každé štyri roky. </w:t>
      </w:r>
      <w:r>
        <w:t>Dusičnanová</w:t>
      </w:r>
      <w:r w:rsidR="00F97CA1" w:rsidRPr="001D64CC">
        <w:t xml:space="preserve"> smernica je do právneho poriadku Slovenskej republiky transponovaná</w:t>
      </w:r>
      <w:r>
        <w:t>, okrem iných, aj</w:t>
      </w:r>
      <w:r w:rsidR="00F97CA1" w:rsidRPr="001D64CC">
        <w:t xml:space="preserve"> zákonom č. 364/2004 Z. z. o vodách a o zmene zákona Slovenskej národnej rady č. 372/1990 Zb. o priestupkoch v znení neskorších predpisov</w:t>
      </w:r>
      <w:r>
        <w:t xml:space="preserve"> (vodný zákon) v znení neskorších predpisov</w:t>
      </w:r>
      <w:r w:rsidR="00F97CA1" w:rsidRPr="001D64CC">
        <w:t xml:space="preserve">, ktorý v § 81 </w:t>
      </w:r>
      <w:r w:rsidR="00936FEF">
        <w:br/>
      </w:r>
      <w:r w:rsidR="00F97CA1" w:rsidRPr="001D64CC">
        <w:t xml:space="preserve">ods. 1 písm. b) určuje, že vláda nariadením ustanoví </w:t>
      </w:r>
      <w:r>
        <w:t xml:space="preserve">citlivé oblasti a </w:t>
      </w:r>
      <w:r w:rsidR="00F97CA1" w:rsidRPr="001D64CC">
        <w:t>zraniteľné oblasti.</w:t>
      </w:r>
    </w:p>
    <w:p w14:paraId="0365801E" w14:textId="77777777" w:rsidR="00F97CA1" w:rsidRPr="001D64CC" w:rsidRDefault="00F97CA1" w:rsidP="001D64CC">
      <w:pPr>
        <w:ind w:firstLine="709"/>
        <w:jc w:val="both"/>
      </w:pPr>
    </w:p>
    <w:p w14:paraId="67F0BD29" w14:textId="7D5027EE" w:rsidR="00F97CA1" w:rsidRPr="001D64CC" w:rsidRDefault="00F97CA1" w:rsidP="001D64CC">
      <w:pPr>
        <w:ind w:firstLine="709"/>
        <w:jc w:val="both"/>
      </w:pPr>
      <w:r w:rsidRPr="001D64CC">
        <w:t xml:space="preserve">Zoznam zraniteľných oblastí </w:t>
      </w:r>
      <w:r w:rsidR="007D40A2" w:rsidRPr="001D64CC">
        <w:t xml:space="preserve">bol </w:t>
      </w:r>
      <w:r w:rsidRPr="001D64CC">
        <w:t xml:space="preserve">ustanovený nariadením vlády Slovenskej republiky               č. 174/2017 Z. z., ktoré bolo v roku 2022 novelizované nariadením vlády </w:t>
      </w:r>
      <w:r w:rsidR="00397042">
        <w:t>Slovenskej republiky</w:t>
      </w:r>
      <w:r w:rsidR="00397042" w:rsidRPr="001D64CC">
        <w:t xml:space="preserve"> </w:t>
      </w:r>
      <w:r w:rsidRPr="001D64CC">
        <w:t>č.  62/2022 Z.</w:t>
      </w:r>
      <w:r w:rsidR="001D15CB" w:rsidRPr="001D64CC">
        <w:t xml:space="preserve"> </w:t>
      </w:r>
      <w:r w:rsidRPr="001D64CC">
        <w:t>z.</w:t>
      </w:r>
    </w:p>
    <w:p w14:paraId="1633FD6C" w14:textId="77777777" w:rsidR="007D40A2" w:rsidRPr="001D64CC" w:rsidRDefault="007D40A2" w:rsidP="001D64CC">
      <w:pPr>
        <w:ind w:firstLine="709"/>
        <w:jc w:val="both"/>
      </w:pPr>
    </w:p>
    <w:p w14:paraId="1995CBED" w14:textId="13E3DB6D" w:rsidR="00F97CA1" w:rsidRPr="001D64CC" w:rsidRDefault="00F97CA1" w:rsidP="001D64CC">
      <w:pPr>
        <w:ind w:firstLine="709"/>
        <w:jc w:val="both"/>
      </w:pPr>
      <w:r w:rsidRPr="001D64CC">
        <w:t xml:space="preserve">Zoznam zraniteľných oblastí ustanovený nariadením vlády Slovenskej republiky               č. 174/2017 Z. z. v znení </w:t>
      </w:r>
      <w:r w:rsidR="00397042">
        <w:t>nariadenia vlády Slovenskej republiky</w:t>
      </w:r>
      <w:r w:rsidR="00397042" w:rsidRPr="001D64CC">
        <w:t xml:space="preserve"> </w:t>
      </w:r>
      <w:r w:rsidRPr="001D64CC">
        <w:t>č. 62/2022 Z.</w:t>
      </w:r>
      <w:r w:rsidR="001D15CB" w:rsidRPr="001D64CC">
        <w:t xml:space="preserve"> </w:t>
      </w:r>
      <w:r w:rsidRPr="001D64CC">
        <w:t>z. bol v rokoch 2025 - 2026 predmetom revízie, ktorú vykonal</w:t>
      </w:r>
      <w:r w:rsidR="00397042">
        <w:t>i</w:t>
      </w:r>
      <w:r w:rsidRPr="001D64CC">
        <w:t xml:space="preserve"> Výskumný ústav vodného hospodárstva </w:t>
      </w:r>
      <w:r w:rsidR="00B07A98">
        <w:br/>
      </w:r>
      <w:r w:rsidRPr="001D64CC">
        <w:t xml:space="preserve">a Slovenský hydrometeorologický ústav za účasti </w:t>
      </w:r>
      <w:r w:rsidR="00397042">
        <w:t>Ministerstva pôdohospodárstva a rozvoja vidieka Slovenskej republiky</w:t>
      </w:r>
      <w:r w:rsidRPr="001D64CC">
        <w:t xml:space="preserve"> a jeho rezortných organizácií Ústredného kontrolného </w:t>
      </w:r>
      <w:r w:rsidR="00B07A98">
        <w:br/>
      </w:r>
      <w:r w:rsidRPr="001D64CC">
        <w:t>a skúšobného ústavu</w:t>
      </w:r>
      <w:r w:rsidR="0001755A" w:rsidRPr="001D64CC">
        <w:t xml:space="preserve"> poľnohospodárskeho</w:t>
      </w:r>
      <w:r w:rsidRPr="001D64CC">
        <w:t xml:space="preserve"> a Národného poľnohospodárskeho </w:t>
      </w:r>
      <w:r w:rsidR="00B07A98">
        <w:br/>
      </w:r>
      <w:r w:rsidRPr="001D64CC">
        <w:t>a potravinárskeho centra, Slovenskej poľnohospodárskej a potravinárskej komory a Agrárnej komory Slovenska.</w:t>
      </w:r>
    </w:p>
    <w:p w14:paraId="000856E9" w14:textId="77777777" w:rsidR="007D40A2" w:rsidRPr="001D64CC" w:rsidRDefault="007D40A2" w:rsidP="001D64CC">
      <w:pPr>
        <w:ind w:firstLine="709"/>
        <w:jc w:val="both"/>
      </w:pPr>
    </w:p>
    <w:p w14:paraId="22BD0A82" w14:textId="49D47EA9" w:rsidR="00F97CA1" w:rsidRPr="001D64CC" w:rsidRDefault="00F97CA1" w:rsidP="001D64CC">
      <w:pPr>
        <w:ind w:firstLine="709"/>
        <w:jc w:val="both"/>
      </w:pPr>
      <w:r w:rsidRPr="001D64CC">
        <w:t xml:space="preserve">V rámci návrhu revízie zraniteľných oblastí v roku 2026 boli východiskom výsledky monitorovania podzemných a povrchových vôd v rámci existujúcej monitorovacej siete </w:t>
      </w:r>
      <w:r w:rsidR="00397042">
        <w:t>Slovenskej republiky</w:t>
      </w:r>
      <w:r w:rsidRPr="001D64CC">
        <w:t xml:space="preserve">, ktorá zahŕňala 2 237 monitorovacích objektov podzemných vôd a 920 </w:t>
      </w:r>
      <w:r w:rsidR="00397042">
        <w:t>monitorovacích miest</w:t>
      </w:r>
      <w:r w:rsidRPr="001D64CC">
        <w:t xml:space="preserve"> povrchových vôd.   </w:t>
      </w:r>
    </w:p>
    <w:p w14:paraId="4948D4AC" w14:textId="77777777" w:rsidR="00F97CA1" w:rsidRPr="001D64CC" w:rsidRDefault="00F97CA1" w:rsidP="001D64CC">
      <w:pPr>
        <w:ind w:firstLine="709"/>
        <w:jc w:val="both"/>
      </w:pPr>
    </w:p>
    <w:p w14:paraId="0A13B436" w14:textId="12207436" w:rsidR="00F97CA1" w:rsidRPr="001D64CC" w:rsidRDefault="00F97CA1" w:rsidP="001D64CC">
      <w:pPr>
        <w:ind w:firstLine="709"/>
        <w:jc w:val="both"/>
      </w:pPr>
      <w:r w:rsidRPr="001D64CC">
        <w:t xml:space="preserve">Z hľadiska podzemných vôd bolo z pôvodného počtu 1 191 vymedzených zraniteľných oblastí 322 obcí navrhnutých na vyradenie. Hlavným dôvodom pre vyradenie zo zraniteľných oblastí pre podzemné vody boli najmä dokumentované veľmi nízke koncentrácie dusičnanov v monitorovacích objektoch podzemných vôd, ktoré navyše vykazovali klesajúci alebo stabilný trend vývoja dusičnanov v hodnotenej zraniteľnej oblasti, alebo na základe priaznivej analýzy rizika. V rámci územia mimo súčasných zraniteľných oblastí boli naopak navrhnuté nové </w:t>
      </w:r>
      <w:r w:rsidRPr="001D64CC">
        <w:lastRenderedPageBreak/>
        <w:t>oblasti z dôvodu dokumentovaných vysokých koncentrácií dusičnanov v podzemných vodách a na základe analýzy rizika znečistenia z poľnohospodárskych činností. Do zraniteľných oblastí pre podzemn</w:t>
      </w:r>
      <w:r w:rsidR="005D5CD1">
        <w:t>ú</w:t>
      </w:r>
      <w:r w:rsidRPr="001D64CC">
        <w:t xml:space="preserve"> vodu bolo navrhnutých 6 nových oblastí na zaradenie. Celkový počet zraniteľných oblastí pre podzemné vody klesol z počtu 1 191 na 875.</w:t>
      </w:r>
    </w:p>
    <w:p w14:paraId="30F53A69" w14:textId="77777777" w:rsidR="00F97CA1" w:rsidRPr="001D64CC" w:rsidRDefault="00F97CA1" w:rsidP="001D64CC">
      <w:pPr>
        <w:ind w:firstLine="709"/>
        <w:jc w:val="both"/>
      </w:pPr>
    </w:p>
    <w:p w14:paraId="4ACE89DD" w14:textId="0216EB6D" w:rsidR="00F97CA1" w:rsidRPr="001D64CC" w:rsidRDefault="00F97CA1" w:rsidP="001D64CC">
      <w:pPr>
        <w:ind w:firstLine="709"/>
        <w:jc w:val="both"/>
      </w:pPr>
      <w:r w:rsidRPr="001D64CC">
        <w:t xml:space="preserve">Z pôvodného počtu 532 obcí zaradených v zraniteľných oblastiach pre povrchové vody, na vyradenie bolo navrhnutých 294 obcí. Hlavným dôvodom pre vyradenie zo zraniteľných oblastí pre povrchové vody boli najmä dokumentované nízke koncentrácie nutrientov a v monitorovacích miestach sa neprejavovala </w:t>
      </w:r>
      <w:proofErr w:type="spellStart"/>
      <w:r w:rsidRPr="001D64CC">
        <w:t>eutrofizácia</w:t>
      </w:r>
      <w:proofErr w:type="spellEnd"/>
      <w:r w:rsidRPr="001D64CC">
        <w:t>, ktoré navyše vykazovali klesajúci alebo stabilný trend vývoja kvality povrchových vôd, vo vzťahu k zdrojom znečistenia z poľnohospodárskej činnosti. Pre ďalšie obdobie je navrhované ponechať 238 obcí v zraniteľných oblastiach.</w:t>
      </w:r>
    </w:p>
    <w:p w14:paraId="708BB434" w14:textId="77777777" w:rsidR="00F97CA1" w:rsidRPr="001D64CC" w:rsidRDefault="00F97CA1" w:rsidP="001D64CC">
      <w:pPr>
        <w:ind w:firstLine="709"/>
        <w:jc w:val="both"/>
      </w:pPr>
    </w:p>
    <w:p w14:paraId="3A8D35B0" w14:textId="4DB01950" w:rsidR="00F97CA1" w:rsidRPr="001D64CC" w:rsidRDefault="00F97CA1" w:rsidP="001D64CC">
      <w:pPr>
        <w:ind w:firstLine="709"/>
        <w:jc w:val="both"/>
      </w:pPr>
      <w:r w:rsidRPr="001D64CC">
        <w:t xml:space="preserve">Z hľadiska povrchových vôd bolo 241 obcí mimo zraniteľných oblastí navrhnutých   </w:t>
      </w:r>
      <w:r w:rsidR="00B07A98">
        <w:br/>
      </w:r>
      <w:r w:rsidRPr="001D64CC">
        <w:t>na zaradenie do zraniteľných oblastí pre povrchové vody. Dôvodom pre ich zaradenie je možné riziko poľnohospodárskych činností na ich území pre kvalitu/stav povrchových vôd (najmä v</w:t>
      </w:r>
      <w:r w:rsidR="00401092">
        <w:t>ý</w:t>
      </w:r>
      <w:bookmarkStart w:id="0" w:name="_GoBack"/>
      <w:bookmarkEnd w:id="0"/>
      <w:r w:rsidRPr="001D64CC">
        <w:t>nos celkového fosforu vodnou eróziou poľnohospodárskej pôdy). Celkový počet zraniteľných oblastí pre povrchové vody klesol z počtu 532 na 479.</w:t>
      </w:r>
    </w:p>
    <w:p w14:paraId="56517215" w14:textId="77777777" w:rsidR="00F97CA1" w:rsidRPr="001D64CC" w:rsidRDefault="00F97CA1" w:rsidP="001D64CC">
      <w:pPr>
        <w:ind w:firstLine="709"/>
        <w:jc w:val="both"/>
      </w:pPr>
    </w:p>
    <w:p w14:paraId="4903E2CE" w14:textId="035DBCB9" w:rsidR="00F97CA1" w:rsidRPr="001D64CC" w:rsidRDefault="00F97CA1" w:rsidP="00CA74E7">
      <w:pPr>
        <w:ind w:firstLine="709"/>
        <w:jc w:val="both"/>
      </w:pPr>
      <w:r w:rsidRPr="001D64CC">
        <w:t xml:space="preserve">Po revízii vykonanej v roku 2026 boli navrhnuté ako zraniteľné oblasti </w:t>
      </w:r>
      <w:r w:rsidR="00CC3423" w:rsidRPr="001D64CC">
        <w:t xml:space="preserve">z pohľadu </w:t>
      </w:r>
      <w:r w:rsidRPr="001D64CC">
        <w:t>podzemn</w:t>
      </w:r>
      <w:r w:rsidR="00CC3423" w:rsidRPr="001D64CC">
        <w:t>ých</w:t>
      </w:r>
      <w:r w:rsidRPr="001D64CC">
        <w:t xml:space="preserve"> aj povrchov</w:t>
      </w:r>
      <w:r w:rsidR="00CC3423" w:rsidRPr="001D64CC">
        <w:t>ých</w:t>
      </w:r>
      <w:r w:rsidRPr="001D64CC">
        <w:t xml:space="preserve"> v</w:t>
      </w:r>
      <w:r w:rsidR="00CC3423" w:rsidRPr="001D64CC">
        <w:t>ôd</w:t>
      </w:r>
      <w:r w:rsidRPr="001D64CC">
        <w:t xml:space="preserve"> spoločne územia 300 obcí, len z pohľadu podzemných vôd 575 obcí a len z pohľadu povrchových vôd 179 obcí. Spolu to predstavuje 1 054 obcí situovaných v zraniteľných oblastiach</w:t>
      </w:r>
      <w:r w:rsidR="00CC3423" w:rsidRPr="001D64CC">
        <w:t>, čo je zníženie počtu oproti revízii v roku 2022 o 341 obcí.</w:t>
      </w:r>
    </w:p>
    <w:p w14:paraId="4BED2A33" w14:textId="6478D2F2" w:rsidR="00EC3887" w:rsidRDefault="00EC3887" w:rsidP="00D0121C">
      <w:pPr>
        <w:jc w:val="both"/>
      </w:pPr>
    </w:p>
    <w:p w14:paraId="0F019191" w14:textId="4271E7DB" w:rsidR="00EC3887" w:rsidRPr="00D9633B" w:rsidRDefault="00EC3887" w:rsidP="00EC3887">
      <w:pPr>
        <w:ind w:firstLine="567"/>
        <w:jc w:val="both"/>
        <w:rPr>
          <w:color w:val="000000" w:themeColor="text1"/>
        </w:rPr>
      </w:pPr>
      <w:r>
        <w:t>Návrh nariadenia vlády</w:t>
      </w:r>
      <w:r w:rsidRPr="005627E0">
        <w:rPr>
          <w:color w:val="000000" w:themeColor="text1"/>
        </w:rPr>
        <w:t xml:space="preserve"> nemá negatívny vplyv na rozpočet verejnej správy</w:t>
      </w:r>
      <w:r w:rsidR="00D4370C">
        <w:rPr>
          <w:color w:val="000000" w:themeColor="text1"/>
        </w:rPr>
        <w:t>,</w:t>
      </w:r>
      <w:r w:rsidRPr="005627E0">
        <w:rPr>
          <w:color w:val="000000" w:themeColor="text1"/>
        </w:rPr>
        <w:t xml:space="preserve"> má pozitívny </w:t>
      </w:r>
      <w:r w:rsidR="00D4370C">
        <w:rPr>
          <w:color w:val="000000" w:themeColor="text1"/>
        </w:rPr>
        <w:t xml:space="preserve">aj negatívny </w:t>
      </w:r>
      <w:r w:rsidRPr="005627E0">
        <w:rPr>
          <w:color w:val="000000" w:themeColor="text1"/>
        </w:rPr>
        <w:t>vplyv na podnikateľské prostredie a</w:t>
      </w:r>
      <w:r w:rsidR="00D4370C">
        <w:rPr>
          <w:color w:val="000000" w:themeColor="text1"/>
        </w:rPr>
        <w:t xml:space="preserve"> pozitívny vplyv na </w:t>
      </w:r>
      <w:r w:rsidRPr="005627E0">
        <w:rPr>
          <w:color w:val="000000" w:themeColor="text1"/>
        </w:rPr>
        <w:t xml:space="preserve">životné prostredie. Návrh </w:t>
      </w:r>
      <w:r w:rsidR="00D4370C">
        <w:rPr>
          <w:color w:val="000000" w:themeColor="text1"/>
        </w:rPr>
        <w:t>nariadenia vlády</w:t>
      </w:r>
      <w:r w:rsidRPr="005627E0">
        <w:rPr>
          <w:color w:val="000000" w:themeColor="text1"/>
        </w:rPr>
        <w:t xml:space="preserve"> nemá sociálne vplyvy, vplyvy na informatizáciu spoločnosti, služby verejnej správy pre občana a ani vplyv na manželstvo, rodičovstvo a rodinu.</w:t>
      </w:r>
    </w:p>
    <w:p w14:paraId="6585A3C3" w14:textId="4CC02A4C" w:rsidR="00F97CA1" w:rsidRPr="001D64CC" w:rsidRDefault="00F97CA1" w:rsidP="00D0121C">
      <w:pPr>
        <w:jc w:val="both"/>
      </w:pPr>
    </w:p>
    <w:p w14:paraId="04F9C3A6" w14:textId="3F0A6F5A" w:rsidR="00F97CA1" w:rsidRDefault="00F97CA1" w:rsidP="001D64CC">
      <w:pPr>
        <w:adjustRightInd w:val="0"/>
        <w:ind w:firstLine="708"/>
        <w:jc w:val="both"/>
        <w:rPr>
          <w:color w:val="000000"/>
        </w:rPr>
      </w:pPr>
      <w:r w:rsidRPr="001D64CC">
        <w:rPr>
          <w:color w:val="000000"/>
        </w:rPr>
        <w:t xml:space="preserve">Návrh nariadenia vlády je v súlade s Ústavou Slovenskej republiky, ústavným zákonmi                 a nálezmi ústavného súdu, zákonmi, </w:t>
      </w:r>
      <w:r w:rsidR="00CA74E7" w:rsidRPr="00EC7900">
        <w:t>ostatnými všeobecne záväznými právnymi predpismi</w:t>
      </w:r>
      <w:r w:rsidR="00CA74E7">
        <w:t xml:space="preserve">, </w:t>
      </w:r>
      <w:r w:rsidR="00CA74E7" w:rsidRPr="001D64CC">
        <w:rPr>
          <w:color w:val="000000"/>
        </w:rPr>
        <w:t xml:space="preserve"> </w:t>
      </w:r>
      <w:r w:rsidRPr="001D64CC">
        <w:rPr>
          <w:color w:val="000000"/>
        </w:rPr>
        <w:t>medzinárodnými zmluvami a inými medzinárodnými dokumentmi, ktorými je Slovenská republika viazaná a súčasne je v súlade s právom Európskej únie.</w:t>
      </w:r>
    </w:p>
    <w:p w14:paraId="1390D6C7" w14:textId="77777777" w:rsidR="00CA74E7" w:rsidRPr="001D64CC" w:rsidRDefault="00CA74E7" w:rsidP="001D64CC">
      <w:pPr>
        <w:adjustRightInd w:val="0"/>
        <w:ind w:firstLine="708"/>
        <w:jc w:val="both"/>
        <w:rPr>
          <w:color w:val="000000"/>
        </w:rPr>
      </w:pPr>
    </w:p>
    <w:p w14:paraId="3F24D720" w14:textId="77777777" w:rsidR="00CA74E7" w:rsidRDefault="00CA74E7" w:rsidP="00CA74E7">
      <w:pPr>
        <w:ind w:firstLine="709"/>
        <w:jc w:val="both"/>
      </w:pPr>
      <w:r w:rsidRPr="001D64CC">
        <w:t xml:space="preserve">Návrh nariadenia vlády nie je predmetom </w:t>
      </w:r>
      <w:proofErr w:type="spellStart"/>
      <w:r w:rsidRPr="001D64CC">
        <w:t>vnútrokomunitárneho</w:t>
      </w:r>
      <w:proofErr w:type="spellEnd"/>
      <w:r w:rsidRPr="001D64CC">
        <w:t xml:space="preserve"> pripomienkového konania. </w:t>
      </w:r>
    </w:p>
    <w:p w14:paraId="1913B465" w14:textId="77777777" w:rsidR="00224408" w:rsidRPr="001D64CC" w:rsidRDefault="00224408" w:rsidP="00290CA7">
      <w:pPr>
        <w:jc w:val="both"/>
      </w:pPr>
    </w:p>
    <w:p w14:paraId="259BA291" w14:textId="3A1E7D4C" w:rsidR="00224408" w:rsidRDefault="00224408" w:rsidP="001D64CC">
      <w:pPr>
        <w:ind w:firstLine="709"/>
        <w:jc w:val="both"/>
      </w:pPr>
    </w:p>
    <w:p w14:paraId="7383D7D3" w14:textId="77777777" w:rsidR="00224408" w:rsidRPr="00B22384" w:rsidRDefault="00224408" w:rsidP="00224408">
      <w:pPr>
        <w:jc w:val="both"/>
        <w:rPr>
          <w:rFonts w:eastAsia="Calibri"/>
          <w:b/>
        </w:rPr>
      </w:pPr>
      <w:r w:rsidRPr="00B22384">
        <w:rPr>
          <w:rFonts w:eastAsia="Calibri"/>
          <w:b/>
        </w:rPr>
        <w:t>B. Osobitná časť</w:t>
      </w:r>
    </w:p>
    <w:p w14:paraId="23FBB91B" w14:textId="77777777" w:rsidR="00224408" w:rsidRPr="00B22384" w:rsidRDefault="00224408" w:rsidP="00224408">
      <w:pPr>
        <w:jc w:val="both"/>
        <w:rPr>
          <w:rFonts w:eastAsia="Calibri"/>
          <w:b/>
          <w:iCs/>
        </w:rPr>
      </w:pPr>
    </w:p>
    <w:p w14:paraId="0AF9199A" w14:textId="77777777" w:rsidR="00224408" w:rsidRPr="00B22384" w:rsidRDefault="00224408" w:rsidP="00224408">
      <w:pPr>
        <w:jc w:val="both"/>
        <w:rPr>
          <w:b/>
          <w:lang w:eastAsia="cs-CZ"/>
        </w:rPr>
      </w:pPr>
      <w:r w:rsidRPr="00B22384">
        <w:rPr>
          <w:b/>
          <w:lang w:eastAsia="cs-CZ"/>
        </w:rPr>
        <w:t xml:space="preserve">K Čl. I </w:t>
      </w:r>
    </w:p>
    <w:p w14:paraId="1157E5CA" w14:textId="77777777" w:rsidR="00224408" w:rsidRPr="00B22384" w:rsidRDefault="00224408" w:rsidP="00224408">
      <w:pPr>
        <w:jc w:val="both"/>
        <w:rPr>
          <w:b/>
          <w:lang w:eastAsia="cs-CZ"/>
        </w:rPr>
      </w:pPr>
    </w:p>
    <w:p w14:paraId="74173CBD" w14:textId="7FE99E2C" w:rsidR="00224408" w:rsidRPr="00B22384" w:rsidRDefault="00224408" w:rsidP="00224408">
      <w:pPr>
        <w:jc w:val="both"/>
      </w:pPr>
      <w:r w:rsidRPr="00B22384">
        <w:t xml:space="preserve">Zoznam zraniteľných oblastí, ktorými sú poľnohospodársky využívané pozemky v konkrétnych obciach je uvedený v prílohe č. 1.  Mapa zraniteľných oblastí je uvedená </w:t>
      </w:r>
      <w:r w:rsidR="00B07A98">
        <w:br/>
      </w:r>
      <w:r w:rsidRPr="00B22384">
        <w:t>v prílohe č. 2.</w:t>
      </w:r>
    </w:p>
    <w:p w14:paraId="3A820E01" w14:textId="77777777" w:rsidR="00224408" w:rsidRPr="00B22384" w:rsidRDefault="00224408" w:rsidP="00224408">
      <w:pPr>
        <w:jc w:val="both"/>
      </w:pPr>
    </w:p>
    <w:p w14:paraId="2A601335" w14:textId="77777777" w:rsidR="00224408" w:rsidRPr="00B22384" w:rsidRDefault="00224408" w:rsidP="00224408">
      <w:pPr>
        <w:jc w:val="both"/>
        <w:rPr>
          <w:b/>
          <w:lang w:eastAsia="cs-CZ"/>
        </w:rPr>
      </w:pPr>
      <w:r w:rsidRPr="00B22384">
        <w:rPr>
          <w:b/>
          <w:lang w:eastAsia="cs-CZ"/>
        </w:rPr>
        <w:t>K Čl. II</w:t>
      </w:r>
    </w:p>
    <w:p w14:paraId="42CD9FBC" w14:textId="77777777" w:rsidR="00224408" w:rsidRPr="00B22384" w:rsidRDefault="00224408" w:rsidP="00224408">
      <w:pPr>
        <w:jc w:val="both"/>
        <w:rPr>
          <w:b/>
          <w:lang w:eastAsia="cs-CZ"/>
        </w:rPr>
      </w:pPr>
    </w:p>
    <w:p w14:paraId="6575D413" w14:textId="77777777" w:rsidR="00224408" w:rsidRPr="00B22384" w:rsidRDefault="00224408" w:rsidP="00224408">
      <w:pPr>
        <w:jc w:val="both"/>
        <w:rPr>
          <w:noProof/>
        </w:rPr>
      </w:pPr>
      <w:r w:rsidRPr="00B22384">
        <w:lastRenderedPageBreak/>
        <w:t xml:space="preserve">Dátum účinnosti návrhu nariadenia vlády je vzhľadom na predpokladanú dĺžku legislatívneho procesu a potrebnú </w:t>
      </w:r>
      <w:proofErr w:type="spellStart"/>
      <w:r w:rsidRPr="00B22384">
        <w:t>legisvakačnú</w:t>
      </w:r>
      <w:proofErr w:type="spellEnd"/>
      <w:r w:rsidRPr="00B22384">
        <w:t xml:space="preserve"> lehotu navrhnutý na 1. január 2027. </w:t>
      </w:r>
    </w:p>
    <w:p w14:paraId="3EB9A88C" w14:textId="77777777" w:rsidR="00224408" w:rsidRPr="001D64CC" w:rsidRDefault="00224408" w:rsidP="001D64CC">
      <w:pPr>
        <w:ind w:firstLine="709"/>
        <w:jc w:val="both"/>
      </w:pPr>
    </w:p>
    <w:sectPr w:rsidR="00224408" w:rsidRPr="001D64C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28BBC" w14:textId="77777777" w:rsidR="009976AF" w:rsidRDefault="009976AF">
      <w:r>
        <w:separator/>
      </w:r>
    </w:p>
  </w:endnote>
  <w:endnote w:type="continuationSeparator" w:id="0">
    <w:p w14:paraId="756D4EA6" w14:textId="77777777" w:rsidR="009976AF" w:rsidRDefault="0099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9E6D5" w14:textId="77777777" w:rsidR="004C1680" w:rsidRDefault="004C168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2E2923A4" w14:textId="77777777" w:rsidR="004C1680" w:rsidRDefault="004C1680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6A1A9" w14:textId="77777777" w:rsidR="004C1680" w:rsidRDefault="004C1680" w:rsidP="006E52B1">
    <w:pPr>
      <w:pStyle w:val="Pt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0F60E" w14:textId="77777777" w:rsidR="009976AF" w:rsidRDefault="009976AF">
      <w:r>
        <w:separator/>
      </w:r>
    </w:p>
  </w:footnote>
  <w:footnote w:type="continuationSeparator" w:id="0">
    <w:p w14:paraId="351384EC" w14:textId="77777777" w:rsidR="009976AF" w:rsidRDefault="0099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105AA"/>
    <w:multiLevelType w:val="hybridMultilevel"/>
    <w:tmpl w:val="D6E80FE0"/>
    <w:lvl w:ilvl="0" w:tplc="5B82E0D4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E552D1"/>
    <w:multiLevelType w:val="hybridMultilevel"/>
    <w:tmpl w:val="879273E2"/>
    <w:lvl w:ilvl="0" w:tplc="7A384F8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E733C"/>
    <w:multiLevelType w:val="hybridMultilevel"/>
    <w:tmpl w:val="B7F6E0A8"/>
    <w:lvl w:ilvl="0" w:tplc="1AD0F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C67B3"/>
    <w:multiLevelType w:val="singleLevel"/>
    <w:tmpl w:val="FD345E32"/>
    <w:lvl w:ilvl="0">
      <w:numFmt w:val="decimal"/>
      <w:pStyle w:val="Nadpis3"/>
      <w:lvlText w:val="%1"/>
      <w:legacy w:legacy="1" w:legacySpace="0" w:legacyIndent="0"/>
      <w:lvlJc w:val="left"/>
      <w:rPr>
        <w:rFonts w:cs="Times New Roman"/>
      </w:rPr>
    </w:lvl>
  </w:abstractNum>
  <w:abstractNum w:abstractNumId="4" w15:restartNumberingAfterBreak="0">
    <w:nsid w:val="4C495238"/>
    <w:multiLevelType w:val="hybridMultilevel"/>
    <w:tmpl w:val="D8DE656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3A5761"/>
    <w:multiLevelType w:val="hybridMultilevel"/>
    <w:tmpl w:val="9A9E401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64FC9"/>
    <w:multiLevelType w:val="hybridMultilevel"/>
    <w:tmpl w:val="7BECA5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C645C37"/>
    <w:multiLevelType w:val="hybridMultilevel"/>
    <w:tmpl w:val="35F080D8"/>
    <w:lvl w:ilvl="0" w:tplc="56FA3CDA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41298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DCD046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BE"/>
    <w:rsid w:val="00016590"/>
    <w:rsid w:val="0001755A"/>
    <w:rsid w:val="00035283"/>
    <w:rsid w:val="00047BAA"/>
    <w:rsid w:val="00065BBD"/>
    <w:rsid w:val="00082B2F"/>
    <w:rsid w:val="00090274"/>
    <w:rsid w:val="0009401E"/>
    <w:rsid w:val="000B378F"/>
    <w:rsid w:val="000B3D03"/>
    <w:rsid w:val="000B5726"/>
    <w:rsid w:val="000C23CD"/>
    <w:rsid w:val="000C2D2F"/>
    <w:rsid w:val="000C7558"/>
    <w:rsid w:val="000D0039"/>
    <w:rsid w:val="000D1F8D"/>
    <w:rsid w:val="000D518C"/>
    <w:rsid w:val="000D571F"/>
    <w:rsid w:val="000E07D5"/>
    <w:rsid w:val="000E45AF"/>
    <w:rsid w:val="000E79FD"/>
    <w:rsid w:val="000F326D"/>
    <w:rsid w:val="00126BC1"/>
    <w:rsid w:val="00127EEF"/>
    <w:rsid w:val="00131A14"/>
    <w:rsid w:val="0014557F"/>
    <w:rsid w:val="00147AAC"/>
    <w:rsid w:val="00160C50"/>
    <w:rsid w:val="0016148A"/>
    <w:rsid w:val="00164C0F"/>
    <w:rsid w:val="0017512B"/>
    <w:rsid w:val="001922D5"/>
    <w:rsid w:val="00194FDF"/>
    <w:rsid w:val="001A571D"/>
    <w:rsid w:val="001B7100"/>
    <w:rsid w:val="001C1BE9"/>
    <w:rsid w:val="001C30D0"/>
    <w:rsid w:val="001D15CB"/>
    <w:rsid w:val="001D3346"/>
    <w:rsid w:val="001D3FB8"/>
    <w:rsid w:val="001D6072"/>
    <w:rsid w:val="001D64CC"/>
    <w:rsid w:val="001F2343"/>
    <w:rsid w:val="001F40D2"/>
    <w:rsid w:val="001F68BF"/>
    <w:rsid w:val="00210544"/>
    <w:rsid w:val="00221707"/>
    <w:rsid w:val="00224408"/>
    <w:rsid w:val="002370D0"/>
    <w:rsid w:val="00241700"/>
    <w:rsid w:val="0024253D"/>
    <w:rsid w:val="00245028"/>
    <w:rsid w:val="00246103"/>
    <w:rsid w:val="0024741A"/>
    <w:rsid w:val="00252DCF"/>
    <w:rsid w:val="002668A6"/>
    <w:rsid w:val="00290CA7"/>
    <w:rsid w:val="002911CF"/>
    <w:rsid w:val="00292F43"/>
    <w:rsid w:val="00294AD2"/>
    <w:rsid w:val="002A682C"/>
    <w:rsid w:val="002B5C13"/>
    <w:rsid w:val="002B68C7"/>
    <w:rsid w:val="002E38A2"/>
    <w:rsid w:val="002E7525"/>
    <w:rsid w:val="002F2F08"/>
    <w:rsid w:val="002F5134"/>
    <w:rsid w:val="002F51A9"/>
    <w:rsid w:val="002F6DF6"/>
    <w:rsid w:val="00301696"/>
    <w:rsid w:val="00305234"/>
    <w:rsid w:val="00305448"/>
    <w:rsid w:val="003163F2"/>
    <w:rsid w:val="00322448"/>
    <w:rsid w:val="00324BE8"/>
    <w:rsid w:val="00325555"/>
    <w:rsid w:val="003259BB"/>
    <w:rsid w:val="00327668"/>
    <w:rsid w:val="00327746"/>
    <w:rsid w:val="00332C7C"/>
    <w:rsid w:val="00333420"/>
    <w:rsid w:val="003414B9"/>
    <w:rsid w:val="00353CE2"/>
    <w:rsid w:val="00371565"/>
    <w:rsid w:val="00385168"/>
    <w:rsid w:val="003857DA"/>
    <w:rsid w:val="00385990"/>
    <w:rsid w:val="00391455"/>
    <w:rsid w:val="003916D9"/>
    <w:rsid w:val="00392703"/>
    <w:rsid w:val="003927CA"/>
    <w:rsid w:val="003962CB"/>
    <w:rsid w:val="00397042"/>
    <w:rsid w:val="003A30C1"/>
    <w:rsid w:val="003A4D5C"/>
    <w:rsid w:val="003B0269"/>
    <w:rsid w:val="003B1C91"/>
    <w:rsid w:val="003B4D4F"/>
    <w:rsid w:val="003C1778"/>
    <w:rsid w:val="003C40BA"/>
    <w:rsid w:val="003C635D"/>
    <w:rsid w:val="003C6900"/>
    <w:rsid w:val="003D795B"/>
    <w:rsid w:val="003E2C55"/>
    <w:rsid w:val="003F5F9E"/>
    <w:rsid w:val="00401092"/>
    <w:rsid w:val="00402BDD"/>
    <w:rsid w:val="004042BE"/>
    <w:rsid w:val="004116C1"/>
    <w:rsid w:val="00424C51"/>
    <w:rsid w:val="00427CA4"/>
    <w:rsid w:val="0043400C"/>
    <w:rsid w:val="00436173"/>
    <w:rsid w:val="004534AD"/>
    <w:rsid w:val="0045600A"/>
    <w:rsid w:val="00462D76"/>
    <w:rsid w:val="0046370D"/>
    <w:rsid w:val="0047223E"/>
    <w:rsid w:val="00483409"/>
    <w:rsid w:val="004B2594"/>
    <w:rsid w:val="004B5F78"/>
    <w:rsid w:val="004C02E0"/>
    <w:rsid w:val="004C1680"/>
    <w:rsid w:val="004D28B3"/>
    <w:rsid w:val="004D6D07"/>
    <w:rsid w:val="004E0987"/>
    <w:rsid w:val="004E298C"/>
    <w:rsid w:val="004E7D0F"/>
    <w:rsid w:val="00506B94"/>
    <w:rsid w:val="005124A0"/>
    <w:rsid w:val="005234BE"/>
    <w:rsid w:val="00527E9B"/>
    <w:rsid w:val="00546A87"/>
    <w:rsid w:val="00565F3F"/>
    <w:rsid w:val="0057041F"/>
    <w:rsid w:val="005940BF"/>
    <w:rsid w:val="005A7BBB"/>
    <w:rsid w:val="005A7C96"/>
    <w:rsid w:val="005C69F4"/>
    <w:rsid w:val="005D5CD1"/>
    <w:rsid w:val="005D7A0D"/>
    <w:rsid w:val="005E0FFC"/>
    <w:rsid w:val="005E3CD1"/>
    <w:rsid w:val="005E63CE"/>
    <w:rsid w:val="0060308B"/>
    <w:rsid w:val="0062493C"/>
    <w:rsid w:val="00632747"/>
    <w:rsid w:val="00632777"/>
    <w:rsid w:val="00642832"/>
    <w:rsid w:val="00665131"/>
    <w:rsid w:val="00666407"/>
    <w:rsid w:val="006801D4"/>
    <w:rsid w:val="00680A80"/>
    <w:rsid w:val="006839AD"/>
    <w:rsid w:val="0068402D"/>
    <w:rsid w:val="006853F5"/>
    <w:rsid w:val="006873CF"/>
    <w:rsid w:val="006940FF"/>
    <w:rsid w:val="00694F10"/>
    <w:rsid w:val="006A04B8"/>
    <w:rsid w:val="006B282E"/>
    <w:rsid w:val="006C000B"/>
    <w:rsid w:val="006C13CF"/>
    <w:rsid w:val="006D1FBB"/>
    <w:rsid w:val="006E1D60"/>
    <w:rsid w:val="006E52B1"/>
    <w:rsid w:val="006E74C3"/>
    <w:rsid w:val="006F08F5"/>
    <w:rsid w:val="006F6F51"/>
    <w:rsid w:val="00704D4E"/>
    <w:rsid w:val="00722843"/>
    <w:rsid w:val="00723CA5"/>
    <w:rsid w:val="00726E94"/>
    <w:rsid w:val="0073377F"/>
    <w:rsid w:val="00736575"/>
    <w:rsid w:val="00746C93"/>
    <w:rsid w:val="00750FAB"/>
    <w:rsid w:val="00755733"/>
    <w:rsid w:val="00764C62"/>
    <w:rsid w:val="00774A0E"/>
    <w:rsid w:val="007866AD"/>
    <w:rsid w:val="00790823"/>
    <w:rsid w:val="00791DE9"/>
    <w:rsid w:val="007B156A"/>
    <w:rsid w:val="007B4759"/>
    <w:rsid w:val="007C3410"/>
    <w:rsid w:val="007C51B2"/>
    <w:rsid w:val="007C64CC"/>
    <w:rsid w:val="007C7492"/>
    <w:rsid w:val="007D40A2"/>
    <w:rsid w:val="007D6259"/>
    <w:rsid w:val="007E0B6B"/>
    <w:rsid w:val="00804C40"/>
    <w:rsid w:val="00807531"/>
    <w:rsid w:val="00816519"/>
    <w:rsid w:val="00824C87"/>
    <w:rsid w:val="00826D83"/>
    <w:rsid w:val="0083233D"/>
    <w:rsid w:val="00844E30"/>
    <w:rsid w:val="008663F4"/>
    <w:rsid w:val="00876338"/>
    <w:rsid w:val="0088349B"/>
    <w:rsid w:val="00892E08"/>
    <w:rsid w:val="008A7C92"/>
    <w:rsid w:val="008A7D5E"/>
    <w:rsid w:val="008B500B"/>
    <w:rsid w:val="008C5B16"/>
    <w:rsid w:val="008D124B"/>
    <w:rsid w:val="008D44C0"/>
    <w:rsid w:val="008D7E19"/>
    <w:rsid w:val="008E71E1"/>
    <w:rsid w:val="008F16D8"/>
    <w:rsid w:val="008F3E53"/>
    <w:rsid w:val="008F78AE"/>
    <w:rsid w:val="00911578"/>
    <w:rsid w:val="00921FD0"/>
    <w:rsid w:val="00922878"/>
    <w:rsid w:val="00926B1B"/>
    <w:rsid w:val="009312B1"/>
    <w:rsid w:val="00936FEF"/>
    <w:rsid w:val="009435BA"/>
    <w:rsid w:val="00943E6A"/>
    <w:rsid w:val="009455CC"/>
    <w:rsid w:val="0095303B"/>
    <w:rsid w:val="009604D9"/>
    <w:rsid w:val="0096204E"/>
    <w:rsid w:val="009730E4"/>
    <w:rsid w:val="00976E28"/>
    <w:rsid w:val="00977C88"/>
    <w:rsid w:val="00985770"/>
    <w:rsid w:val="009949DC"/>
    <w:rsid w:val="009976AF"/>
    <w:rsid w:val="009B051D"/>
    <w:rsid w:val="009B182A"/>
    <w:rsid w:val="009B57B9"/>
    <w:rsid w:val="009C2EC9"/>
    <w:rsid w:val="009E185F"/>
    <w:rsid w:val="009E6CA2"/>
    <w:rsid w:val="009E731E"/>
    <w:rsid w:val="009E7E98"/>
    <w:rsid w:val="009F0F8B"/>
    <w:rsid w:val="009F4AE9"/>
    <w:rsid w:val="00A05647"/>
    <w:rsid w:val="00A20136"/>
    <w:rsid w:val="00A24DA5"/>
    <w:rsid w:val="00A27F54"/>
    <w:rsid w:val="00A30FB7"/>
    <w:rsid w:val="00A342D2"/>
    <w:rsid w:val="00A412A7"/>
    <w:rsid w:val="00A464A8"/>
    <w:rsid w:val="00A51DE0"/>
    <w:rsid w:val="00A569EA"/>
    <w:rsid w:val="00A70264"/>
    <w:rsid w:val="00A806AA"/>
    <w:rsid w:val="00A87EA8"/>
    <w:rsid w:val="00AA03E5"/>
    <w:rsid w:val="00AA51CF"/>
    <w:rsid w:val="00AC5286"/>
    <w:rsid w:val="00AD23F7"/>
    <w:rsid w:val="00AD2FE7"/>
    <w:rsid w:val="00AD5DCC"/>
    <w:rsid w:val="00AE3377"/>
    <w:rsid w:val="00AF0227"/>
    <w:rsid w:val="00B02CC5"/>
    <w:rsid w:val="00B03E89"/>
    <w:rsid w:val="00B07A98"/>
    <w:rsid w:val="00B11C15"/>
    <w:rsid w:val="00B15DCF"/>
    <w:rsid w:val="00B17075"/>
    <w:rsid w:val="00B176DD"/>
    <w:rsid w:val="00B20D0F"/>
    <w:rsid w:val="00B342B8"/>
    <w:rsid w:val="00B4343F"/>
    <w:rsid w:val="00B55343"/>
    <w:rsid w:val="00B6045B"/>
    <w:rsid w:val="00B60CDE"/>
    <w:rsid w:val="00B63C3B"/>
    <w:rsid w:val="00B67E39"/>
    <w:rsid w:val="00B72AA1"/>
    <w:rsid w:val="00B76DA8"/>
    <w:rsid w:val="00B82677"/>
    <w:rsid w:val="00B83504"/>
    <w:rsid w:val="00BA5C33"/>
    <w:rsid w:val="00BB7F65"/>
    <w:rsid w:val="00BC765F"/>
    <w:rsid w:val="00BD1958"/>
    <w:rsid w:val="00BD6FCB"/>
    <w:rsid w:val="00BE6804"/>
    <w:rsid w:val="00BE7630"/>
    <w:rsid w:val="00C02577"/>
    <w:rsid w:val="00C218FD"/>
    <w:rsid w:val="00C3110E"/>
    <w:rsid w:val="00C345C8"/>
    <w:rsid w:val="00C42FF1"/>
    <w:rsid w:val="00C43187"/>
    <w:rsid w:val="00C569A6"/>
    <w:rsid w:val="00C7242D"/>
    <w:rsid w:val="00C74CA1"/>
    <w:rsid w:val="00C74F45"/>
    <w:rsid w:val="00C75B05"/>
    <w:rsid w:val="00C9222A"/>
    <w:rsid w:val="00C92A86"/>
    <w:rsid w:val="00CA7257"/>
    <w:rsid w:val="00CA7386"/>
    <w:rsid w:val="00CA74E7"/>
    <w:rsid w:val="00CB12A3"/>
    <w:rsid w:val="00CB4298"/>
    <w:rsid w:val="00CC3423"/>
    <w:rsid w:val="00CF40F0"/>
    <w:rsid w:val="00CF7602"/>
    <w:rsid w:val="00D0121C"/>
    <w:rsid w:val="00D022E0"/>
    <w:rsid w:val="00D15D1C"/>
    <w:rsid w:val="00D1737F"/>
    <w:rsid w:val="00D1793F"/>
    <w:rsid w:val="00D25015"/>
    <w:rsid w:val="00D272D8"/>
    <w:rsid w:val="00D36FA6"/>
    <w:rsid w:val="00D41588"/>
    <w:rsid w:val="00D418E3"/>
    <w:rsid w:val="00D4370C"/>
    <w:rsid w:val="00D4525B"/>
    <w:rsid w:val="00D5669A"/>
    <w:rsid w:val="00D66808"/>
    <w:rsid w:val="00D67761"/>
    <w:rsid w:val="00D82232"/>
    <w:rsid w:val="00DA0262"/>
    <w:rsid w:val="00DA6639"/>
    <w:rsid w:val="00DB1274"/>
    <w:rsid w:val="00DB1761"/>
    <w:rsid w:val="00DB4E5C"/>
    <w:rsid w:val="00DC4D9F"/>
    <w:rsid w:val="00DC60C3"/>
    <w:rsid w:val="00DE145E"/>
    <w:rsid w:val="00DE14A0"/>
    <w:rsid w:val="00E06F90"/>
    <w:rsid w:val="00E06FE1"/>
    <w:rsid w:val="00E1400D"/>
    <w:rsid w:val="00E17492"/>
    <w:rsid w:val="00E20687"/>
    <w:rsid w:val="00E21C98"/>
    <w:rsid w:val="00E476C3"/>
    <w:rsid w:val="00E53B58"/>
    <w:rsid w:val="00E714AF"/>
    <w:rsid w:val="00E764BF"/>
    <w:rsid w:val="00E85B6A"/>
    <w:rsid w:val="00E85BAE"/>
    <w:rsid w:val="00E91534"/>
    <w:rsid w:val="00E927F3"/>
    <w:rsid w:val="00E942D5"/>
    <w:rsid w:val="00E956E7"/>
    <w:rsid w:val="00E969BE"/>
    <w:rsid w:val="00EA6387"/>
    <w:rsid w:val="00EB1011"/>
    <w:rsid w:val="00EB2650"/>
    <w:rsid w:val="00EB6B1D"/>
    <w:rsid w:val="00EC2DB0"/>
    <w:rsid w:val="00EC3887"/>
    <w:rsid w:val="00ED7FF5"/>
    <w:rsid w:val="00EE0D3A"/>
    <w:rsid w:val="00EE5E97"/>
    <w:rsid w:val="00EF166A"/>
    <w:rsid w:val="00EF609E"/>
    <w:rsid w:val="00F0478C"/>
    <w:rsid w:val="00F068B3"/>
    <w:rsid w:val="00F13351"/>
    <w:rsid w:val="00F22C30"/>
    <w:rsid w:val="00F24CF2"/>
    <w:rsid w:val="00F3124B"/>
    <w:rsid w:val="00F35CE0"/>
    <w:rsid w:val="00F35F64"/>
    <w:rsid w:val="00F36807"/>
    <w:rsid w:val="00F4206E"/>
    <w:rsid w:val="00F47885"/>
    <w:rsid w:val="00F5436B"/>
    <w:rsid w:val="00F5680B"/>
    <w:rsid w:val="00F56875"/>
    <w:rsid w:val="00F6198F"/>
    <w:rsid w:val="00F9543B"/>
    <w:rsid w:val="00F97CA1"/>
    <w:rsid w:val="00FA3062"/>
    <w:rsid w:val="00FA6A13"/>
    <w:rsid w:val="00FB6066"/>
    <w:rsid w:val="00FC2372"/>
    <w:rsid w:val="00FC27AE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532DF6"/>
  <w14:defaultImageDpi w14:val="0"/>
  <w15:docId w15:val="{899AB8D8-C5B6-4D98-BD81-F7307D0A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both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outlineLvl w:val="1"/>
    </w:pPr>
    <w:rPr>
      <w:b/>
      <w:bCs/>
      <w:u w:val="single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numPr>
        <w:numId w:val="1"/>
      </w:numPr>
      <w:overflowPunct w:val="0"/>
      <w:autoSpaceDE w:val="0"/>
      <w:autoSpaceDN w:val="0"/>
      <w:adjustRightInd w:val="0"/>
      <w:ind w:left="283" w:hanging="283"/>
      <w:jc w:val="both"/>
      <w:textAlignment w:val="baseline"/>
      <w:outlineLvl w:val="2"/>
    </w:pPr>
    <w:rPr>
      <w:szCs w:val="20"/>
      <w:u w:val="single"/>
      <w:lang w:val="en-GB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ind w:firstLine="708"/>
      <w:outlineLvl w:val="4"/>
    </w:pPr>
    <w:rPr>
      <w:i/>
      <w:lang w:eastAsia="cs-CZ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ind w:firstLine="708"/>
      <w:outlineLvl w:val="5"/>
    </w:pPr>
    <w:rPr>
      <w:b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arkazkladnhotextu">
    <w:name w:val="Body Text Indent"/>
    <w:basedOn w:val="Normlny"/>
    <w:link w:val="ZarkazkladnhotextuChar"/>
    <w:uiPriority w:val="99"/>
    <w:semiHidden/>
    <w:pPr>
      <w:autoSpaceDE w:val="0"/>
      <w:autoSpaceDN w:val="0"/>
      <w:spacing w:line="360" w:lineRule="auto"/>
      <w:jc w:val="both"/>
    </w:pPr>
    <w:rPr>
      <w:sz w:val="20"/>
      <w:szCs w:val="20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character" w:customStyle="1" w:styleId="TextpoznmkypodiarouChar3">
    <w:name w:val="Text poznámky pod čiarou Char3"/>
    <w:basedOn w:val="Predvolenpsmoodseku"/>
    <w:link w:val="Textpoznmkypodiarou"/>
    <w:uiPriority w:val="99"/>
    <w:semiHidden/>
    <w:locked/>
    <w:rsid w:val="00DA6639"/>
    <w:rPr>
      <w:rFonts w:cs="Times New Roman"/>
    </w:rPr>
  </w:style>
  <w:style w:type="paragraph" w:styleId="Zkladntext">
    <w:name w:val="Body Text"/>
    <w:basedOn w:val="Normlny"/>
    <w:link w:val="ZkladntextChar"/>
    <w:uiPriority w:val="99"/>
    <w:semiHidden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semiHidden/>
    <w:rPr>
      <w:rFonts w:cs="Times New Roman"/>
    </w:rPr>
  </w:style>
  <w:style w:type="paragraph" w:styleId="Textpoznmkypodiarou">
    <w:name w:val="footnote text"/>
    <w:basedOn w:val="Normlny"/>
    <w:link w:val="TextpoznmkypodiarouChar3"/>
    <w:uiPriority w:val="99"/>
    <w:semiHidden/>
    <w:rsid w:val="00DA66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uiPriority w:val="99"/>
    <w:semiHidden/>
  </w:style>
  <w:style w:type="character" w:customStyle="1" w:styleId="TextpoznmkypodiarouChar11">
    <w:name w:val="Text poznámky pod čiarou Char11"/>
    <w:basedOn w:val="Predvolenpsmoodseku"/>
    <w:uiPriority w:val="99"/>
    <w:semiHidden/>
    <w:rPr>
      <w:rFonts w:cs="Times New Roman"/>
    </w:rPr>
  </w:style>
  <w:style w:type="character" w:customStyle="1" w:styleId="TextpoznmkypodiarouChar10">
    <w:name w:val="Text poznámky pod čiarou Char10"/>
    <w:basedOn w:val="Predvolenpsmoodseku"/>
    <w:uiPriority w:val="99"/>
    <w:semiHidden/>
    <w:rPr>
      <w:rFonts w:cs="Times New Roman"/>
    </w:rPr>
  </w:style>
  <w:style w:type="character" w:customStyle="1" w:styleId="TextpoznmkypodiarouChar9">
    <w:name w:val="Text poznámky pod čiarou Char9"/>
    <w:basedOn w:val="Predvolenpsmoodseku"/>
    <w:uiPriority w:val="99"/>
    <w:semiHidden/>
    <w:rPr>
      <w:rFonts w:cs="Times New Roman"/>
    </w:rPr>
  </w:style>
  <w:style w:type="character" w:customStyle="1" w:styleId="TextpoznmkypodiarouChar8">
    <w:name w:val="Text poznámky pod čiarou Char8"/>
    <w:basedOn w:val="Predvolenpsmoodseku"/>
    <w:uiPriority w:val="99"/>
    <w:semiHidden/>
    <w:rPr>
      <w:rFonts w:cs="Times New Roman"/>
    </w:rPr>
  </w:style>
  <w:style w:type="character" w:customStyle="1" w:styleId="TextpoznmkypodiarouChar7">
    <w:name w:val="Text poznámky pod čiarou Char7"/>
    <w:basedOn w:val="Predvolenpsmoodseku"/>
    <w:uiPriority w:val="99"/>
    <w:semiHidden/>
    <w:rPr>
      <w:rFonts w:cs="Times New Roman"/>
    </w:rPr>
  </w:style>
  <w:style w:type="character" w:customStyle="1" w:styleId="TextpoznmkypodiarouChar6">
    <w:name w:val="Text poznámky pod čiarou Char6"/>
    <w:basedOn w:val="Predvolenpsmoodseku"/>
    <w:uiPriority w:val="99"/>
    <w:semiHidden/>
    <w:rPr>
      <w:rFonts w:cs="Times New Roman"/>
    </w:rPr>
  </w:style>
  <w:style w:type="character" w:customStyle="1" w:styleId="TextpoznmkypodiarouChar5">
    <w:name w:val="Text poznámky pod čiarou Char5"/>
    <w:basedOn w:val="Predvolenpsmoodseku"/>
    <w:uiPriority w:val="99"/>
    <w:semiHidden/>
    <w:rPr>
      <w:rFonts w:cs="Times New Roman"/>
    </w:rPr>
  </w:style>
  <w:style w:type="character" w:customStyle="1" w:styleId="TextpoznmkypodiarouChar4">
    <w:name w:val="Text poznámky pod čiarou Char4"/>
    <w:basedOn w:val="Predvolenpsmoodseku"/>
    <w:uiPriority w:val="99"/>
    <w:semiHidden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semiHidden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szCs w:val="20"/>
      <w:lang w:val="en-GB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character" w:customStyle="1" w:styleId="TextpoznpodarouChar2">
    <w:name w:val="Text pozn. pod čarou Char2"/>
    <w:basedOn w:val="Predvolenpsmoodseku"/>
    <w:uiPriority w:val="99"/>
    <w:semiHidden/>
    <w:rPr>
      <w:rFonts w:cs="Times New Roman"/>
    </w:rPr>
  </w:style>
  <w:style w:type="character" w:customStyle="1" w:styleId="TextpoznmkypodiarouChar2">
    <w:name w:val="Text poznámky pod čiarou Char2"/>
    <w:basedOn w:val="Predvolenpsmoodseku"/>
    <w:uiPriority w:val="99"/>
    <w:semiHidden/>
    <w:rPr>
      <w:rFonts w:cs="Times New Roman"/>
    </w:rPr>
  </w:style>
  <w:style w:type="paragraph" w:styleId="Pta">
    <w:name w:val="footer"/>
    <w:basedOn w:val="Normlny"/>
    <w:link w:val="PtaChar"/>
    <w:uiPriority w:val="99"/>
    <w:semiHidden/>
    <w:pPr>
      <w:tabs>
        <w:tab w:val="center" w:pos="4536"/>
        <w:tab w:val="right" w:pos="9072"/>
      </w:tabs>
    </w:pPr>
  </w:style>
  <w:style w:type="character" w:customStyle="1" w:styleId="PtaChar1">
    <w:name w:val="Päta Char1"/>
    <w:basedOn w:val="Predvolenpsmoodseku"/>
    <w:uiPriority w:val="99"/>
    <w:semiHidden/>
    <w:rPr>
      <w:sz w:val="24"/>
      <w:szCs w:val="24"/>
    </w:rPr>
  </w:style>
  <w:style w:type="character" w:customStyle="1" w:styleId="PtaChar17">
    <w:name w:val="Päta Char17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6">
    <w:name w:val="Päta Char16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5">
    <w:name w:val="Päta Char15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4">
    <w:name w:val="Päta Char14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3">
    <w:name w:val="Päta Char13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2">
    <w:name w:val="Päta Char12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1">
    <w:name w:val="Päta Char11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TextpoznpodarouChar">
    <w:name w:val="Text pozn. pod čarou Char"/>
    <w:basedOn w:val="Predvolenpsmoodseku"/>
    <w:uiPriority w:val="99"/>
    <w:semiHidden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semiHidden/>
    <w:pPr>
      <w:ind w:firstLine="708"/>
      <w:jc w:val="center"/>
    </w:pPr>
    <w:rPr>
      <w:b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character" w:styleId="Hypertextovprepojenie">
    <w:name w:val="Hyperlink"/>
    <w:basedOn w:val="Predvolenpsmoodseku"/>
    <w:uiPriority w:val="99"/>
    <w:rsid w:val="00DA6639"/>
    <w:rPr>
      <w:rFonts w:cs="Times New Roman"/>
      <w:color w:val="0000FF"/>
      <w:u w:val="single"/>
    </w:rPr>
  </w:style>
  <w:style w:type="character" w:customStyle="1" w:styleId="TextpoznmkypodiarouChar1">
    <w:name w:val="Text poznámky pod čiarou Char1"/>
    <w:basedOn w:val="Predvolenpsmoodseku"/>
    <w:uiPriority w:val="99"/>
    <w:semiHidden/>
    <w:rPr>
      <w:rFonts w:cs="Times New Roman"/>
    </w:rPr>
  </w:style>
  <w:style w:type="character" w:customStyle="1" w:styleId="TextpoznpodarouChar1">
    <w:name w:val="Text pozn. pod čarou Char1"/>
    <w:basedOn w:val="Predvolenpsmoodseku"/>
    <w:uiPriority w:val="99"/>
    <w:semiHidden/>
    <w:rPr>
      <w:rFonts w:cs="Times New Roman"/>
    </w:rPr>
  </w:style>
  <w:style w:type="paragraph" w:styleId="Odsekzoznamu">
    <w:name w:val="List Paragraph"/>
    <w:basedOn w:val="Normlny"/>
    <w:uiPriority w:val="34"/>
    <w:rsid w:val="008A7C92"/>
    <w:pPr>
      <w:ind w:left="720"/>
      <w:contextualSpacing/>
    </w:pPr>
    <w:rPr>
      <w:lang w:val="cs-CZ" w:eastAsia="cs-CZ"/>
    </w:rPr>
  </w:style>
  <w:style w:type="character" w:styleId="Zvraznenie">
    <w:name w:val="Emphasis"/>
    <w:basedOn w:val="Predvolenpsmoodseku"/>
    <w:uiPriority w:val="20"/>
    <w:qFormat/>
    <w:rsid w:val="00DA6639"/>
    <w:rPr>
      <w:rFonts w:cs="Times New Roman"/>
      <w:i/>
      <w:iCs/>
    </w:rPr>
  </w:style>
  <w:style w:type="paragraph" w:styleId="Hlavika">
    <w:name w:val="header"/>
    <w:basedOn w:val="Normlny"/>
    <w:link w:val="HlavikaChar"/>
    <w:uiPriority w:val="99"/>
    <w:rsid w:val="00E714A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E714AF"/>
    <w:rPr>
      <w:rFonts w:cs="Times New Roman"/>
      <w:sz w:val="24"/>
      <w:szCs w:val="24"/>
    </w:rPr>
  </w:style>
  <w:style w:type="paragraph" w:customStyle="1" w:styleId="Default">
    <w:name w:val="Default"/>
    <w:rsid w:val="007B156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rsid w:val="003962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3962CB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9B051D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F4206E"/>
    <w:rPr>
      <w:rFonts w:cs="Times New Roman"/>
      <w:b/>
    </w:rPr>
  </w:style>
  <w:style w:type="character" w:styleId="Odkaznakomentr">
    <w:name w:val="annotation reference"/>
    <w:basedOn w:val="Predvolenpsmoodseku"/>
    <w:uiPriority w:val="99"/>
    <w:rsid w:val="007D40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D40A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D40A2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40A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40A2"/>
    <w:rPr>
      <w:b/>
      <w:bCs/>
    </w:rPr>
  </w:style>
  <w:style w:type="paragraph" w:styleId="Revzia">
    <w:name w:val="Revision"/>
    <w:hidden/>
    <w:uiPriority w:val="99"/>
    <w:semiHidden/>
    <w:rsid w:val="00D822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58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880</Words>
  <Characters>5019</Characters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Dôvodová správa</vt:lpstr>
    </vt:vector>
  </TitlesOfParts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2023-01-09T11:04:00Z</cp:lastPrinted>
  <dcterms:created xsi:type="dcterms:W3CDTF">2026-08-28T11:47:00Z</dcterms:created>
  <dcterms:modified xsi:type="dcterms:W3CDTF">2026-10-12T08:04:00Z</dcterms:modified>
</cp:coreProperties>
</file>