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2011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3A9CEF16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8D00B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>
        <w:rPr>
          <w:rFonts w:ascii="Times New Roman" w:hAnsi="Times New Roman"/>
          <w:sz w:val="24"/>
        </w:rPr>
        <w:t xml:space="preserve"> Návrh zákona, ktorým sa mení a dopĺňa zákon č. 440/2015 Z. z. o športe a o zmene a doplnení niektorých zákonov v znení neskorších predpisov</w:t>
      </w:r>
    </w:p>
    <w:p w14:paraId="0960A77A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>
        <w:rPr>
          <w:rFonts w:ascii="Times New Roman" w:hAnsi="Times New Roman"/>
          <w:sz w:val="24"/>
        </w:rPr>
        <w:t xml:space="preserve"> Ministerstvo cestovného ruchu a športu Slovenskej republiky</w:t>
      </w:r>
    </w:p>
    <w:p w14:paraId="5C059BA1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E30650D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01A17D57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2B522F60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nákladov, náklady goldplatingu</w:t>
      </w:r>
      <w:r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na podnikateľské prostredie. </w:t>
      </w:r>
    </w:p>
    <w:p w14:paraId="0AF0354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Tabuľka je prevzatá z Kalkulačky nákladov regulácie, ktorá tvorí povinnú prílohu tejto analýzy. Sankcie a pokuty (C) sa nekvantifikujú – pozri bod 3.1.3.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626461F4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84A4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7774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8A8D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291E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43B8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CD0D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ACC67F1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EC10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1F4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28BE82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C566E2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1E0781DA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C74F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47E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 Dane, odvody, clá a poplatky, ktorých cieľom je znižovať negatívne externality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D34364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712F9D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929AE" w:rsidRPr="00C929AE" w14:paraId="20BFD57C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D4C6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0A52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B. Iné 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EF0A089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04BA32C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929AE" w:rsidRPr="00C929AE" w14:paraId="55E4CFF3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DAB5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483F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BAA827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75BC01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929AE" w:rsidRPr="00C929AE" w14:paraId="322ED697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A93D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7A0A" w14:textId="77777777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Nepriame finančné náklady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EB7A58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656FCD8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A4E85" w:rsidRPr="00C929AE" w14:paraId="28FB7B51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EB3CD1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EF39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004E3A9F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542BA23A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41 370,75</w:t>
            </w:r>
          </w:p>
        </w:tc>
      </w:tr>
      <w:tr w:rsidR="00C929AE" w:rsidRPr="00C929AE" w14:paraId="33A32896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980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F3614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0E853C9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BE3222E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41 370,75</w:t>
            </w:r>
          </w:p>
        </w:tc>
      </w:tr>
      <w:tr w:rsidR="00C929AE" w:rsidRPr="00C929AE" w14:paraId="057F5886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8CF3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271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8CE9BF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01DC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3298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4C9F1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09E55C9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3BE2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F3B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2FEC93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37AD25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CAB2F01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E74D5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F702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F. Úplná harmonizácia práva EÚ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(okrem daní, odvodov, ciel a poplatkov, ktorých cieľom je znižovať negatívne externality)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34C338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B321DB9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929AE" w:rsidRPr="00C929AE" w14:paraId="0995DB72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7095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6D14A2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G. Goldplating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3BD6B2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4C3E0D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929AE" w:rsidRPr="00C929AE" w14:paraId="529347FC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06C7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F13EF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CA2D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0F3AD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0265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DAA25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326A4D8E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D80F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453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 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663145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B4D600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203410F4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E05F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A7DC94" w14:textId="77777777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DC5D94E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A2E606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41 370,75</w:t>
            </w:r>
          </w:p>
        </w:tc>
      </w:tr>
    </w:tbl>
    <w:p w14:paraId="087B1E76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764C42B8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66A89357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Tabuľka č. 2: Výpočet vplyvov jednotlivých regulácií (prevzatá z Kalkulačky nákladov regulácie):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62971F8C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C294C3E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75EC5F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 a dôvod ponechania nákladov na PP, ktoré sú goldplatngom)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9DE17C2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4244B2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ods., čl.,...)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152249F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SK/EÚ úplná harm./</w:t>
            </w:r>
          </w:p>
          <w:p w14:paraId="2753DE4D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Goldplating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783F11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BC4ACE9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Kategória dotk.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2A5145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497C89D3" w14:textId="77777777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dotk. subjektov spolu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C0419D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FA1F55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kateg. dotk. subjekt.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34D9ACB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43381A37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 (znižuje náklady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5A5279D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919CA8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5D7AB20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70D4183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 celkom</w:t>
            </w:r>
          </w:p>
        </w:tc>
      </w:tr>
      <w:tr w:rsidR="00DE6ACB" w:rsidRPr="00895898" w14:paraId="4C9E46CA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5AA21958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40" w:type="dxa"/>
            <w:vAlign w:val="center"/>
          </w:tcPr>
          <w:p w14:paraId="17B33CDB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Predĺženie zmluvy o výkone činnosti športového odborníka bez potreby uzatvárať novú zmluvu; pri pokračovaní spolupráce odpadá vypracovanie a uzatvorenie novej zmluvy (zníženie administratívnej záťaže).</w:t>
            </w:r>
          </w:p>
        </w:tc>
        <w:tc>
          <w:tcPr>
            <w:tcW w:w="992" w:type="dxa"/>
            <w:vAlign w:val="center"/>
          </w:tcPr>
          <w:p w14:paraId="52326903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zákon č. 440/2015 Z. z.</w:t>
            </w:r>
          </w:p>
        </w:tc>
        <w:tc>
          <w:tcPr>
            <w:tcW w:w="1134" w:type="dxa"/>
            <w:vAlign w:val="center"/>
          </w:tcPr>
          <w:p w14:paraId="72F36E8E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§ 49a ods. 3</w:t>
            </w:r>
          </w:p>
        </w:tc>
        <w:tc>
          <w:tcPr>
            <w:tcW w:w="1843" w:type="dxa"/>
            <w:vAlign w:val="center"/>
          </w:tcPr>
          <w:p w14:paraId="7FE52EF3" w14:textId="77777777" w:rsidR="00DE6ACB" w:rsidRPr="00895898" w:rsidRDefault="00DE6ACB" w:rsidP="00562A1E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SK</w:t>
            </w:r>
          </w:p>
        </w:tc>
        <w:tc>
          <w:tcPr>
            <w:tcW w:w="992" w:type="dxa"/>
            <w:vAlign w:val="center"/>
          </w:tcPr>
          <w:p w14:paraId="164719BD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podľa účinnosti návrhu zákona</w:t>
            </w:r>
          </w:p>
        </w:tc>
        <w:tc>
          <w:tcPr>
            <w:tcW w:w="1160" w:type="dxa"/>
            <w:noWrap/>
            <w:vAlign w:val="center"/>
          </w:tcPr>
          <w:p w14:paraId="40B32C12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Športové organizácie uzatvárajúce zmluvy o výkone činnosti športového odborníka (počet predĺžených zmlúv ročne)</w:t>
            </w:r>
          </w:p>
        </w:tc>
        <w:tc>
          <w:tcPr>
            <w:tcW w:w="1108" w:type="dxa"/>
            <w:vAlign w:val="center"/>
          </w:tcPr>
          <w:p w14:paraId="34AE8229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3 000</w:t>
            </w:r>
          </w:p>
        </w:tc>
        <w:tc>
          <w:tcPr>
            <w:tcW w:w="851" w:type="dxa"/>
            <w:noWrap/>
            <w:vAlign w:val="center"/>
          </w:tcPr>
          <w:p w14:paraId="25C42DA5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13,79</w:t>
            </w:r>
          </w:p>
        </w:tc>
        <w:tc>
          <w:tcPr>
            <w:tcW w:w="843" w:type="dxa"/>
            <w:noWrap/>
            <w:vAlign w:val="center"/>
          </w:tcPr>
          <w:p w14:paraId="7217E91B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41 370,75</w:t>
            </w:r>
          </w:p>
        </w:tc>
        <w:tc>
          <w:tcPr>
            <w:tcW w:w="1000" w:type="dxa"/>
            <w:noWrap/>
            <w:vAlign w:val="center"/>
          </w:tcPr>
          <w:p w14:paraId="1A56ACAB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Out</w:t>
            </w:r>
          </w:p>
        </w:tc>
        <w:tc>
          <w:tcPr>
            <w:tcW w:w="708" w:type="dxa"/>
            <w:noWrap/>
            <w:vAlign w:val="center"/>
          </w:tcPr>
          <w:p w14:paraId="0A2AD957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41 370,75</w:t>
            </w:r>
          </w:p>
        </w:tc>
        <w:tc>
          <w:tcPr>
            <w:tcW w:w="1134" w:type="dxa"/>
            <w:vAlign w:val="center"/>
          </w:tcPr>
          <w:p w14:paraId="28E0A171" w14:textId="77777777" w:rsidR="00DE6ACB" w:rsidRPr="00895898" w:rsidRDefault="00DE6ACB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801596" w:rsidRPr="00895898" w14:paraId="6430EE10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82F4A12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40" w:type="dxa"/>
            <w:vAlign w:val="center"/>
          </w:tcPr>
          <w:p w14:paraId="7939953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Rozšírenie skutkových podstát správnych deliktov (nezabezpečenie odstránenia nedostatku na podnet hlavného kontrolóra športu podľa § 61 ods. 3, neposkytnutie údajov na výpis z registra trestov športového odborníka v športe mládeže, nezapísanie údajov do registra FO v športe). Náklad vzniká len pri porušení povinnosti; nekvantifikované.</w:t>
            </w:r>
          </w:p>
        </w:tc>
        <w:tc>
          <w:tcPr>
            <w:tcW w:w="992" w:type="dxa"/>
            <w:vAlign w:val="center"/>
          </w:tcPr>
          <w:p w14:paraId="311D4DEC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zákon č. 440/2015 Z. z.</w:t>
            </w:r>
          </w:p>
        </w:tc>
        <w:tc>
          <w:tcPr>
            <w:tcW w:w="1134" w:type="dxa"/>
            <w:vAlign w:val="center"/>
          </w:tcPr>
          <w:p w14:paraId="4C431766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§ 95</w:t>
            </w:r>
          </w:p>
        </w:tc>
        <w:tc>
          <w:tcPr>
            <w:tcW w:w="1843" w:type="dxa"/>
            <w:vAlign w:val="center"/>
          </w:tcPr>
          <w:p w14:paraId="44E57487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SK</w:t>
            </w:r>
          </w:p>
        </w:tc>
        <w:tc>
          <w:tcPr>
            <w:tcW w:w="992" w:type="dxa"/>
            <w:vAlign w:val="center"/>
          </w:tcPr>
          <w:p w14:paraId="31B43C08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podľa účinnosti návrhu zákona</w:t>
            </w:r>
          </w:p>
        </w:tc>
        <w:tc>
          <w:tcPr>
            <w:tcW w:w="1160" w:type="dxa"/>
            <w:noWrap/>
            <w:vAlign w:val="center"/>
          </w:tcPr>
          <w:p w14:paraId="6A6FC25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Športové organizácie – podnikateľské subjekty, ktoré porušia povinnosť podľa § 95</w:t>
            </w:r>
          </w:p>
        </w:tc>
        <w:tc>
          <w:tcPr>
            <w:tcW w:w="1108" w:type="dxa"/>
            <w:vAlign w:val="center"/>
          </w:tcPr>
          <w:p w14:paraId="5C7F6FBA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851" w:type="dxa"/>
            <w:noWrap/>
            <w:vAlign w:val="center"/>
          </w:tcPr>
          <w:p w14:paraId="1FEE1088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N</w:t>
            </w:r>
          </w:p>
        </w:tc>
        <w:tc>
          <w:tcPr>
            <w:tcW w:w="843" w:type="dxa"/>
            <w:noWrap/>
            <w:vAlign w:val="center"/>
          </w:tcPr>
          <w:p w14:paraId="0AFD02B5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N</w:t>
            </w:r>
          </w:p>
        </w:tc>
        <w:tc>
          <w:tcPr>
            <w:tcW w:w="1000" w:type="dxa"/>
            <w:noWrap/>
            <w:vAlign w:val="center"/>
          </w:tcPr>
          <w:p w14:paraId="275D904E" w14:textId="79D7163D" w:rsidR="00801596" w:rsidRPr="00895898" w:rsidRDefault="00A818BA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708" w:type="dxa"/>
            <w:noWrap/>
            <w:vAlign w:val="center"/>
          </w:tcPr>
          <w:p w14:paraId="4B75BCCD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1134" w:type="dxa"/>
            <w:vAlign w:val="center"/>
          </w:tcPr>
          <w:p w14:paraId="7ED8F4B6" w14:textId="77777777" w:rsidR="00801596" w:rsidRPr="00895898" w:rsidRDefault="00801596" w:rsidP="00CE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</w:tbl>
    <w:p w14:paraId="4429D712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142C9FAA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EF5F33C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Doplňujúce informácie k spôsobu výpočtu vplyvov jednotlivých regulácií na zmenu nákladov </w:t>
      </w:r>
    </w:p>
    <w:p w14:paraId="0C80FA4D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Návrh zákona obsahuje dve regulácie s vplyvom na podnikateľské prostredie (PP). Vplyvy sú vyčíslené osobitne za každé dotknuté ustanovenie v Kalkulačke nákladov regulácie (ďalej len „Kalkulačka“), ktorá je prílohou tejto analýzy. Hodinová sadzba vychádza z priemernej ceny práce za rok 2025 uvedenej v Kalkulačke (2 206,44 € mesačne, t. j. 13,79 € za hodinu). Vplyvy sú uvedené v ročnom vyjadrení.</w:t>
      </w:r>
    </w:p>
    <w:p w14:paraId="4B0F039C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1. Predĺženie zmluvy o výkone činnosti športového odborníka – § 49a ods. 3 (Out, zníženie nákladov)</w:t>
      </w:r>
    </w:p>
    <w:p w14:paraId="1A0A54E3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Zmluva o výkone činnosti športového odborníka sa uzatvára najviac na 12 mesiacov, preto športová organizácia pri pokračovaní spolupráce so športovým odborníkom každoročne vypracúva a uzatvára novú zmluvu. Návrh umožňuje zmluvu predĺžiť bez potreby uzatvárať novú zmluvu. Dotknutými subjektmi sú športové organizácie (športové kluby, športové zväzy a obchodné spoločnosti pôsobiace v športe), ktoré tento zmluvný typ využívajú.</w:t>
      </w:r>
    </w:p>
    <w:p w14:paraId="19673A72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Úspora je vyčíslená ako administratívny náklad metódou expertného odhadu (alternatíva E.1 Kalkulačky): 60 minút na jednu zmluvu (vypracovanie, kontrola a podpis novej zmluvy v rozsahu približne 90 minút oproti predĺženiu v rozsahu približne 30 minút), s frekvenciou 1-krát ročne. Počet dotknutých úkonov je odhadnutý na 3 000 predĺžených zmlúv ročne. Úspora predstavuje 13,79 € na jednu zmluvu a 41 370,75 € ročne pre PP.</w:t>
      </w:r>
    </w:p>
    <w:p w14:paraId="4778DB6A" w14:textId="1F112CF6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2. Rozšírenie skutkových podstát správnych deliktov – § 95 (C. sankcie a pokuty, nekvantifikované)</w:t>
      </w:r>
    </w:p>
    <w:p w14:paraId="02864C7A" w14:textId="4D17EACA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Navrhovaná právna úprava rozširuje skutkové podstaty správnych deliktov podľa § 95 zákona č. 440/2015 Z. z. o športe. </w:t>
      </w:r>
      <w:r w:rsidR="0046790A">
        <w:rPr>
          <w:rFonts w:ascii="Times New Roman" w:eastAsia="Times New Roman" w:hAnsi="Times New Roman" w:cs="Times New Roman"/>
          <w:sz w:val="23"/>
          <w:szCs w:val="23"/>
        </w:rPr>
        <w:t>Iný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vplyv na podnikateľské prostredie môže vzniknúť uložením pokuty dotknutému podnikateľskému subjektu v prípade porušenia zákonom ustanovenej povinnosti. Návrhom zákona sa nemení všeobecný mechanizmus ukladania sankcií ani existujúce sankčné rozpätia; rozširuje sa okruh konaní alebo opomenutí, za ktoré možno sankciu uložiť.</w:t>
      </w:r>
    </w:p>
    <w:p w14:paraId="75308510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Ide najmä o nezabezpečenie odstránenia zisteného nedostatku na základe podnetu hlavného kontrolóra športu spôsobom podľa § 61 ods. 3, neposkytnutie ministerstvu športu údajov potrebných na vyžiadanie výpisu z registra trestov pri športovom odborníkovi vykonávajúcom činnosť v športe mládeže a nezapísanie zákonom ustanovených údajov do registra fyzických osôb v športe. Zmeny v § 96 upravujú priestupky fyzických osôb a nie sú preto zahrnuté do kvantifikácie vplyvov na podnikateľské prostredie.</w:t>
      </w:r>
    </w:p>
    <w:p w14:paraId="616D9F1D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Finančný vplyv nie je možné spoľahlivo kvantifikovať. Predkladateľ nemá k dispozícii historické údaje o počte porušení povinností, ktoré sú predmetom navrhovaného rozšírenia skutkových podstát správnych deliktov, ani údaje umožňujúce určiť predpokladaný počet budúcich konaní a uložených sankcií. Tieto údaje sa samostatne štatisticky nesledujú ani nevykazujú v členení, ktoré by umožňovalo relevantný expertný odhad. Výška potenciálneho nákladu navyše závisí od individuálnych okolností konkrétneho prípadu a od výšky sankcie uloženej v zákonnom rozpätí. Z tohto dôvodu nie je možné určiť ročný finančný vplyv na celé podnikateľské prostredie ani priemerný vplyv na jeden podnikateľský subjekt. Zdrojom identifikácie dotknutých kategórií subjektov a sankčných rozpätí je zákon č. 440/2015 Z. z. o športe v časovej verzii účinnej od 1. januára 2026; zdrojom navrhovaných zmien je paragrafové znenie návrhu zákona.</w:t>
      </w:r>
    </w:p>
    <w:p w14:paraId="457E064F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Vplyv na mikro, malé a stredné podniky (MSP)</w:t>
      </w:r>
    </w:p>
    <w:p w14:paraId="0EC4D853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Návrh nezavádza regulácie, ktoré by zvyšovali náklady MSP, a preto ani osobitný režim pre MSP. Úspora podľa § 49a ods. 3 sa týka najmä športových klubov, ktoré sú prevažne mikro a malými subjektmi, t. j. pozitívny vplyv smeruje predovšetkým k MSP. Sankčné ustanovenia podľa § 95 sa uplatňujú bez ohľadu na veľkosť subjektu.</w:t>
      </w:r>
    </w:p>
    <w:p w14:paraId="30AB908A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Mechanizmus znižovania byrokracie a nákladov (1in2out)</w:t>
      </w:r>
    </w:p>
    <w:p w14:paraId="40D4D44D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Na návrh sa vzťahuje mechanizmus znižovania byrokracie a nákladov. Opatrením znižujúcim administratívnu záťaž je predĺženie zmluvy o výkone činnosti športového odborníka podľa § 49a ods. 3 (OUT 41 370,75 € ročne). Návrh nezavádza regulácie zvyšujúce náklady, ktoré by sa započítavali do mechanizmu (IN 0,00 €). Sankcie a pokuty podľa § 95 (C) sú z výpočtu pravidla 1in2out vyňaté. Výsledok je uvedený v tabuľke č. 1, riadok H.</w:t>
      </w:r>
    </w:p>
    <w:p w14:paraId="3FE16377" w14:textId="77777777" w:rsidR="00ED3CAF" w:rsidRDefault="002A35DA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3"/>
          <w:szCs w:val="23"/>
        </w:rPr>
        <w:t>Zdroje: Kalkulačka nákladov regulácie (tarifa 2025, štandardné časové náročnosti), zákon č. 440/2015 Z. z. o športe v znení účinnom od 1. januára 2026, paragrafové znenie návrhu zákona a expertné odhady predkladateľa.</w:t>
      </w:r>
    </w:p>
    <w:p w14:paraId="44B1AFBC" w14:textId="77777777" w:rsidR="00C95B02" w:rsidRPr="00C95B02" w:rsidRDefault="00C95B02" w:rsidP="00054C41">
      <w:pPr>
        <w:jc w:val="both"/>
        <w:rPr>
          <w:i/>
          <w:iCs/>
        </w:rPr>
      </w:pPr>
    </w:p>
    <w:p w14:paraId="6FAFA186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3.1.4 Odôvodnenie goldplatingu podľa bodu 4 časti III jednotnej metodiky a ďalšie doplňujúce informácie</w:t>
      </w:r>
      <w:r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3FD496E7" w14:textId="77777777" w:rsidR="00C95B02" w:rsidRPr="000C5419" w:rsidRDefault="00C95B02" w:rsidP="00C95B0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sz w:val="23"/>
        </w:rPr>
        <w:t>Goldplating nebol identifikovaný. Navrhovaná úprava predstavuje vnútroštátnu reguláciu (pôvod SK) a nesúvisí s transpozíciou smernice Európskej únie ani s implementáciou nariadenia Európskej únie spôsobom, ktorý by zakladal goldplating.</w:t>
      </w:r>
    </w:p>
    <w:p w14:paraId="59ADF41B" w14:textId="77777777" w:rsidR="00024EE4" w:rsidRDefault="00024EE4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7AA7F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598BA299" w14:textId="77777777" w:rsidR="00ED018C" w:rsidRPr="00D8247C" w:rsidRDefault="00ED018C" w:rsidP="00ED018C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3"/>
        </w:rPr>
        <w:t>Pri príprave návrhu zákona ministerstvo vychádzalo z interných materiálov a databáz, podnetov z aplikačnej praxe športových organizácií a z diskusií a rokovaní s odborníkmi, národnými športovými zväzmi a národnými športovými organizáciami. Dostupné podklady neobsahujú samostatné údaje o forme a trvaní konzultácií, termínoch jednotlivých stretnutí ani úplný zoznam konzultujúcich subjektov osobitne vo vzťahu k predmetnej sankčnej regulácii.</w:t>
      </w:r>
    </w:p>
    <w:p w14:paraId="5CE9B3EE" w14:textId="77777777" w:rsidR="00ED018C" w:rsidRPr="00D8247C" w:rsidRDefault="00ED018C" w:rsidP="00ED018C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3"/>
        </w:rPr>
        <w:t>Predmetom podnetov z aplikačnej praxe bola aj potreba zvýšiť efektívnosť a vykonateľnosť kontrolných mechanizmov. Navrhovaná úprava na túto potrebu reaguje doplnením skutkových podstát správnych deliktov a priestupkov súvisiacich s neplnením povinností na základe podnetu hlavného kontrolóra športu. V dostupných podkladoch nie sú evidované osobitné alternatívne riešenia ani návrhy na zníženie nákladov tejto regulácie zo strany konzultujúcich subjektov.</w:t>
      </w:r>
    </w:p>
    <w:p w14:paraId="0CA8896E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ACFDE1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F946E10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5C4F4709" w14:textId="77777777" w:rsidR="00054C41" w:rsidRDefault="00054C41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Dochádza k vytvoreniu resp. k zmene bariér na trhu? </w:t>
      </w:r>
      <w:r>
        <w:rPr>
          <w:rFonts w:ascii="Times New Roman" w:hAnsi="Times New Roman"/>
          <w:sz w:val="23"/>
        </w:rPr>
        <w:t>Nie. Navrhovaná úprava nevytvára nové podmienky vstupu na trh ani neobmedzuje začatie alebo bežný výkon podnikateľskej činnosti; sankčný následok vzniká až pri porušení zákonnej povinnosti.</w:t>
      </w:r>
    </w:p>
    <w:p w14:paraId="6864FB56" w14:textId="77777777" w:rsidR="00654B5D" w:rsidRPr="00D8247C" w:rsidRDefault="00654B5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50AEEA2" w14:textId="77777777" w:rsidR="00054C41" w:rsidRDefault="00054C41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mikro, malé a stredné podniky tzv. MSP)? </w:t>
      </w:r>
      <w:r>
        <w:rPr>
          <w:rFonts w:ascii="Times New Roman" w:hAnsi="Times New Roman"/>
          <w:sz w:val="23"/>
        </w:rPr>
        <w:t xml:space="preserve"> Nie. Návrh nezavádza osobitný režim podľa veľkosti podnikateľského subjektu. Sankčné ustanovenia sa uplatňujú podľa zákonom určenej kategórie dotknutého subjektu.</w:t>
      </w:r>
    </w:p>
    <w:p w14:paraId="0F716EE8" w14:textId="77777777" w:rsidR="00654B5D" w:rsidRPr="00D8247C" w:rsidRDefault="00654B5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DB87AA6" w14:textId="77777777" w:rsidR="00054C41" w:rsidRDefault="00054C41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  <w:r>
        <w:rPr>
          <w:rFonts w:ascii="Times New Roman" w:hAnsi="Times New Roman"/>
          <w:sz w:val="23"/>
        </w:rPr>
        <w:t>Nie. Navrhovaná sankčná úprava nemá priamy ani predpokladaný nepriamy vplyv na cezhraničné investície alebo uplatnenie slovenských podnikov na zahraničných trhoch.</w:t>
      </w:r>
    </w:p>
    <w:p w14:paraId="7945E6E7" w14:textId="77777777" w:rsidR="00654B5D" w:rsidRPr="00D8247C" w:rsidRDefault="00654B5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9B81964" w14:textId="77777777" w:rsidR="00054C41" w:rsidRDefault="00054C41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  <w:r>
        <w:rPr>
          <w:rFonts w:ascii="Times New Roman" w:hAnsi="Times New Roman"/>
          <w:sz w:val="23"/>
        </w:rPr>
        <w:t>Nie. Návrh nemení dostupnosť financovania, pracovnej sily, surovín, zariadení ani energií.</w:t>
      </w:r>
    </w:p>
    <w:p w14:paraId="76B2D356" w14:textId="77777777" w:rsidR="00654B5D" w:rsidRDefault="00654B5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628B6B" w14:textId="77777777" w:rsidR="005B7EC5" w:rsidRDefault="007259CB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  <w:r>
        <w:rPr>
          <w:rFonts w:ascii="Times New Roman" w:hAnsi="Times New Roman"/>
          <w:sz w:val="23"/>
        </w:rPr>
        <w:t xml:space="preserve"> Nie. Návrh nemá vecnú súvislosť s podmienkami pre inovácie, vedu alebo výskum.</w:t>
      </w:r>
    </w:p>
    <w:p w14:paraId="708B6767" w14:textId="77777777" w:rsidR="00654B5D" w:rsidRPr="00654B5D" w:rsidRDefault="00654B5D" w:rsidP="00054C41">
      <w:pPr>
        <w:spacing w:after="0"/>
        <w:jc w:val="both"/>
        <w:rPr>
          <w:rFonts w:ascii="Times New Roman" w:hAnsi="Times New Roman"/>
          <w:sz w:val="23"/>
        </w:rPr>
      </w:pPr>
    </w:p>
    <w:p w14:paraId="2F0ACAF6" w14:textId="77777777" w:rsidR="00BA19B0" w:rsidRDefault="00BA19B0" w:rsidP="00054C41">
      <w:pPr>
        <w:spacing w:after="0"/>
        <w:jc w:val="both"/>
        <w:rPr>
          <w:rFonts w:ascii="Times New Roman" w:hAnsi="Times New Roman"/>
          <w:sz w:val="23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Ak bol identifikovaný goldplating, prispieva k zníženiu konkurencieschopnosti a produktivity? Akým spôsobom?</w:t>
      </w:r>
      <w:r>
        <w:rPr>
          <w:rFonts w:ascii="Times New Roman" w:hAnsi="Times New Roman"/>
          <w:sz w:val="23"/>
        </w:rPr>
        <w:t xml:space="preserve"> Goldplating nebol identifikovaný.</w:t>
      </w:r>
    </w:p>
    <w:p w14:paraId="4C191276" w14:textId="77777777" w:rsidR="00654B5D" w:rsidRPr="00D8247C" w:rsidRDefault="00654B5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8E62390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  <w:r>
        <w:rPr>
          <w:rFonts w:ascii="Times New Roman" w:hAnsi="Times New Roman"/>
          <w:sz w:val="23"/>
        </w:rPr>
        <w:t xml:space="preserve"> Návrh obsahuje opatrenie znižujúce administratívnu záťaž – možnosť predĺžiť zmluvu o výkone činnosti športového odborníka bez uzatvárania novej zmluvy (§ 49a ods. 3). Ostatné dotknuté ustanovenia zabezpečujú účinné vymáhanie existujúcich zákonných povinností.</w:t>
      </w:r>
    </w:p>
    <w:p w14:paraId="2FEF3E5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836EF77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3E8D5EA1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50741B62" w14:textId="77777777" w:rsidR="00054C41" w:rsidRPr="00D8247C" w:rsidRDefault="004314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  <w:r>
                <w:rPr>
                  <w:rFonts w:ascii="Times New Roman" w:hAnsi="Times New Roman"/>
                  <w:i/>
                  <w:sz w:val="23"/>
                </w:rPr>
                <w:t xml:space="preserve"> 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14B50B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164A60C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5D42CFDB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672CF8EC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35652F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61B8E641" w14:textId="77777777" w:rsidR="00054C41" w:rsidRPr="00D8247C" w:rsidRDefault="004314D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0D662B60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39ABA99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1F54652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99756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7DED048D" w14:textId="77777777" w:rsidR="00286956" w:rsidRDefault="00286956" w:rsidP="0063724A">
      <w:pPr>
        <w:spacing w:after="0"/>
        <w:jc w:val="both"/>
        <w:rPr>
          <w:rFonts w:ascii="Times New Roman" w:hAnsi="Times New Roman"/>
          <w:bCs/>
          <w:sz w:val="23"/>
        </w:rPr>
      </w:pPr>
      <w:r>
        <w:rPr>
          <w:rFonts w:ascii="Times New Roman" w:hAnsi="Times New Roman"/>
          <w:b/>
          <w:sz w:val="23"/>
        </w:rPr>
        <w:t xml:space="preserve">Pozitívne vplyvy </w:t>
      </w:r>
      <w:r>
        <w:rPr>
          <w:rFonts w:ascii="Times New Roman" w:hAnsi="Times New Roman"/>
          <w:bCs/>
          <w:sz w:val="23"/>
        </w:rPr>
        <w:t xml:space="preserve">návrhu zákona spočívajú najmä v znížení administratívnej záťaže športových organizácií umožnením predĺženia zmluvy o výkone činnosti športového odborníka podľa § 49a </w:t>
      </w:r>
      <w:r>
        <w:rPr>
          <w:rFonts w:ascii="Times New Roman" w:hAnsi="Times New Roman"/>
          <w:bCs/>
          <w:sz w:val="23"/>
        </w:rPr>
        <w:lastRenderedPageBreak/>
        <w:t>ods. 3 (úspora 41 370,75 € ročne) a v spresnení, zjednodušení a zvýšení prehľadnosti právnej úpravy, čím sa posilňuje právna istota dotknutých subjektov.</w:t>
      </w:r>
    </w:p>
    <w:p w14:paraId="08D48E03" w14:textId="77777777" w:rsidR="003946FC" w:rsidRPr="003946FC" w:rsidRDefault="003946FC" w:rsidP="0063724A">
      <w:pPr>
        <w:spacing w:after="0"/>
        <w:jc w:val="both"/>
        <w:rPr>
          <w:rFonts w:ascii="Times New Roman" w:hAnsi="Times New Roman"/>
          <w:bCs/>
          <w:sz w:val="23"/>
        </w:rPr>
      </w:pPr>
    </w:p>
    <w:p w14:paraId="5D58B512" w14:textId="43D1D5DC" w:rsidR="0063724A" w:rsidRDefault="00EF2061" w:rsidP="0063724A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/>
          <w:b/>
          <w:sz w:val="23"/>
        </w:rPr>
        <w:t xml:space="preserve">Iný </w:t>
      </w:r>
      <w:r w:rsidR="0063724A">
        <w:rPr>
          <w:rFonts w:ascii="Times New Roman" w:hAnsi="Times New Roman"/>
          <w:b/>
          <w:sz w:val="23"/>
        </w:rPr>
        <w:t>vplyv na podnikateľské prostredie:</w:t>
      </w:r>
    </w:p>
    <w:p w14:paraId="2F276548" w14:textId="6406444B" w:rsidR="0063724A" w:rsidRPr="0063724A" w:rsidRDefault="0063724A" w:rsidP="0063724A">
      <w:pPr>
        <w:spacing w:after="0" w:line="254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Návrh zákona rozširuje okruh konaní a opomenutí, ktoré môžu byť sankcionované ako správny delikt podľa § 95 zákona č. 440/2015 Z. z. o športe. Potenciálny finančný vplyv sankcií sa týka iba subjektov, ktoré porušia príslušnú zákonnú povinnosť a ktorým bude následne uložená pokuta.</w:t>
      </w:r>
    </w:p>
    <w:p w14:paraId="15654AA8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9EDDE27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B21D1F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EE2D3" w14:textId="77777777" w:rsidR="004314D8" w:rsidRDefault="004314D8" w:rsidP="00054C41">
      <w:pPr>
        <w:spacing w:after="0" w:line="240" w:lineRule="auto"/>
      </w:pPr>
      <w:r>
        <w:separator/>
      </w:r>
    </w:p>
  </w:endnote>
  <w:endnote w:type="continuationSeparator" w:id="0">
    <w:p w14:paraId="15F3168A" w14:textId="77777777" w:rsidR="004314D8" w:rsidRDefault="004314D8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45A6506" w14:textId="77777777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AE27E94" w14:textId="77777777" w:rsidR="00F244DC" w:rsidRPr="00FF7125" w:rsidRDefault="00F244DC" w:rsidP="00054C41">
    <w:pPr>
      <w:pStyle w:val="Pta"/>
      <w:rPr>
        <w:sz w:val="24"/>
        <w:szCs w:val="24"/>
      </w:rPr>
    </w:pPr>
  </w:p>
  <w:p w14:paraId="3E1EE715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FEB32" w14:textId="77777777" w:rsidR="004314D8" w:rsidRDefault="004314D8" w:rsidP="00054C41">
      <w:pPr>
        <w:spacing w:after="0" w:line="240" w:lineRule="auto"/>
      </w:pPr>
      <w:r>
        <w:separator/>
      </w:r>
    </w:p>
  </w:footnote>
  <w:footnote w:type="continuationSeparator" w:id="0">
    <w:p w14:paraId="0AD216D8" w14:textId="77777777" w:rsidR="004314D8" w:rsidRDefault="004314D8" w:rsidP="00054C41">
      <w:pPr>
        <w:spacing w:after="0" w:line="240" w:lineRule="auto"/>
      </w:pPr>
      <w:r>
        <w:continuationSeparator/>
      </w:r>
    </w:p>
  </w:footnote>
  <w:footnote w:id="1">
    <w:p w14:paraId="3983DC92" w14:textId="77777777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2B190B4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4108FDB1" w14:textId="77777777" w:rsidR="00F244DC" w:rsidRDefault="00F244DC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CC36C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7DE1EC35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200513956">
    <w:abstractNumId w:val="1"/>
  </w:num>
  <w:num w:numId="2" w16cid:durableId="434833366">
    <w:abstractNumId w:val="9"/>
  </w:num>
  <w:num w:numId="3" w16cid:durableId="258373106">
    <w:abstractNumId w:val="10"/>
  </w:num>
  <w:num w:numId="4" w16cid:durableId="591662824">
    <w:abstractNumId w:val="8"/>
  </w:num>
  <w:num w:numId="5" w16cid:durableId="327754795">
    <w:abstractNumId w:val="6"/>
  </w:num>
  <w:num w:numId="6" w16cid:durableId="5470294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6047189">
    <w:abstractNumId w:val="10"/>
  </w:num>
  <w:num w:numId="8" w16cid:durableId="1109621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0884157">
    <w:abstractNumId w:val="7"/>
  </w:num>
  <w:num w:numId="10" w16cid:durableId="210507764">
    <w:abstractNumId w:val="3"/>
  </w:num>
  <w:num w:numId="11" w16cid:durableId="1163662468">
    <w:abstractNumId w:val="4"/>
  </w:num>
  <w:num w:numId="12" w16cid:durableId="76758136">
    <w:abstractNumId w:val="0"/>
  </w:num>
  <w:num w:numId="13" w16cid:durableId="1173842482">
    <w:abstractNumId w:val="11"/>
  </w:num>
  <w:num w:numId="14" w16cid:durableId="569535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533B5"/>
    <w:rsid w:val="00162C6C"/>
    <w:rsid w:val="0016512E"/>
    <w:rsid w:val="0018715C"/>
    <w:rsid w:val="001A1561"/>
    <w:rsid w:val="001A58DB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70EA5"/>
    <w:rsid w:val="002712B9"/>
    <w:rsid w:val="00284B8C"/>
    <w:rsid w:val="00286956"/>
    <w:rsid w:val="0029483F"/>
    <w:rsid w:val="002A35DA"/>
    <w:rsid w:val="002B3E88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5EE9"/>
    <w:rsid w:val="00376039"/>
    <w:rsid w:val="0038255E"/>
    <w:rsid w:val="00391648"/>
    <w:rsid w:val="0039304E"/>
    <w:rsid w:val="0039334E"/>
    <w:rsid w:val="003946FC"/>
    <w:rsid w:val="00394AD2"/>
    <w:rsid w:val="003A02AF"/>
    <w:rsid w:val="003A3124"/>
    <w:rsid w:val="003A686F"/>
    <w:rsid w:val="003C4A12"/>
    <w:rsid w:val="003E58B8"/>
    <w:rsid w:val="003F06D7"/>
    <w:rsid w:val="00400224"/>
    <w:rsid w:val="00400BA5"/>
    <w:rsid w:val="00410E62"/>
    <w:rsid w:val="00414FA7"/>
    <w:rsid w:val="00420090"/>
    <w:rsid w:val="004239D1"/>
    <w:rsid w:val="004314D8"/>
    <w:rsid w:val="00445638"/>
    <w:rsid w:val="00446432"/>
    <w:rsid w:val="00446512"/>
    <w:rsid w:val="00466D7A"/>
    <w:rsid w:val="0046790A"/>
    <w:rsid w:val="0048237B"/>
    <w:rsid w:val="00484D16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B7EC5"/>
    <w:rsid w:val="005C795C"/>
    <w:rsid w:val="005D0E50"/>
    <w:rsid w:val="005D39D8"/>
    <w:rsid w:val="0061097B"/>
    <w:rsid w:val="0061612F"/>
    <w:rsid w:val="006177C8"/>
    <w:rsid w:val="0062600A"/>
    <w:rsid w:val="0063724A"/>
    <w:rsid w:val="0063777D"/>
    <w:rsid w:val="00643358"/>
    <w:rsid w:val="00646084"/>
    <w:rsid w:val="00647B30"/>
    <w:rsid w:val="00654B5D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31D8F"/>
    <w:rsid w:val="00751DA9"/>
    <w:rsid w:val="00751EA8"/>
    <w:rsid w:val="00755E69"/>
    <w:rsid w:val="007648EE"/>
    <w:rsid w:val="0077106D"/>
    <w:rsid w:val="00775AD8"/>
    <w:rsid w:val="00780ACC"/>
    <w:rsid w:val="0078665E"/>
    <w:rsid w:val="00787A11"/>
    <w:rsid w:val="00797B40"/>
    <w:rsid w:val="007A0C9D"/>
    <w:rsid w:val="007B40FB"/>
    <w:rsid w:val="007B62AF"/>
    <w:rsid w:val="007C16AE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920C3"/>
    <w:rsid w:val="00894052"/>
    <w:rsid w:val="008A7B87"/>
    <w:rsid w:val="008B1858"/>
    <w:rsid w:val="008B4AA1"/>
    <w:rsid w:val="008C1C71"/>
    <w:rsid w:val="008E1AD0"/>
    <w:rsid w:val="008E315F"/>
    <w:rsid w:val="008E6B82"/>
    <w:rsid w:val="008F6ADE"/>
    <w:rsid w:val="0091269B"/>
    <w:rsid w:val="00923C0C"/>
    <w:rsid w:val="009451FE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C410A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818BA"/>
    <w:rsid w:val="00A83E11"/>
    <w:rsid w:val="00A94A0F"/>
    <w:rsid w:val="00AA3C6D"/>
    <w:rsid w:val="00AA5B15"/>
    <w:rsid w:val="00AB57C4"/>
    <w:rsid w:val="00AE70B5"/>
    <w:rsid w:val="00B11CF5"/>
    <w:rsid w:val="00B209FA"/>
    <w:rsid w:val="00B21D1F"/>
    <w:rsid w:val="00B410BA"/>
    <w:rsid w:val="00B4302A"/>
    <w:rsid w:val="00B43D68"/>
    <w:rsid w:val="00B44A3A"/>
    <w:rsid w:val="00B5600C"/>
    <w:rsid w:val="00B6043F"/>
    <w:rsid w:val="00B66E33"/>
    <w:rsid w:val="00B72FB1"/>
    <w:rsid w:val="00B953DA"/>
    <w:rsid w:val="00BA149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929AE"/>
    <w:rsid w:val="00C95B02"/>
    <w:rsid w:val="00CA4344"/>
    <w:rsid w:val="00CA6348"/>
    <w:rsid w:val="00CB1232"/>
    <w:rsid w:val="00CB17A0"/>
    <w:rsid w:val="00CC3B7D"/>
    <w:rsid w:val="00CD5AE4"/>
    <w:rsid w:val="00CD5E86"/>
    <w:rsid w:val="00CE2F57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B120C"/>
    <w:rsid w:val="00DC355F"/>
    <w:rsid w:val="00DD1E4C"/>
    <w:rsid w:val="00DE331A"/>
    <w:rsid w:val="00DE6ACB"/>
    <w:rsid w:val="00DF02CE"/>
    <w:rsid w:val="00DF1462"/>
    <w:rsid w:val="00E030DA"/>
    <w:rsid w:val="00E15115"/>
    <w:rsid w:val="00E214C0"/>
    <w:rsid w:val="00E30D85"/>
    <w:rsid w:val="00E444EB"/>
    <w:rsid w:val="00E77A69"/>
    <w:rsid w:val="00E81A42"/>
    <w:rsid w:val="00E961E8"/>
    <w:rsid w:val="00E96244"/>
    <w:rsid w:val="00E96DE0"/>
    <w:rsid w:val="00EB2BEC"/>
    <w:rsid w:val="00EB5647"/>
    <w:rsid w:val="00EB74BF"/>
    <w:rsid w:val="00EC0704"/>
    <w:rsid w:val="00EC508B"/>
    <w:rsid w:val="00ED018C"/>
    <w:rsid w:val="00ED3CAF"/>
    <w:rsid w:val="00ED6B5D"/>
    <w:rsid w:val="00EE1829"/>
    <w:rsid w:val="00EE4C99"/>
    <w:rsid w:val="00EF2061"/>
    <w:rsid w:val="00F023CD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152FF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F509634-EAD7-4553-A28C-7EA4AF6FF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Viktória Knappová</cp:lastModifiedBy>
  <cp:revision>10</cp:revision>
  <dcterms:created xsi:type="dcterms:W3CDTF">2026-09-27T15:17:00Z</dcterms:created>
  <dcterms:modified xsi:type="dcterms:W3CDTF">2026-10-29T10:34:00Z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2026-09-03T08:41:59Z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7987b9e4-f344-4882-b0b4-c9ac3e9f7c49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</Properties>
</file>